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4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333-288361</w:t>
      </w:r>
    </w:p>
    <w:p>
      <w:pPr>
        <w:spacing w:after="0" w:line="11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2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(To the Prospectus dated July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130175</wp:posOffset>
            </wp:positionV>
            <wp:extent cx="1189355" cy="337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9355" cy="337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35"/>
          <w:szCs w:val="35"/>
          <w:b w:val="1"/>
          <w:bCs w:val="1"/>
          <w:color w:val="auto"/>
        </w:rPr>
        <w:t>Bakkt, Inc.</w:t>
      </w:r>
    </w:p>
    <w:p>
      <w:pPr>
        <w:spacing w:after="0" w:line="204"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3,024,799 Shares of Class A Common Stock</w:t>
      </w:r>
    </w:p>
    <w:p>
      <w:pPr>
        <w:spacing w:after="0" w:line="28"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Pre-Funded Warrants to Purchase 2,475,201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2981960</wp:posOffset>
            </wp:positionH>
            <wp:positionV relativeFrom="paragraph">
              <wp:posOffset>181610</wp:posOffset>
            </wp:positionV>
            <wp:extent cx="12033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1120" w:right="40"/>
        <w:spacing w:after="0" w:line="273" w:lineRule="auto"/>
        <w:rPr>
          <w:sz w:val="20"/>
          <w:szCs w:val="20"/>
          <w:color w:val="auto"/>
        </w:rPr>
      </w:pPr>
      <w:r>
        <w:rPr>
          <w:rFonts w:ascii="Times New Roman" w:cs="Times New Roman" w:eastAsia="Times New Roman" w:hAnsi="Times New Roman"/>
          <w:sz w:val="13"/>
          <w:szCs w:val="13"/>
          <w:color w:val="auto"/>
        </w:rPr>
        <w:t>We are offering 3,024,799 shares of our Class A common stock, par value $0.0001 per share (the “Common Stock”) and, in lieu of Common Stock, pre-funded warrants to purchase 2,475,201 shares of Common Stock (“Pre-Funded Warrants”) (together with the shares of Common Stock underlying such Pre-Funded Warrants) pursuant to this prospectus supplement and the accompanying base prospectus. The purchase price of each share of Common Stock is $8.75. The purchase price of each Pre-Funded Warrant is $8.7499, which equals the price per share at which Common Stock is being sold in this Offering, minus $0.0001, and the exercise price of each Pre-Funded Warrants equals $0.0001 per share. We refer to the sale of the Common Stock and the Pre-Funded Warrants as the “Offering.” We refer to the shares of Common Stock and Pre-Funded Warrants offered and sold in this Offering as the “Securities.” The Securities are being sold to an investor (the “Investor”) under a securities purchase agreement, dated February 27, 2026 (the “Purchase Agreement”), by and between us and the Investor.</w:t>
      </w:r>
    </w:p>
    <w:p>
      <w:pPr>
        <w:spacing w:after="0" w:line="151" w:lineRule="exact"/>
        <w:rPr>
          <w:sz w:val="24"/>
          <w:szCs w:val="24"/>
          <w:color w:val="auto"/>
        </w:rPr>
      </w:pPr>
    </w:p>
    <w:p>
      <w:pPr>
        <w:ind w:left="1120" w:right="320"/>
        <w:spacing w:after="0" w:line="279" w:lineRule="auto"/>
        <w:rPr>
          <w:sz w:val="20"/>
          <w:szCs w:val="20"/>
          <w:color w:val="auto"/>
        </w:rPr>
      </w:pPr>
      <w:r>
        <w:rPr>
          <w:rFonts w:ascii="Times New Roman" w:cs="Times New Roman" w:eastAsia="Times New Roman" w:hAnsi="Times New Roman"/>
          <w:sz w:val="13"/>
          <w:szCs w:val="13"/>
          <w:color w:val="auto"/>
        </w:rPr>
        <w:t>Our Common Stock is traded on the New York Stock Exchange (“NYSE”) under the symbol “BKKT.” On February 26, 2026, the last reported sales price of our Common Stock on the NYSE was $10.40 per share. There is no established public trading market for the Pre-Funded Warrants, and we do not expect a market to develop. In addition, we do not intend to apply for a listing of the Pre-Funded Warrants on the NYSE, any other national securities exchange or any other nationally recognized trading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2981960</wp:posOffset>
            </wp:positionH>
            <wp:positionV relativeFrom="paragraph">
              <wp:posOffset>170815</wp:posOffset>
            </wp:positionV>
            <wp:extent cx="12033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120" w:right="320"/>
        <w:spacing w:after="0" w:line="24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You should read carefully and consider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included in this prospectus supplement on page S-4 and in our accompanying prospectus beginning on page 6 and in the documents that are incorporated by reference into this prospectus supplement before investing in our securities.</w:t>
      </w:r>
    </w:p>
    <w:p>
      <w:pPr>
        <w:spacing w:after="0" w:line="152" w:lineRule="exact"/>
        <w:rPr>
          <w:sz w:val="24"/>
          <w:szCs w:val="24"/>
          <w:color w:val="auto"/>
        </w:rPr>
      </w:pPr>
    </w:p>
    <w:p>
      <w:pPr>
        <w:ind w:left="1120" w:right="140"/>
        <w:spacing w:after="0" w:line="307"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(“SEC”)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129" w:lineRule="exact"/>
        <w:rPr>
          <w:sz w:val="24"/>
          <w:szCs w:val="24"/>
          <w:color w:val="auto"/>
        </w:rPr>
      </w:pPr>
    </w:p>
    <w:p>
      <w:pPr>
        <w:ind w:left="1120" w:right="20"/>
        <w:spacing w:after="0" w:line="278" w:lineRule="auto"/>
        <w:rPr>
          <w:sz w:val="20"/>
          <w:szCs w:val="20"/>
          <w:color w:val="auto"/>
        </w:rPr>
      </w:pPr>
      <w:r>
        <w:rPr>
          <w:rFonts w:ascii="Times New Roman" w:cs="Times New Roman" w:eastAsia="Times New Roman" w:hAnsi="Times New Roman"/>
          <w:sz w:val="13"/>
          <w:szCs w:val="13"/>
          <w:color w:val="auto"/>
        </w:rPr>
        <w:t>We have engaged Cohen &amp; Company Capital Markets, a division of Cohen &amp; Company Securities LLC (“Cohen” or the “Placement Agent”), to act as our exclusive placement agent in connection with the Offering. The Placement Agent has agreed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the Placement Agent a fee based on the aggregate proceeds as set forth in the table below.</w:t>
      </w:r>
    </w:p>
    <w:p>
      <w:pPr>
        <w:spacing w:after="0" w:line="313" w:lineRule="exact"/>
        <w:rPr>
          <w:sz w:val="24"/>
          <w:szCs w:val="24"/>
          <w:color w:val="auto"/>
        </w:rPr>
      </w:pPr>
    </w:p>
    <w:tbl>
      <w:tblPr>
        <w:tblLayout w:type="fixed"/>
        <w:tblInd w:w="184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24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Per Pre-Funded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Warrant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Offering price</w:t>
            </w:r>
          </w:p>
        </w:tc>
        <w:tc>
          <w:tcPr>
            <w:tcW w:w="13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w w:val="91"/>
              </w:rPr>
              <w:t>$ 8.7500</w:t>
            </w: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8.7499</w:t>
            </w: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97"/>
              </w:rPr>
              <w:t>48,125,000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220" w:type="dxa"/>
            <w:vAlign w:val="bottom"/>
          </w:tcPr>
          <w:p>
            <w:pPr>
              <w:spacing w:after="0" w:line="178" w:lineRule="exact"/>
              <w:rPr>
                <w:sz w:val="20"/>
                <w:szCs w:val="20"/>
                <w:color w:val="auto"/>
              </w:rPr>
            </w:pPr>
            <w:r>
              <w:rPr>
                <w:rFonts w:ascii="Times New Roman" w:cs="Times New Roman" w:eastAsia="Times New Roman" w:hAnsi="Times New Roman"/>
                <w:sz w:val="14"/>
                <w:szCs w:val="14"/>
                <w:color w:val="auto"/>
              </w:rPr>
              <w:t>Placement Agent’s fees</w:t>
            </w:r>
            <w:r>
              <w:rPr>
                <w:rFonts w:ascii="Times New Roman" w:cs="Times New Roman" w:eastAsia="Times New Roman" w:hAnsi="Times New Roman"/>
                <w:sz w:val="20"/>
                <w:szCs w:val="20"/>
                <w:color w:val="auto"/>
                <w:vertAlign w:val="superscript"/>
              </w:rPr>
              <w:t>(1)</w:t>
            </w:r>
          </w:p>
        </w:tc>
        <w:tc>
          <w:tcPr>
            <w:tcW w:w="2060" w:type="dxa"/>
            <w:vAlign w:val="bottom"/>
            <w:gridSpan w:val="3"/>
          </w:tcPr>
          <w:p>
            <w:pPr>
              <w:ind w:left="1300"/>
              <w:spacing w:after="0"/>
              <w:rPr>
                <w:sz w:val="20"/>
                <w:szCs w:val="20"/>
                <w:color w:val="auto"/>
              </w:rPr>
            </w:pPr>
            <w:r>
              <w:rPr>
                <w:rFonts w:ascii="Times New Roman" w:cs="Times New Roman" w:eastAsia="Times New Roman" w:hAnsi="Times New Roman"/>
                <w:sz w:val="15"/>
                <w:szCs w:val="15"/>
                <w:color w:val="auto"/>
              </w:rPr>
              <w:t>$ 0.2625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0.2625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1,443,750</w:t>
            </w: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206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$ 8.4875</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8.4874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46,681,250</w:t>
            </w:r>
          </w:p>
        </w:tc>
        <w:tc>
          <w:tcPr>
            <w:tcW w:w="0" w:type="dxa"/>
            <w:vAlign w:val="bottom"/>
          </w:tcPr>
          <w:p>
            <w:pPr>
              <w:spacing w:after="0"/>
              <w:rPr>
                <w:sz w:val="1"/>
                <w:szCs w:val="1"/>
                <w:color w:val="auto"/>
              </w:rPr>
            </w:pPr>
          </w:p>
        </w:tc>
      </w:tr>
    </w:tbl>
    <w:p>
      <w:pPr>
        <w:spacing w:after="0" w:line="189" w:lineRule="exact"/>
        <w:rPr>
          <w:sz w:val="24"/>
          <w:szCs w:val="24"/>
          <w:color w:val="auto"/>
        </w:rPr>
      </w:pPr>
    </w:p>
    <w:p>
      <w:pPr>
        <w:ind w:left="1480" w:right="20" w:hanging="358"/>
        <w:spacing w:after="0" w:line="214" w:lineRule="auto"/>
        <w:tabs>
          <w:tab w:leader="none" w:pos="1480" w:val="left"/>
        </w:tabs>
        <w:numPr>
          <w:ilvl w:val="0"/>
          <w:numId w:val="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We have agreed to pay the Placement Agent a placement agent fee in an amount equal to three percent (3%) of the gross proceeds received by the Company in this Offering and to reimburse the Placement Agent for certain of their Offering-related expenses.</w:t>
      </w:r>
    </w:p>
    <w:p>
      <w:pPr>
        <w:spacing w:after="0" w:line="17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3"/>
          <w:szCs w:val="13"/>
          <w:color w:val="auto"/>
        </w:rPr>
        <w:t>Delivery of the shares of the Common Stock and Pre-Funded Warrants will be made on or around March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2981960</wp:posOffset>
            </wp:positionH>
            <wp:positionV relativeFrom="paragraph">
              <wp:posOffset>207645</wp:posOffset>
            </wp:positionV>
            <wp:extent cx="12033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18"/>
          <w:szCs w:val="18"/>
          <w:b w:val="1"/>
          <w:bCs w:val="1"/>
          <w:i w:val="1"/>
          <w:iCs w:val="1"/>
          <w:color w:val="auto"/>
        </w:rPr>
        <w:t>Placement Agent</w:t>
      </w:r>
    </w:p>
    <w:p>
      <w:pPr>
        <w:spacing w:after="0" w:line="8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Cohen &amp; Company Capital Markets</w:t>
      </w:r>
    </w:p>
    <w:p>
      <w:pPr>
        <w:spacing w:after="0" w:line="18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February 27, 2026.</w:t>
      </w:r>
    </w:p>
    <w:p>
      <w:pPr>
        <w:sectPr>
          <w:pgSz w:w="11900" w:h="16838" w:orient="portrait"/>
          <w:cols w:equalWidth="0" w:num="1">
            <w:col w:w="10160"/>
          </w:cols>
          <w:pgMar w:left="300" w:top="212" w:right="1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141"/>
        </w:trPr>
        <w:tc>
          <w:tcPr>
            <w:tcW w:w="8680" w:type="dxa"/>
            <w:vAlign w:val="bottom"/>
            <w:gridSpan w:val="24"/>
            <w:vMerge w:val="restart"/>
          </w:tcPr>
          <w:p>
            <w:pPr>
              <w:spacing w:after="0"/>
              <w:rPr>
                <w:sz w:val="20"/>
                <w:szCs w:val="20"/>
                <w:color w:val="auto"/>
              </w:rPr>
            </w:pPr>
            <w:r>
              <w:rPr>
                <w:rFonts w:ascii="Times New Roman" w:cs="Times New Roman" w:eastAsia="Times New Roman" w:hAnsi="Times New Roman"/>
                <w:sz w:val="15"/>
                <w:szCs w:val="15"/>
                <w:color w:val="0000EE"/>
              </w:rPr>
              <w:t>ABOUT THIS PROSPECTUS SUPPLEMENT</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5"/>
        </w:trPr>
        <w:tc>
          <w:tcPr>
            <w:tcW w:w="8680" w:type="dxa"/>
            <w:vAlign w:val="bottom"/>
            <w:gridSpan w:val="24"/>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S-ii</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tcBorders>
              <w:bottom w:val="single" w:sz="8" w:color="0000EE"/>
            </w:tcBorders>
            <w:gridSpan w:val="23"/>
          </w:tcPr>
          <w:p>
            <w:pPr>
              <w:spacing w:after="0" w:line="157" w:lineRule="exact"/>
              <w:rPr>
                <w:sz w:val="20"/>
                <w:szCs w:val="20"/>
                <w:color w:val="auto"/>
              </w:rPr>
            </w:pPr>
            <w:r>
              <w:rPr>
                <w:rFonts w:ascii="Times New Roman" w:cs="Times New Roman" w:eastAsia="Times New Roman" w:hAnsi="Times New Roman"/>
                <w:sz w:val="15"/>
                <w:szCs w:val="15"/>
                <w:color w:val="0000EE"/>
                <w:w w:val="96"/>
              </w:rPr>
              <w:t>CAUTIONARY STATEMENT REGARDING FORWARD-LOOKING INFORMATION</w:t>
            </w:r>
          </w:p>
        </w:tc>
        <w:tc>
          <w:tcPr>
            <w:tcW w:w="3380" w:type="dxa"/>
            <w:vAlign w:val="bottom"/>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S-iv</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PROSPECTUS SUPPLEMENT SUMMARY</w:t>
            </w: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S-1</w:t>
            </w:r>
          </w:p>
        </w:tc>
        <w:tc>
          <w:tcPr>
            <w:tcW w:w="0" w:type="dxa"/>
            <w:vAlign w:val="bottom"/>
          </w:tcPr>
          <w:p>
            <w:pPr>
              <w:spacing w:after="0"/>
              <w:rPr>
                <w:sz w:val="1"/>
                <w:szCs w:val="1"/>
                <w:color w:val="auto"/>
              </w:rPr>
            </w:pPr>
          </w:p>
        </w:tc>
      </w:tr>
      <w:tr>
        <w:trPr>
          <w:trHeight w:val="157"/>
        </w:trPr>
        <w:tc>
          <w:tcPr>
            <w:tcW w:w="2700" w:type="dxa"/>
            <w:vAlign w:val="bottom"/>
            <w:tcBorders>
              <w:top w:val="single" w:sz="8" w:color="0000EE"/>
            </w:tcBorders>
            <w:gridSpan w:val="17"/>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5980" w:type="dxa"/>
            <w:vAlign w:val="bottom"/>
            <w:gridSpan w:val="7"/>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S-4</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2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8"/>
              </w:rPr>
              <w:t>USE OF PROCEEDS</w:t>
            </w:r>
          </w:p>
        </w:tc>
        <w:tc>
          <w:tcPr>
            <w:tcW w:w="7360" w:type="dxa"/>
            <w:vAlign w:val="bottom"/>
            <w:gridSpan w:val="18"/>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S-7</w:t>
            </w:r>
          </w:p>
        </w:tc>
        <w:tc>
          <w:tcPr>
            <w:tcW w:w="0" w:type="dxa"/>
            <w:vAlign w:val="bottom"/>
          </w:tcPr>
          <w:p>
            <w:pPr>
              <w:spacing w:after="0"/>
              <w:rPr>
                <w:sz w:val="1"/>
                <w:szCs w:val="1"/>
                <w:color w:val="auto"/>
              </w:rPr>
            </w:pPr>
          </w:p>
        </w:tc>
      </w:tr>
      <w:tr>
        <w:trPr>
          <w:trHeight w:val="157"/>
        </w:trPr>
        <w:tc>
          <w:tcPr>
            <w:tcW w:w="1300" w:type="dxa"/>
            <w:vAlign w:val="bottom"/>
            <w:tcBorders>
              <w:bottom w:val="single" w:sz="8" w:color="0000EE"/>
            </w:tcBorders>
            <w:gridSpan w:val="5"/>
          </w:tcPr>
          <w:p>
            <w:pPr>
              <w:spacing w:after="0" w:line="157" w:lineRule="exact"/>
              <w:rPr>
                <w:sz w:val="20"/>
                <w:szCs w:val="20"/>
                <w:color w:val="auto"/>
              </w:rPr>
            </w:pPr>
            <w:r>
              <w:rPr>
                <w:rFonts w:ascii="Times New Roman" w:cs="Times New Roman" w:eastAsia="Times New Roman" w:hAnsi="Times New Roman"/>
                <w:sz w:val="15"/>
                <w:szCs w:val="15"/>
                <w:color w:val="0000EE"/>
                <w:w w:val="97"/>
              </w:rPr>
              <w:t>DIVIDEND POLICY</w:t>
            </w:r>
          </w:p>
        </w:tc>
        <w:tc>
          <w:tcPr>
            <w:tcW w:w="7380" w:type="dxa"/>
            <w:vAlign w:val="bottom"/>
            <w:gridSpan w:val="19"/>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S-8</w:t>
            </w:r>
          </w:p>
        </w:tc>
        <w:tc>
          <w:tcPr>
            <w:tcW w:w="0" w:type="dxa"/>
            <w:vAlign w:val="bottom"/>
          </w:tcPr>
          <w:p>
            <w:pPr>
              <w:spacing w:after="0"/>
              <w:rPr>
                <w:sz w:val="1"/>
                <w:szCs w:val="1"/>
                <w:color w:val="auto"/>
              </w:rPr>
            </w:pPr>
          </w:p>
        </w:tc>
      </w:tr>
      <w:tr>
        <w:trPr>
          <w:trHeight w:val="157"/>
        </w:trPr>
        <w:tc>
          <w:tcPr>
            <w:tcW w:w="1220" w:type="dxa"/>
            <w:vAlign w:val="bottom"/>
            <w:tcBorders>
              <w:bottom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5"/>
                <w:szCs w:val="15"/>
                <w:color w:val="0000EE"/>
                <w:w w:val="96"/>
              </w:rPr>
              <w:t>CAPITALIZATION</w:t>
            </w:r>
          </w:p>
        </w:tc>
        <w:tc>
          <w:tcPr>
            <w:tcW w:w="7460" w:type="dxa"/>
            <w:vAlign w:val="bottom"/>
            <w:gridSpan w:val="20"/>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S-9</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THE COMMON STOCK</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S-11</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20" w:type="dxa"/>
            <w:vAlign w:val="bottom"/>
            <w:tcBorders>
              <w:bottom w:val="single" w:sz="8" w:color="0000EE"/>
            </w:tcBorders>
            <w:gridSpan w:val="21"/>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THE PRE-FUNDED WARRANTS</w:t>
            </w:r>
          </w:p>
        </w:tc>
        <w:tc>
          <w:tcPr>
            <w:tcW w:w="5360" w:type="dxa"/>
            <w:vAlign w:val="bottom"/>
            <w:gridSpan w:val="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S-11</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DILUTION</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S-13</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PLAN OF DISTRIBUTION</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S-14</w:t>
            </w:r>
          </w:p>
        </w:tc>
        <w:tc>
          <w:tcPr>
            <w:tcW w:w="0" w:type="dxa"/>
            <w:vAlign w:val="bottom"/>
          </w:tcPr>
          <w:p>
            <w:pPr>
              <w:spacing w:after="0"/>
              <w:rPr>
                <w:sz w:val="1"/>
                <w:szCs w:val="1"/>
                <w:color w:val="auto"/>
              </w:rPr>
            </w:pPr>
          </w:p>
        </w:tc>
      </w:tr>
      <w:tr>
        <w:trPr>
          <w:trHeight w:val="157"/>
        </w:trPr>
        <w:tc>
          <w:tcPr>
            <w:tcW w:w="1200" w:type="dxa"/>
            <w:vAlign w:val="bottom"/>
            <w:tcBorders>
              <w:top w:val="single" w:sz="8" w:color="0000EE"/>
              <w:bottom w:val="single" w:sz="8" w:color="0000EE"/>
            </w:tcBorders>
            <w:gridSpan w:val="3"/>
          </w:tcPr>
          <w:p>
            <w:pPr>
              <w:spacing w:after="0" w:line="157" w:lineRule="exact"/>
              <w:rPr>
                <w:sz w:val="20"/>
                <w:szCs w:val="20"/>
                <w:color w:val="auto"/>
              </w:rPr>
            </w:pPr>
            <w:r>
              <w:rPr>
                <w:rFonts w:ascii="Times New Roman" w:cs="Times New Roman" w:eastAsia="Times New Roman" w:hAnsi="Times New Roman"/>
                <w:sz w:val="15"/>
                <w:szCs w:val="15"/>
                <w:color w:val="0000EE"/>
                <w:w w:val="95"/>
              </w:rPr>
              <w:t>LEGAL MATTERS</w:t>
            </w:r>
          </w:p>
        </w:tc>
        <w:tc>
          <w:tcPr>
            <w:tcW w:w="480" w:type="dxa"/>
            <w:vAlign w:val="bottom"/>
            <w:tcBorders>
              <w:top w:val="single" w:sz="8" w:color="0000EE"/>
            </w:tcBorders>
            <w:gridSpan w:val="5"/>
          </w:tcPr>
          <w:p>
            <w:pPr>
              <w:spacing w:after="0"/>
              <w:rPr>
                <w:sz w:val="13"/>
                <w:szCs w:val="13"/>
                <w:color w:val="auto"/>
              </w:rPr>
            </w:pPr>
          </w:p>
        </w:tc>
        <w:tc>
          <w:tcPr>
            <w:tcW w:w="7000" w:type="dxa"/>
            <w:vAlign w:val="bottom"/>
            <w:gridSpan w:val="16"/>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S-18</w:t>
            </w:r>
          </w:p>
        </w:tc>
        <w:tc>
          <w:tcPr>
            <w:tcW w:w="0" w:type="dxa"/>
            <w:vAlign w:val="bottom"/>
          </w:tcPr>
          <w:p>
            <w:pPr>
              <w:spacing w:after="0"/>
              <w:rPr>
                <w:sz w:val="1"/>
                <w:szCs w:val="1"/>
                <w:color w:val="auto"/>
              </w:rPr>
            </w:pPr>
          </w:p>
        </w:tc>
      </w:tr>
      <w:tr>
        <w:trPr>
          <w:trHeight w:val="157"/>
        </w:trPr>
        <w:tc>
          <w:tcPr>
            <w:tcW w:w="70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rPr>
              <w:t>EXPERTS</w:t>
            </w:r>
          </w:p>
        </w:tc>
        <w:tc>
          <w:tcPr>
            <w:tcW w:w="7980" w:type="dxa"/>
            <w:vAlign w:val="bottom"/>
            <w:gridSpan w:val="2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S-18</w:t>
            </w:r>
          </w:p>
        </w:tc>
        <w:tc>
          <w:tcPr>
            <w:tcW w:w="0" w:type="dxa"/>
            <w:vAlign w:val="bottom"/>
          </w:tcPr>
          <w:p>
            <w:pPr>
              <w:spacing w:after="0"/>
              <w:rPr>
                <w:sz w:val="1"/>
                <w:szCs w:val="1"/>
                <w:color w:val="auto"/>
              </w:rPr>
            </w:pPr>
          </w:p>
        </w:tc>
      </w:tr>
      <w:tr>
        <w:trPr>
          <w:trHeight w:val="157"/>
        </w:trPr>
        <w:tc>
          <w:tcPr>
            <w:tcW w:w="4260" w:type="dxa"/>
            <w:vAlign w:val="bottom"/>
            <w:tcBorders>
              <w:bottom w:val="single" w:sz="8" w:color="0000EE"/>
            </w:tcBorders>
            <w:gridSpan w:val="22"/>
          </w:tcPr>
          <w:p>
            <w:pPr>
              <w:spacing w:after="0" w:line="157" w:lineRule="exact"/>
              <w:rPr>
                <w:sz w:val="20"/>
                <w:szCs w:val="20"/>
                <w:color w:val="auto"/>
              </w:rPr>
            </w:pPr>
            <w:r>
              <w:rPr>
                <w:rFonts w:ascii="Times New Roman" w:cs="Times New Roman" w:eastAsia="Times New Roman" w:hAnsi="Times New Roman"/>
                <w:sz w:val="15"/>
                <w:szCs w:val="15"/>
                <w:color w:val="0000EE"/>
                <w:w w:val="96"/>
              </w:rPr>
              <w:t>INCORPORATION OF CERTAIN INFORMATION BY REFERENCE</w:t>
            </w:r>
          </w:p>
        </w:tc>
        <w:tc>
          <w:tcPr>
            <w:tcW w:w="4420" w:type="dxa"/>
            <w:vAlign w:val="bottom"/>
            <w:gridSpan w:val="2"/>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S-19</w:t>
            </w:r>
          </w:p>
        </w:tc>
        <w:tc>
          <w:tcPr>
            <w:tcW w:w="0" w:type="dxa"/>
            <w:vAlign w:val="bottom"/>
          </w:tcPr>
          <w:p>
            <w:pPr>
              <w:spacing w:after="0"/>
              <w:rPr>
                <w:sz w:val="1"/>
                <w:szCs w:val="1"/>
                <w:color w:val="auto"/>
              </w:rPr>
            </w:pPr>
          </w:p>
        </w:tc>
      </w:tr>
      <w:tr>
        <w:trPr>
          <w:trHeight w:val="545"/>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60" w:type="dxa"/>
            <w:vAlign w:val="bottom"/>
            <w:gridSpan w:val="3"/>
          </w:tcPr>
          <w:p>
            <w:pPr>
              <w:ind w:left="720"/>
              <w:spacing w:after="0"/>
              <w:rPr>
                <w:sz w:val="20"/>
                <w:szCs w:val="20"/>
                <w:color w:val="auto"/>
              </w:rPr>
            </w:pPr>
            <w:r>
              <w:rPr>
                <w:rFonts w:ascii="Times New Roman" w:cs="Times New Roman" w:eastAsia="Times New Roman" w:hAnsi="Times New Roman"/>
                <w:sz w:val="15"/>
                <w:szCs w:val="15"/>
                <w:b w:val="1"/>
                <w:bCs w:val="1"/>
                <w:color w:val="auto"/>
              </w:rPr>
              <w:t>PROSPECTUS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840" w:type="dxa"/>
            <w:vAlign w:val="bottom"/>
            <w:gridSpan w:val="10"/>
            <w:vMerge w:val="restart"/>
          </w:tcPr>
          <w:p>
            <w:pPr>
              <w:spacing w:after="0"/>
              <w:rPr>
                <w:sz w:val="20"/>
                <w:szCs w:val="20"/>
                <w:color w:val="auto"/>
              </w:rPr>
            </w:pPr>
            <w:r>
              <w:rPr>
                <w:rFonts w:ascii="Times New Roman" w:cs="Times New Roman" w:eastAsia="Times New Roman" w:hAnsi="Times New Roman"/>
                <w:sz w:val="15"/>
                <w:szCs w:val="15"/>
                <w:color w:val="0000EE"/>
                <w:w w:val="97"/>
              </w:rPr>
              <w:t>ABOUT THIS PROSPECTUS</w:t>
            </w:r>
          </w:p>
        </w:tc>
        <w:tc>
          <w:tcPr>
            <w:tcW w:w="6840" w:type="dxa"/>
            <w:vAlign w:val="bottom"/>
            <w:gridSpan w:val="14"/>
            <w:vMerge w:val="restart"/>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40"/>
        </w:trPr>
        <w:tc>
          <w:tcPr>
            <w:tcW w:w="1840" w:type="dxa"/>
            <w:vAlign w:val="bottom"/>
            <w:tcBorders>
              <w:bottom w:val="single" w:sz="8" w:color="0000EE"/>
            </w:tcBorders>
            <w:gridSpan w:val="10"/>
            <w:vMerge w:val="continue"/>
          </w:tcPr>
          <w:p>
            <w:pPr>
              <w:spacing w:after="0"/>
              <w:rPr>
                <w:sz w:val="11"/>
                <w:szCs w:val="11"/>
                <w:color w:val="auto"/>
              </w:rPr>
            </w:pPr>
          </w:p>
        </w:tc>
        <w:tc>
          <w:tcPr>
            <w:tcW w:w="6840" w:type="dxa"/>
            <w:vAlign w:val="bottom"/>
            <w:gridSpan w:val="14"/>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ii</w:t>
            </w:r>
          </w:p>
        </w:tc>
        <w:tc>
          <w:tcPr>
            <w:tcW w:w="0" w:type="dxa"/>
            <w:vAlign w:val="bottom"/>
          </w:tcPr>
          <w:p>
            <w:pPr>
              <w:spacing w:after="0"/>
              <w:rPr>
                <w:sz w:val="1"/>
                <w:szCs w:val="1"/>
                <w:color w:val="auto"/>
              </w:rPr>
            </w:pPr>
          </w:p>
        </w:tc>
      </w:tr>
      <w:tr>
        <w:trPr>
          <w:trHeight w:val="157"/>
        </w:trPr>
        <w:tc>
          <w:tcPr>
            <w:tcW w:w="1720" w:type="dxa"/>
            <w:vAlign w:val="bottom"/>
            <w:tcBorders>
              <w:bottom w:val="single" w:sz="8" w:color="0000EE"/>
            </w:tcBorders>
            <w:gridSpan w:val="9"/>
          </w:tcPr>
          <w:p>
            <w:pPr>
              <w:spacing w:after="0" w:line="157" w:lineRule="exact"/>
              <w:rPr>
                <w:sz w:val="20"/>
                <w:szCs w:val="20"/>
                <w:color w:val="auto"/>
              </w:rPr>
            </w:pPr>
            <w:r>
              <w:rPr>
                <w:rFonts w:ascii="Times New Roman" w:cs="Times New Roman" w:eastAsia="Times New Roman" w:hAnsi="Times New Roman"/>
                <w:sz w:val="15"/>
                <w:szCs w:val="15"/>
                <w:color w:val="0000EE"/>
                <w:w w:val="97"/>
              </w:rPr>
              <w:t>PROSPECTUS SUMMARY</w:t>
            </w:r>
          </w:p>
        </w:tc>
        <w:tc>
          <w:tcPr>
            <w:tcW w:w="6960" w:type="dxa"/>
            <w:vAlign w:val="bottom"/>
            <w:gridSpan w:val="15"/>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FORWARD-LOOKING STATEMENTS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57"/>
        </w:trPr>
        <w:tc>
          <w:tcPr>
            <w:tcW w:w="1320" w:type="dxa"/>
            <w:vAlign w:val="bottom"/>
            <w:tcBorders>
              <w:top w:val="single" w:sz="8" w:color="0000EE"/>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8"/>
              </w:rPr>
              <w:t>USE OF PROCEEDS</w:t>
            </w:r>
          </w:p>
        </w:tc>
        <w:tc>
          <w:tcPr>
            <w:tcW w:w="1080" w:type="dxa"/>
            <w:vAlign w:val="bottom"/>
            <w:tcBorders>
              <w:top w:val="single" w:sz="8" w:color="0000EE"/>
            </w:tcBorders>
            <w:gridSpan w:val="9"/>
          </w:tcPr>
          <w:p>
            <w:pPr>
              <w:spacing w:after="0"/>
              <w:rPr>
                <w:sz w:val="13"/>
                <w:szCs w:val="13"/>
                <w:color w:val="auto"/>
              </w:rPr>
            </w:pPr>
          </w:p>
        </w:tc>
        <w:tc>
          <w:tcPr>
            <w:tcW w:w="6280" w:type="dxa"/>
            <w:vAlign w:val="bottom"/>
            <w:gridSpan w:val="9"/>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7"/>
        </w:trPr>
        <w:tc>
          <w:tcPr>
            <w:tcW w:w="2360" w:type="dxa"/>
            <w:vAlign w:val="bottom"/>
            <w:tcBorders>
              <w:bottom w:val="single" w:sz="8" w:color="0000EE"/>
            </w:tcBorders>
            <w:gridSpan w:val="14"/>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CAPITAL STOCK</w:t>
            </w:r>
          </w:p>
        </w:tc>
        <w:tc>
          <w:tcPr>
            <w:tcW w:w="6320" w:type="dxa"/>
            <w:vAlign w:val="bottom"/>
            <w:gridSpan w:val="10"/>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DEBT SECURITIES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57"/>
        </w:trPr>
        <w:tc>
          <w:tcPr>
            <w:tcW w:w="2040" w:type="dxa"/>
            <w:vAlign w:val="bottom"/>
            <w:tcBorders>
              <w:top w:val="single" w:sz="8" w:color="0000EE"/>
              <w:bottom w:val="single" w:sz="8" w:color="0000EE"/>
            </w:tcBorders>
            <w:gridSpan w:val="11"/>
          </w:tcPr>
          <w:p>
            <w:pPr>
              <w:spacing w:after="0" w:line="157" w:lineRule="exact"/>
              <w:rPr>
                <w:sz w:val="20"/>
                <w:szCs w:val="20"/>
                <w:color w:val="auto"/>
              </w:rPr>
            </w:pPr>
            <w:r>
              <w:rPr>
                <w:rFonts w:ascii="Times New Roman" w:cs="Times New Roman" w:eastAsia="Times New Roman" w:hAnsi="Times New Roman"/>
                <w:sz w:val="15"/>
                <w:szCs w:val="15"/>
                <w:color w:val="0000EE"/>
                <w:w w:val="96"/>
              </w:rPr>
              <w:t>DESCRIPTION OF WARRANTS</w:t>
            </w:r>
          </w:p>
        </w:tc>
        <w:tc>
          <w:tcPr>
            <w:tcW w:w="440" w:type="dxa"/>
            <w:vAlign w:val="bottom"/>
            <w:tcBorders>
              <w:top w:val="single" w:sz="8" w:color="0000EE"/>
            </w:tcBorders>
            <w:gridSpan w:val="5"/>
          </w:tcPr>
          <w:p>
            <w:pPr>
              <w:spacing w:after="0"/>
              <w:rPr>
                <w:sz w:val="13"/>
                <w:szCs w:val="13"/>
                <w:color w:val="auto"/>
              </w:rPr>
            </w:pPr>
          </w:p>
        </w:tc>
        <w:tc>
          <w:tcPr>
            <w:tcW w:w="6200" w:type="dxa"/>
            <w:vAlign w:val="bottom"/>
            <w:gridSpan w:val="8"/>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UNITS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
        </w:trPr>
        <w:tc>
          <w:tcPr>
            <w:tcW w:w="16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PLAN OF DISTRIBUTION</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0"/>
        </w:trPr>
        <w:tc>
          <w:tcPr>
            <w:tcW w:w="1680" w:type="dxa"/>
            <w:vAlign w:val="bottom"/>
            <w:gridSpan w:val="8"/>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120" w:type="dxa"/>
            <w:vAlign w:val="bottom"/>
            <w:tcBorders>
              <w:bottom w:val="single" w:sz="8" w:color="0000EE"/>
            </w:tcBorders>
            <w:gridSpan w:val="12"/>
          </w:tcPr>
          <w:p>
            <w:pPr>
              <w:spacing w:after="0" w:line="157" w:lineRule="exact"/>
              <w:rPr>
                <w:sz w:val="20"/>
                <w:szCs w:val="20"/>
                <w:color w:val="auto"/>
              </w:rPr>
            </w:pPr>
            <w:r>
              <w:rPr>
                <w:rFonts w:ascii="Times New Roman" w:cs="Times New Roman" w:eastAsia="Times New Roman" w:hAnsi="Times New Roman"/>
                <w:sz w:val="15"/>
                <w:szCs w:val="15"/>
                <w:color w:val="0000EE"/>
                <w:w w:val="97"/>
              </w:rPr>
              <w:t>VALIDITY OF THE SECURITIES</w:t>
            </w:r>
          </w:p>
        </w:tc>
        <w:tc>
          <w:tcPr>
            <w:tcW w:w="6560" w:type="dxa"/>
            <w:vAlign w:val="bottom"/>
            <w:gridSpan w:val="12"/>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57"/>
        </w:trPr>
        <w:tc>
          <w:tcPr>
            <w:tcW w:w="70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rPr>
              <w:t>EXPERTS</w:t>
            </w:r>
          </w:p>
        </w:tc>
        <w:tc>
          <w:tcPr>
            <w:tcW w:w="7980" w:type="dxa"/>
            <w:vAlign w:val="bottom"/>
            <w:gridSpan w:val="2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57"/>
        </w:trPr>
        <w:tc>
          <w:tcPr>
            <w:tcW w:w="3140" w:type="dxa"/>
            <w:vAlign w:val="bottom"/>
            <w:tcBorders>
              <w:bottom w:val="single" w:sz="8" w:color="0000EE"/>
            </w:tcBorders>
            <w:gridSpan w:val="20"/>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5540" w:type="dxa"/>
            <w:vAlign w:val="bottom"/>
            <w:gridSpan w:val="4"/>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57"/>
        </w:trPr>
        <w:tc>
          <w:tcPr>
            <w:tcW w:w="2320" w:type="dxa"/>
            <w:vAlign w:val="bottom"/>
            <w:tcBorders>
              <w:bottom w:val="single" w:sz="8" w:color="0000EE"/>
            </w:tcBorders>
            <w:gridSpan w:val="13"/>
          </w:tcPr>
          <w:p>
            <w:pPr>
              <w:spacing w:after="0" w:line="157" w:lineRule="exact"/>
              <w:rPr>
                <w:sz w:val="20"/>
                <w:szCs w:val="20"/>
                <w:color w:val="auto"/>
              </w:rPr>
            </w:pPr>
            <w:r>
              <w:rPr>
                <w:rFonts w:ascii="Times New Roman" w:cs="Times New Roman" w:eastAsia="Times New Roman" w:hAnsi="Times New Roman"/>
                <w:sz w:val="15"/>
                <w:szCs w:val="15"/>
                <w:color w:val="0000EE"/>
                <w:w w:val="97"/>
              </w:rPr>
              <w:t>INCORPORATION BY REFERENCE</w:t>
            </w:r>
          </w:p>
        </w:tc>
        <w:tc>
          <w:tcPr>
            <w:tcW w:w="6360" w:type="dxa"/>
            <w:vAlign w:val="bottom"/>
            <w:gridSpan w:val="11"/>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S-i</w:t>
      </w:r>
    </w:p>
    <w:p>
      <w:pPr>
        <w:sectPr>
          <w:pgSz w:w="11900" w:h="16838" w:orient="portrait"/>
          <w:cols w:equalWidth="0" w:num="1">
            <w:col w:w="10159"/>
          </w:cols>
          <w:pgMar w:left="300" w:top="40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84" w:lineRule="exact"/>
        <w:rPr>
          <w:sz w:val="20"/>
          <w:szCs w:val="20"/>
          <w:color w:val="auto"/>
        </w:rPr>
      </w:pPr>
    </w:p>
    <w:p>
      <w:pPr>
        <w:ind w:left="1120" w:right="19" w:firstLine="362"/>
        <w:spacing w:after="0" w:line="253" w:lineRule="auto"/>
        <w:rPr>
          <w:sz w:val="20"/>
          <w:szCs w:val="20"/>
          <w:color w:val="auto"/>
        </w:rPr>
      </w:pPr>
      <w:r>
        <w:rPr>
          <w:rFonts w:ascii="Times New Roman" w:cs="Times New Roman" w:eastAsia="Times New Roman" w:hAnsi="Times New Roman"/>
          <w:sz w:val="15"/>
          <w:szCs w:val="15"/>
          <w:color w:val="auto"/>
        </w:rPr>
        <w:t>This document is in two parts. The first part is this prospectus supplement, which describes the terms of this Offering and also adds to and updates information contained in the accompanying prospectus and the documents incorporated by reference into this prospectus supplement and the accompanying prospectus. The second part consists of a prospectus dated July 3, 2025, included in the registration statement on Form S-3 (No.</w:t>
      </w:r>
    </w:p>
    <w:p>
      <w:pPr>
        <w:spacing w:after="0" w:line="1" w:lineRule="exact"/>
        <w:rPr>
          <w:sz w:val="20"/>
          <w:szCs w:val="20"/>
          <w:color w:val="auto"/>
        </w:rPr>
      </w:pPr>
    </w:p>
    <w:p>
      <w:pPr>
        <w:ind w:left="1120" w:right="39"/>
        <w:spacing w:after="0" w:line="248" w:lineRule="auto"/>
        <w:rPr>
          <w:sz w:val="20"/>
          <w:szCs w:val="20"/>
          <w:color w:val="auto"/>
        </w:rPr>
      </w:pPr>
      <w:r>
        <w:rPr>
          <w:rFonts w:ascii="Times New Roman" w:cs="Times New Roman" w:eastAsia="Times New Roman" w:hAnsi="Times New Roman"/>
          <w:sz w:val="15"/>
          <w:szCs w:val="15"/>
          <w:color w:val="auto"/>
        </w:rPr>
        <w:t>333-288361). Since the accompanying prospectus provides general information about us, some of the information may not apply to this Offering. This prospectus supplement describes the specific details regarding this Offering. Generally, when we refer to the “prospectus,” we are referring to both parts of this document. Additional information is incorporated by reference in this prospectus supplement. If information in this prospectus supplement is inconsistent with the accompanying prospectus, you should rely on this prospectus supplement. You should read this prospectus supplement, the accompanying prospectus and any information incorporated by reference before you make any investment decision.</w:t>
      </w:r>
    </w:p>
    <w:p>
      <w:pPr>
        <w:spacing w:after="0" w:line="158" w:lineRule="exact"/>
        <w:rPr>
          <w:sz w:val="20"/>
          <w:szCs w:val="20"/>
          <w:color w:val="auto"/>
        </w:rPr>
      </w:pPr>
    </w:p>
    <w:p>
      <w:pPr>
        <w:ind w:left="1120" w:right="119" w:firstLine="362"/>
        <w:spacing w:after="0" w:line="253" w:lineRule="auto"/>
        <w:rPr>
          <w:sz w:val="20"/>
          <w:szCs w:val="20"/>
          <w:color w:val="auto"/>
        </w:rPr>
      </w:pPr>
      <w:r>
        <w:rPr>
          <w:rFonts w:ascii="Times New Roman" w:cs="Times New Roman" w:eastAsia="Times New Roman" w:hAnsi="Times New Roman"/>
          <w:sz w:val="15"/>
          <w:szCs w:val="15"/>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5" w:lineRule="exact"/>
        <w:rPr>
          <w:sz w:val="20"/>
          <w:szCs w:val="20"/>
          <w:color w:val="auto"/>
        </w:rPr>
      </w:pPr>
    </w:p>
    <w:p>
      <w:pPr>
        <w:ind w:left="1120" w:right="139" w:firstLine="362"/>
        <w:spacing w:after="0" w:line="252" w:lineRule="auto"/>
        <w:rPr>
          <w:sz w:val="20"/>
          <w:szCs w:val="20"/>
          <w:color w:val="auto"/>
        </w:rPr>
      </w:pPr>
      <w:r>
        <w:rPr>
          <w:rFonts w:ascii="Times New Roman" w:cs="Times New Roman" w:eastAsia="Times New Roman" w:hAnsi="Times New Roman"/>
          <w:sz w:val="15"/>
          <w:szCs w:val="15"/>
          <w:color w:val="auto"/>
        </w:rPr>
        <w:t>Neither we nor the Placement Agent are making an offer to sell the Securities in jurisdictions where the offer or sale is not permitted. The distribution of this prospectus supplement and the accompanying prospectus and the offer and sale of the Securities in certain jurisdictions may be restricted by law. Persons outside the United States who come into possession of this prospectus supplement and the accompanying prospectus must inform themselves about and observe any restrictions relating to the Offering and the distribution of this prospectus supplement and the accompanying prospectus outside the United States. This prospectus supplement and the accompanying prospectus do not constitute an offer of, or an invitation to purchase, any Securities in any jurisdiction in which such offer or invitation would be unlawful.</w:t>
      </w:r>
    </w:p>
    <w:p>
      <w:pPr>
        <w:spacing w:after="0" w:line="155" w:lineRule="exact"/>
        <w:rPr>
          <w:sz w:val="20"/>
          <w:szCs w:val="20"/>
          <w:color w:val="auto"/>
        </w:rPr>
      </w:pPr>
    </w:p>
    <w:p>
      <w:pPr>
        <w:ind w:left="1120" w:right="19" w:firstLine="362"/>
        <w:spacing w:after="0" w:line="271"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accompanying prospectus or the documents incorporated herein by reference, these estimates involve risks and uncertainties and are subject to change based on various factors, including those discussed in the section entitled “Risk Factors” in this prospectus supplement and the accompanying prospectus, and under similar headings in the other documents that are incorporated by reference herein and therein. Accordingly, investors should not place undue reliance on this information.</w:t>
      </w:r>
    </w:p>
    <w:p>
      <w:pPr>
        <w:spacing w:after="0" w:line="144" w:lineRule="exact"/>
        <w:rPr>
          <w:sz w:val="20"/>
          <w:szCs w:val="20"/>
          <w:color w:val="auto"/>
        </w:rPr>
      </w:pPr>
    </w:p>
    <w:p>
      <w:pPr>
        <w:ind w:left="1120" w:right="99" w:firstLine="362"/>
        <w:spacing w:after="0" w:line="254" w:lineRule="auto"/>
        <w:rPr>
          <w:sz w:val="20"/>
          <w:szCs w:val="20"/>
          <w:color w:val="auto"/>
        </w:rPr>
      </w:pPr>
      <w:r>
        <w:rPr>
          <w:rFonts w:ascii="Times New Roman" w:cs="Times New Roman" w:eastAsia="Times New Roman" w:hAnsi="Times New Roman"/>
          <w:sz w:val="15"/>
          <w:szCs w:val="15"/>
          <w:b w:val="1"/>
          <w:bCs w:val="1"/>
          <w:color w:val="auto"/>
        </w:rPr>
        <w:t>You should rely only on information contained in this prospectus supplement, the accompanying prospectus and the documents we incorporate by reference in this prospectus supplement. We have not authorized anyone to provide you with information that is different from that contained in this prospectus supplement. We are not offering to sell or seeking offers to buy Securities in jurisdictions where offers and sales are not permitted. The information contained in this prospectus supplement and the accompanying prospectus supplement is accurate only as of their respective dates, regardless of the time of delivery of this prospectus supplement or of any sale of Securities.</w:t>
      </w:r>
    </w:p>
    <w:p>
      <w:pPr>
        <w:spacing w:after="0" w:line="153" w:lineRule="exact"/>
        <w:rPr>
          <w:sz w:val="20"/>
          <w:szCs w:val="20"/>
          <w:color w:val="auto"/>
        </w:rPr>
      </w:pPr>
    </w:p>
    <w:p>
      <w:pPr>
        <w:ind w:left="1120" w:right="119" w:firstLine="362"/>
        <w:spacing w:after="0" w:line="273" w:lineRule="auto"/>
        <w:rPr>
          <w:sz w:val="20"/>
          <w:szCs w:val="20"/>
          <w:color w:val="auto"/>
        </w:rPr>
      </w:pPr>
      <w:r>
        <w:rPr>
          <w:rFonts w:ascii="Times New Roman" w:cs="Times New Roman" w:eastAsia="Times New Roman" w:hAnsi="Times New Roman"/>
          <w:sz w:val="15"/>
          <w:szCs w:val="15"/>
          <w:color w:val="auto"/>
        </w:rPr>
        <w:t>Unless otherwise mentioned or unless the context requires otherwise, all references in this prospectus supplement to the “Company,” “we,” “us,” “our” and “Bakkt” refer to Bakkt, Inc., a Delaware corporation, and its consolidated subsidiaries.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S-ii</w:t>
      </w:r>
    </w:p>
    <w:p>
      <w:pPr>
        <w:sectPr>
          <w:pgSz w:w="11900" w:h="16838" w:orient="portrait"/>
          <w:cols w:equalWidth="0" w:num="1">
            <w:col w:w="10159"/>
          </w:cols>
          <w:pgMar w:left="300" w:top="40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59" w:firstLine="362"/>
        <w:spacing w:after="0" w:line="253" w:lineRule="auto"/>
        <w:rPr>
          <w:sz w:val="20"/>
          <w:szCs w:val="20"/>
          <w:color w:val="auto"/>
        </w:rPr>
      </w:pPr>
      <w:r>
        <w:rPr>
          <w:rFonts w:ascii="Times New Roman" w:cs="Times New Roman" w:eastAsia="Times New Roman" w:hAnsi="Times New Roman"/>
          <w:sz w:val="15"/>
          <w:szCs w:val="15"/>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section entitled “Incorporation of Certain Information by Reference.”</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S-iii</w:t>
      </w:r>
    </w:p>
    <w:p>
      <w:pPr>
        <w:sectPr>
          <w:pgSz w:w="11900" w:h="16838" w:orient="portrait"/>
          <w:cols w:equalWidth="0" w:num="1">
            <w:col w:w="10159"/>
          </w:cols>
          <w:pgMar w:left="300" w:top="40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INFORMATION</w:t>
      </w:r>
    </w:p>
    <w:p>
      <w:pPr>
        <w:spacing w:after="0" w:line="184" w:lineRule="exact"/>
        <w:rPr>
          <w:sz w:val="20"/>
          <w:szCs w:val="20"/>
          <w:color w:val="auto"/>
        </w:rPr>
      </w:pPr>
    </w:p>
    <w:p>
      <w:pPr>
        <w:ind w:left="1120" w:right="79" w:firstLine="362"/>
        <w:spacing w:after="0" w:line="249"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including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supplement and the accompanying prospectus may include, for example, statements about:</w:t>
      </w:r>
    </w:p>
    <w:p>
      <w:pPr>
        <w:spacing w:after="0" w:line="83" w:lineRule="exact"/>
        <w:rPr>
          <w:sz w:val="20"/>
          <w:szCs w:val="20"/>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Offering;</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financial performance and operating results;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for our products and services;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growth of the digital asset industry and the regulatory environment for digital assets;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impacts from the adoption of our investment policy (“Investment Policy”) and related digital asset treasury strategy;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plans, strategic initiatives and opportunities.</w:t>
      </w:r>
    </w:p>
    <w:p>
      <w:pPr>
        <w:spacing w:after="0" w:line="182" w:lineRule="exact"/>
        <w:rPr>
          <w:sz w:val="20"/>
          <w:szCs w:val="20"/>
          <w:color w:val="auto"/>
        </w:rPr>
      </w:pPr>
    </w:p>
    <w:p>
      <w:pPr>
        <w:ind w:left="1120" w:right="179" w:firstLine="362"/>
        <w:spacing w:after="0" w:line="253" w:lineRule="auto"/>
        <w:rPr>
          <w:sz w:val="20"/>
          <w:szCs w:val="20"/>
          <w:color w:val="auto"/>
        </w:rPr>
      </w:pPr>
      <w:r>
        <w:rPr>
          <w:rFonts w:ascii="Times New Roman" w:cs="Times New Roman" w:eastAsia="Times New Roman" w:hAnsi="Times New Roman"/>
          <w:sz w:val="15"/>
          <w:szCs w:val="15"/>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55" w:lineRule="exact"/>
        <w:rPr>
          <w:sz w:val="20"/>
          <w:szCs w:val="20"/>
          <w:color w:val="auto"/>
        </w:rPr>
      </w:pPr>
    </w:p>
    <w:p>
      <w:pPr>
        <w:jc w:val="both"/>
        <w:ind w:left="1120" w:right="279" w:firstLine="362"/>
        <w:spacing w:after="0" w:line="287"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4" w:lineRule="exact"/>
        <w:rPr>
          <w:sz w:val="20"/>
          <w:szCs w:val="20"/>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grow and manage growth profitably;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complete our acquisition of Distributed Technologies Research Global Ltd. (“DTR”);</w:t>
      </w:r>
    </w:p>
    <w:p>
      <w:pPr>
        <w:spacing w:after="0" w:line="104" w:lineRule="exact"/>
        <w:rPr>
          <w:rFonts w:ascii="Times New Roman" w:cs="Times New Roman" w:eastAsia="Times New Roman" w:hAnsi="Times New Roman"/>
          <w:sz w:val="15"/>
          <w:szCs w:val="15"/>
          <w:color w:val="auto"/>
        </w:rPr>
      </w:pPr>
    </w:p>
    <w:p>
      <w:pPr>
        <w:ind w:left="1920" w:right="139" w:hanging="354"/>
        <w:spacing w:after="0" w:line="27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will be able to successfully integrate our operations with those of DTR, including its infrastructure, and achieve the expected benefits therefrom;</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regulatory environment for digital assets and digital stablecoin payments;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business strategy;</w:t>
      </w:r>
    </w:p>
    <w:p>
      <w:pPr>
        <w:spacing w:after="0" w:line="104" w:lineRule="exact"/>
        <w:rPr>
          <w:rFonts w:ascii="Times New Roman" w:cs="Times New Roman" w:eastAsia="Times New Roman" w:hAnsi="Times New Roman"/>
          <w:sz w:val="15"/>
          <w:szCs w:val="15"/>
          <w:color w:val="auto"/>
        </w:rPr>
      </w:pPr>
    </w:p>
    <w:p>
      <w:pPr>
        <w:ind w:left="1920" w:right="39" w:hanging="354"/>
        <w:spacing w:after="0" w:line="27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adoption of the updated Investment Policy and related treasury strategy, including our ability to successfully consummate acquisitions, integrate or manage investments in potential acquisition targets and investees;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digital assets, including Bitcoin;</w:t>
      </w:r>
    </w:p>
    <w:p>
      <w:pPr>
        <w:spacing w:after="0" w:line="104" w:lineRule="exact"/>
        <w:rPr>
          <w:rFonts w:ascii="Times New Roman" w:cs="Times New Roman" w:eastAsia="Times New Roman" w:hAnsi="Times New Roman"/>
          <w:sz w:val="15"/>
          <w:szCs w:val="15"/>
          <w:color w:val="auto"/>
        </w:rPr>
      </w:pPr>
    </w:p>
    <w:p>
      <w:pPr>
        <w:ind w:left="1920" w:right="319" w:hanging="354"/>
        <w:spacing w:after="0" w:line="27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owning digital assets, including Bitcoin, including price volatility, limited liquidity and trading volumes, relative anonymity, potential widespread susceptibility to market abuse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S-iv</w:t>
      </w:r>
    </w:p>
    <w:p>
      <w:pPr>
        <w:sectPr>
          <w:pgSz w:w="11900" w:h="16838" w:orient="portrait"/>
          <w:cols w:equalWidth="0" w:num="1">
            <w:col w:w="10159"/>
          </w:cols>
          <w:pgMar w:left="300" w:top="40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40" w:right="39"/>
        <w:spacing w:after="0" w:line="273" w:lineRule="auto"/>
        <w:rPr>
          <w:sz w:val="20"/>
          <w:szCs w:val="20"/>
          <w:color w:val="auto"/>
        </w:rPr>
      </w:pPr>
      <w:r>
        <w:rPr>
          <w:rFonts w:ascii="Times New Roman" w:cs="Times New Roman" w:eastAsia="Times New Roman" w:hAnsi="Times New Roman"/>
          <w:sz w:val="15"/>
          <w:szCs w:val="15"/>
          <w:color w:val="auto"/>
        </w:rPr>
        <w:t>and manipulation, compliance and internal control failures at exchanges and other risks inherent in its entirely electronic, virtual, form and decentralized network;</w:t>
      </w:r>
    </w:p>
    <w:p>
      <w:pPr>
        <w:spacing w:after="0" w:line="62" w:lineRule="exact"/>
        <w:rPr>
          <w:sz w:val="20"/>
          <w:szCs w:val="20"/>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fluctuation of our operating results, including because we may be required to account for its digital assets at fair value;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time the price of our purchase of digital assets pursuant to our strategy;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market value of digital assets on our ability to satisfy our financial obligations, including any debt financings;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unrealized fair value gains on its digital asset holdings subjecting us to the corporate alternative minimum tax;</w:t>
      </w:r>
    </w:p>
    <w:p>
      <w:pPr>
        <w:spacing w:after="0" w:line="104" w:lineRule="exact"/>
        <w:rPr>
          <w:rFonts w:ascii="Times New Roman" w:cs="Times New Roman" w:eastAsia="Times New Roman" w:hAnsi="Times New Roman"/>
          <w:sz w:val="15"/>
          <w:szCs w:val="15"/>
          <w:color w:val="auto"/>
        </w:rPr>
      </w:pPr>
    </w:p>
    <w:p>
      <w:pPr>
        <w:ind w:left="1920" w:right="79" w:hanging="354"/>
        <w:spacing w:after="0" w:line="287" w:lineRule="auto"/>
        <w:tabs>
          <w:tab w:leader="none" w:pos="1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54"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by other Bitcoin treasury companies and the availability of spot-traded products for Bitcoin;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enhanced regulatory oversight as a result of our Investment Policy and related treasury strategy;</w:t>
      </w:r>
    </w:p>
    <w:p>
      <w:pPr>
        <w:spacing w:after="0" w:line="104" w:lineRule="exact"/>
        <w:rPr>
          <w:rFonts w:ascii="Times New Roman" w:cs="Times New Roman" w:eastAsia="Times New Roman" w:hAnsi="Times New Roman"/>
          <w:sz w:val="15"/>
          <w:szCs w:val="15"/>
          <w:color w:val="auto"/>
        </w:rPr>
      </w:pPr>
    </w:p>
    <w:p>
      <w:pPr>
        <w:ind w:left="1920" w:right="139" w:hanging="354"/>
        <w:spacing w:after="0" w:line="260"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concentration of our expected digital asset holdings relative to non-digital assets;</w:t>
      </w:r>
    </w:p>
    <w:p>
      <w:pPr>
        <w:spacing w:after="0" w:line="104" w:lineRule="exact"/>
        <w:rPr>
          <w:rFonts w:ascii="Times New Roman" w:cs="Times New Roman" w:eastAsia="Times New Roman" w:hAnsi="Times New Roman"/>
          <w:sz w:val="15"/>
          <w:szCs w:val="15"/>
          <w:color w:val="auto"/>
        </w:rPr>
      </w:pPr>
    </w:p>
    <w:p>
      <w:pPr>
        <w:ind w:left="1920" w:right="159" w:hanging="354"/>
        <w:spacing w:after="0" w:line="27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use our digital asset holdings as a source of liquidity to the same extent as cash and cash equivalents, due to, for example, risks associated with digital assets and other risks inherent to our entirely electronic, virtual form and decentralized network;</w:t>
      </w:r>
    </w:p>
    <w:p>
      <w:pPr>
        <w:spacing w:after="0" w:line="61" w:lineRule="exact"/>
        <w:rPr>
          <w:rFonts w:ascii="Times New Roman" w:cs="Times New Roman" w:eastAsia="Times New Roman" w:hAnsi="Times New Roman"/>
          <w:sz w:val="15"/>
          <w:szCs w:val="15"/>
          <w:color w:val="auto"/>
        </w:rPr>
      </w:pPr>
    </w:p>
    <w:p>
      <w:pPr>
        <w:ind w:left="1920" w:right="159" w:hanging="354"/>
        <w:spacing w:after="0" w:line="27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or a third-party service provider experiencing a security breach or cyber-attack where unauthorized parties obtain access to our digital assets;</w:t>
      </w:r>
    </w:p>
    <w:p>
      <w:pPr>
        <w:spacing w:after="0" w:line="61" w:lineRule="exact"/>
        <w:rPr>
          <w:rFonts w:ascii="Times New Roman" w:cs="Times New Roman" w:eastAsia="Times New Roman" w:hAnsi="Times New Roman"/>
          <w:sz w:val="15"/>
          <w:szCs w:val="15"/>
          <w:color w:val="auto"/>
        </w:rPr>
      </w:pPr>
    </w:p>
    <w:p>
      <w:pPr>
        <w:ind w:left="1920" w:right="79" w:hanging="354"/>
        <w:spacing w:after="0" w:line="25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access to or theft or data loss of our digital assets, which could be unrecoverable due to the immutable nature of blockchain transactions; if we elect to hold its digital assets through a third-party custodian, the loss of direct control over our digital assets and dependence on the custodian’s security practices and operational integrity which may lead to the loss of our digital assets as a result of the insolvency of the custodian, theft by employees or insiders of the custodian or if the custodian’s security measures are comprised, including as a result of a cyber-attack;</w:t>
      </w:r>
    </w:p>
    <w:p>
      <w:pPr>
        <w:spacing w:after="0" w:line="77" w:lineRule="exact"/>
        <w:rPr>
          <w:rFonts w:ascii="Times New Roman" w:cs="Times New Roman" w:eastAsia="Times New Roman" w:hAnsi="Times New Roman"/>
          <w:sz w:val="15"/>
          <w:szCs w:val="15"/>
          <w:color w:val="auto"/>
        </w:rPr>
      </w:pPr>
    </w:p>
    <w:p>
      <w:pPr>
        <w:ind w:left="1920" w:right="79" w:hanging="354"/>
        <w:spacing w:after="0" w:line="27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not being subject to the legal and regulatory protections applicable to investment companies such as mutual funds and exchange-traded funds, or to obligations applicable to investment advisers;</w:t>
      </w:r>
    </w:p>
    <w:p>
      <w:pPr>
        <w:spacing w:after="0" w:line="61" w:lineRule="exact"/>
        <w:rPr>
          <w:rFonts w:ascii="Times New Roman" w:cs="Times New Roman" w:eastAsia="Times New Roman" w:hAnsi="Times New Roman"/>
          <w:sz w:val="15"/>
          <w:szCs w:val="15"/>
          <w:color w:val="auto"/>
        </w:rPr>
      </w:pPr>
    </w:p>
    <w:p>
      <w:pPr>
        <w:ind w:left="1920" w:right="239" w:hanging="354"/>
        <w:spacing w:after="0" w:line="27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non-performance, breach of contract or other violations by counterparties assisting us in effecting our Investment Policy and related treasury strategy;</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capital requirements and sources and uses of cash, including funds to satisfy our liquidity needs;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raise capital and investments in us, including by our Chief Executive Officer;</w:t>
      </w:r>
    </w:p>
    <w:p>
      <w:pPr>
        <w:spacing w:after="0" w:line="104" w:lineRule="exact"/>
        <w:rPr>
          <w:rFonts w:ascii="Times New Roman" w:cs="Times New Roman" w:eastAsia="Times New Roman" w:hAnsi="Times New Roman"/>
          <w:sz w:val="15"/>
          <w:szCs w:val="15"/>
          <w:color w:val="auto"/>
        </w:rPr>
      </w:pPr>
    </w:p>
    <w:p>
      <w:pPr>
        <w:ind w:left="1920" w:right="379" w:hanging="354"/>
        <w:spacing w:after="0" w:line="27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in which we compete, including with respect to our competitive landscape, technology evolution or changes in applicable laws or regulations;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markets that we target;</w:t>
      </w:r>
    </w:p>
    <w:p>
      <w:pPr>
        <w:spacing w:after="0" w:line="1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S-v</w:t>
      </w:r>
    </w:p>
    <w:p>
      <w:pPr>
        <w:sectPr>
          <w:pgSz w:w="11900" w:h="16838" w:orient="portrait"/>
          <w:cols w:equalWidth="0" w:num="1">
            <w:col w:w="10159"/>
          </w:cols>
          <w:pgMar w:left="300" w:top="40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right="120" w:hanging="354"/>
        <w:spacing w:after="0" w:line="310" w:lineRule="auto"/>
        <w:tabs>
          <w:tab w:leader="none" w:pos="1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and disruptions in the digital asset, digital payments and stablecoin markets that subject us to additional risks, including the risk that banks may not provide banking services to us and market sentiments regarding digital assets, digital payments and stablecoins;</w:t>
      </w:r>
    </w:p>
    <w:p>
      <w:pPr>
        <w:spacing w:after="0" w:line="38"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we may be adversely affected by other macroeconomic, geopolitical, business, and/or competitive factors;</w:t>
      </w:r>
    </w:p>
    <w:p>
      <w:pPr>
        <w:spacing w:after="0" w:line="104" w:lineRule="exact"/>
        <w:rPr>
          <w:rFonts w:ascii="Times New Roman" w:cs="Times New Roman" w:eastAsia="Times New Roman" w:hAnsi="Times New Roman"/>
          <w:sz w:val="15"/>
          <w:szCs w:val="15"/>
          <w:color w:val="auto"/>
        </w:rPr>
      </w:pPr>
    </w:p>
    <w:p>
      <w:pPr>
        <w:ind w:left="1920" w:hanging="354"/>
        <w:spacing w:after="0" w:line="273" w:lineRule="auto"/>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launch new services and products, including with our expected commercial partners, or to profitably expand into new markets and services;</w:t>
      </w:r>
    </w:p>
    <w:p>
      <w:pPr>
        <w:spacing w:after="0" w:line="61" w:lineRule="exact"/>
        <w:rPr>
          <w:rFonts w:ascii="Times New Roman" w:cs="Times New Roman" w:eastAsia="Times New Roman" w:hAnsi="Times New Roman"/>
          <w:sz w:val="15"/>
          <w:szCs w:val="15"/>
          <w:color w:val="auto"/>
        </w:rPr>
      </w:pPr>
    </w:p>
    <w:p>
      <w:pPr>
        <w:ind w:left="1920" w:right="80" w:hanging="354"/>
        <w:spacing w:after="0" w:line="273" w:lineRule="auto"/>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execute its growth strategies, including identifying and executing acquisitions and divestitures and our initiatives to add new clients;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reach definitive agreements with our expected commercial counterparties;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with extensive government regulations, oversight, licensure and appraisals;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 and evolving regulatory regime governing blockchain technologies, stablecoins, digital payments and digital assets;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effective internal controls and procedures;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exposure to any liability, protracted and costly litigation or reputational damage relating to our data security;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any goodwill or other intangible assets impairments on our operating results;</w:t>
      </w:r>
    </w:p>
    <w:p>
      <w:pPr>
        <w:spacing w:after="0" w:line="104" w:lineRule="exact"/>
        <w:rPr>
          <w:rFonts w:ascii="Times New Roman" w:cs="Times New Roman" w:eastAsia="Times New Roman" w:hAnsi="Times New Roman"/>
          <w:sz w:val="15"/>
          <w:szCs w:val="15"/>
          <w:color w:val="auto"/>
        </w:rPr>
      </w:pPr>
    </w:p>
    <w:p>
      <w:pPr>
        <w:ind w:left="1920" w:right="200" w:hanging="354"/>
        <w:spacing w:after="0" w:line="273" w:lineRule="auto"/>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as a result of our lack of control over DTR, that DTR will not continue to make available, support or develop technology currently licensed pursuant to the existing commercial agreement with DTR;</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the listing of our securities on NYSE; and</w:t>
      </w:r>
    </w:p>
    <w:p>
      <w:pPr>
        <w:spacing w:after="0" w:line="104" w:lineRule="exact"/>
        <w:rPr>
          <w:rFonts w:ascii="Times New Roman" w:cs="Times New Roman" w:eastAsia="Times New Roman" w:hAnsi="Times New Roman"/>
          <w:sz w:val="15"/>
          <w:szCs w:val="15"/>
          <w:color w:val="auto"/>
        </w:rPr>
      </w:pPr>
    </w:p>
    <w:p>
      <w:pPr>
        <w:ind w:left="1920" w:right="60" w:hanging="354"/>
        <w:spacing w:after="0" w:line="252" w:lineRule="auto"/>
        <w:tabs>
          <w:tab w:leader="none" w:pos="19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indicated in this prospectus supplement and the accompanying prospectus, including those set forth under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and any risk factors described in any amendments or supplements to this prospectus supplement, the accompanying prospectus and in the documents incorporated by reference herein, including our most recent Annual Report on Form 10-K for the year ended December 31, 2024, our quarterly reports on Form 10-Q for the quarter ended March 31, 2025, the quarter ended June 30, 2025 and the quarter ended September 30, 2025, and the risks regarding our adoption of the Investment Policy set forth in Exhibit 99.1 to our Current Report on Form 8-K, filed with the SEC on June 10, 2025.</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S-vi</w:t>
      </w:r>
    </w:p>
    <w:p>
      <w:pPr>
        <w:sectPr>
          <w:pgSz w:w="11900" w:h="16838" w:orient="portrait"/>
          <w:cols w:equalWidth="0" w:num="1">
            <w:col w:w="10160"/>
          </w:cols>
          <w:pgMar w:left="300" w:top="400" w:right="1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3876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8020" cy="3876040"/>
                    </a:xfrm>
                    <a:prstGeom prst="rect">
                      <a:avLst/>
                    </a:prstGeom>
                    <a:noFill/>
                  </pic:spPr>
                </pic:pic>
              </a:graphicData>
            </a:graphic>
          </wp:anchor>
        </w:drawing>
      </w:r>
    </w:p>
    <w:p>
      <w:pPr>
        <w:spacing w:after="0" w:line="3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PROSPECTUS SUPPLEMENT SUMMARY</w:t>
      </w:r>
    </w:p>
    <w:p>
      <w:pPr>
        <w:spacing w:after="0" w:line="182" w:lineRule="exact"/>
        <w:rPr>
          <w:sz w:val="20"/>
          <w:szCs w:val="20"/>
          <w:color w:val="auto"/>
        </w:rPr>
      </w:pPr>
    </w:p>
    <w:p>
      <w:pPr>
        <w:ind w:left="1280" w:right="139" w:firstLine="350"/>
        <w:spacing w:after="0" w:line="250"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that is presented in greater detail elsewhere, or incorporated by reference, in this prospectus supplement and the accompanying prospectus. It does not contain all of the information that may be important to you and your investment decision. Before investing in our Common Stock, you should carefully read this entire prospectus supplement, the accompanying prospectus and the documents incorporated herein and therein, including the matters set forth under “Risk Factors” and any risk factors described in any amendments or supplements to this prospectus supplement, the accompanying prospectus and in the documents incorporated by reference herein, including our most recent Annual Report on Form 10-K for the year ended December 31, 2024, our quarterly reports on Form 10-Q for the quarter ended March 31, 2025, the quarter ended June 30, 2025 and the quarter ended September 30, 2025, and the risks regarding our adoption of the Investment Policy set forth in Exhibit 99.1 to our Current Report on Form 8-K, filed with the SEC on June 10, 2025.</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5" w:lineRule="exact"/>
        <w:rPr>
          <w:sz w:val="20"/>
          <w:szCs w:val="20"/>
          <w:color w:val="auto"/>
        </w:rPr>
      </w:pPr>
    </w:p>
    <w:p>
      <w:pPr>
        <w:ind w:left="1280" w:right="659" w:firstLine="350"/>
        <w:spacing w:after="0" w:line="273" w:lineRule="auto"/>
        <w:rPr>
          <w:sz w:val="20"/>
          <w:szCs w:val="20"/>
          <w:color w:val="auto"/>
        </w:rPr>
      </w:pPr>
      <w:r>
        <w:rPr>
          <w:rFonts w:ascii="Times New Roman" w:cs="Times New Roman" w:eastAsia="Times New Roman" w:hAnsi="Times New Roman"/>
          <w:sz w:val="15"/>
          <w:szCs w:val="15"/>
          <w:color w:val="auto"/>
        </w:rPr>
        <w:t>Founded in 2018, Bakkt builds next-generation digital financial infrastructure that enables institutional entry in Bitcoin, tokenization, stablecoin payments and AI-driven finance.</w:t>
      </w:r>
    </w:p>
    <w:p>
      <w:pPr>
        <w:spacing w:after="0" w:line="1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Our solutions include:</w:t>
      </w:r>
    </w:p>
    <w:p>
      <w:pPr>
        <w:spacing w:after="0" w:line="103" w:lineRule="exact"/>
        <w:rPr>
          <w:sz w:val="20"/>
          <w:szCs w:val="20"/>
          <w:color w:val="auto"/>
        </w:rPr>
      </w:pPr>
    </w:p>
    <w:p>
      <w:pPr>
        <w:ind w:left="1600" w:right="159" w:hanging="250"/>
        <w:spacing w:after="0" w:line="276"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Bakkt Markets. </w:t>
      </w:r>
      <w:r>
        <w:rPr>
          <w:rFonts w:ascii="Times New Roman" w:cs="Times New Roman" w:eastAsia="Times New Roman" w:hAnsi="Times New Roman"/>
          <w:sz w:val="15"/>
          <w:szCs w:val="15"/>
          <w:color w:val="auto"/>
        </w:rPr>
        <w:t>Bakkt Markets enables institutions to launch secure, compliant, and advanced digital asset brokerage and trading capabilities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through a plug-and-play platform that provides global digital asset capabilities without needing to build in-house.</w:t>
      </w:r>
    </w:p>
    <w:p>
      <w:pPr>
        <w:spacing w:after="0" w:line="57" w:lineRule="exact"/>
        <w:rPr>
          <w:rFonts w:ascii="Times New Roman" w:cs="Times New Roman" w:eastAsia="Times New Roman" w:hAnsi="Times New Roman"/>
          <w:sz w:val="15"/>
          <w:szCs w:val="15"/>
          <w:color w:val="auto"/>
        </w:rPr>
      </w:pPr>
    </w:p>
    <w:p>
      <w:pPr>
        <w:ind w:left="1600" w:right="479" w:hanging="250"/>
        <w:spacing w:after="0" w:line="276"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Bakkt Agent. </w:t>
      </w:r>
      <w:r>
        <w:rPr>
          <w:rFonts w:ascii="Times New Roman" w:cs="Times New Roman" w:eastAsia="Times New Roman" w:hAnsi="Times New Roman"/>
          <w:sz w:val="15"/>
          <w:szCs w:val="15"/>
          <w:color w:val="auto"/>
        </w:rPr>
        <w:t>Bakkt Agent uses an intelligent agent swarm to provide institutions with instant access to Bakkt’s key infrastructure layer,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onboarding, virtual accounts, stablecoin rails, and global payouts.</w:t>
      </w:r>
    </w:p>
    <w:p>
      <w:pPr>
        <w:spacing w:after="0" w:line="57" w:lineRule="exact"/>
        <w:rPr>
          <w:rFonts w:ascii="Times New Roman" w:cs="Times New Roman" w:eastAsia="Times New Roman" w:hAnsi="Times New Roman"/>
          <w:sz w:val="15"/>
          <w:szCs w:val="15"/>
          <w:color w:val="auto"/>
        </w:rPr>
      </w:pPr>
    </w:p>
    <w:p>
      <w:pPr>
        <w:ind w:left="1600" w:right="419" w:hanging="250"/>
        <w:spacing w:after="0" w:line="261"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Bakkt Global. </w:t>
      </w:r>
      <w:r>
        <w:rPr>
          <w:rFonts w:ascii="Times New Roman" w:cs="Times New Roman" w:eastAsia="Times New Roman" w:hAnsi="Times New Roman"/>
          <w:sz w:val="15"/>
          <w:szCs w:val="15"/>
          <w:color w:val="auto"/>
        </w:rPr>
        <w:t>Bakkt Global enables geographic diversification into high-growth, liquid markets with high barriers to entry. For instance,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Bakkt has made a significant investment in Bitcoin Japan Corporation (listed on the Tokyo Stock Exchange (TSE: 8105)) to expand institutional access in Japan.</w:t>
      </w:r>
    </w:p>
    <w:p>
      <w:pPr>
        <w:spacing w:after="0" w:line="2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95" w:lineRule="exact"/>
        <w:rPr>
          <w:sz w:val="20"/>
          <w:szCs w:val="20"/>
          <w:color w:val="auto"/>
        </w:rPr>
      </w:pPr>
    </w:p>
    <w:p>
      <w:pPr>
        <w:ind w:left="1280" w:right="159" w:firstLine="350"/>
        <w:spacing w:after="0" w:line="255" w:lineRule="auto"/>
        <w:rPr>
          <w:sz w:val="20"/>
          <w:szCs w:val="20"/>
          <w:color w:val="auto"/>
        </w:rPr>
      </w:pPr>
      <w:r>
        <w:rPr>
          <w:rFonts w:ascii="Times New Roman" w:cs="Times New Roman" w:eastAsia="Times New Roman" w:hAnsi="Times New Roman"/>
          <w:sz w:val="15"/>
          <w:szCs w:val="15"/>
          <w:color w:val="auto"/>
        </w:rPr>
        <w:t xml:space="preserve">Our principal executive offices are located at One Liberty Plaza, One Liberty Street, Suite 305-306, New York, New York 10006. Our telephone number is (678) 534-5849. Our website is </w:t>
      </w:r>
      <w:r>
        <w:rPr>
          <w:rFonts w:ascii="Times New Roman" w:cs="Times New Roman" w:eastAsia="Times New Roman" w:hAnsi="Times New Roman"/>
          <w:sz w:val="15"/>
          <w:szCs w:val="15"/>
          <w:i w:val="1"/>
          <w:iCs w:val="1"/>
          <w:color w:val="auto"/>
        </w:rPr>
        <w:t>https://www.bakkt.com</w:t>
      </w:r>
      <w:r>
        <w:rPr>
          <w:rFonts w:ascii="Times New Roman" w:cs="Times New Roman" w:eastAsia="Times New Roman" w:hAnsi="Times New Roman"/>
          <w:sz w:val="15"/>
          <w:szCs w:val="15"/>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S-1</w:t>
      </w:r>
    </w:p>
    <w:p>
      <w:pPr>
        <w:sectPr>
          <w:pgSz w:w="11900" w:h="16838" w:orient="portrait"/>
          <w:cols w:equalWidth="0" w:num="1">
            <w:col w:w="10159"/>
          </w:cols>
          <w:pgMar w:left="300" w:top="40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Issuer</w:t>
      </w:r>
    </w:p>
    <w:p>
      <w:pPr>
        <w:spacing w:after="0" w:line="1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Common Stock offered by us</w:t>
      </w:r>
    </w:p>
    <w:p>
      <w:pPr>
        <w:spacing w:after="0" w:line="1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Offering Price of our Common Stock</w:t>
      </w:r>
    </w:p>
    <w:p>
      <w:pPr>
        <w:spacing w:after="0" w:line="1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80"/>
        <w:spacing w:after="0" w:line="453" w:lineRule="auto"/>
        <w:rPr>
          <w:sz w:val="20"/>
          <w:szCs w:val="20"/>
          <w:color w:val="auto"/>
        </w:rPr>
      </w:pPr>
      <w:r>
        <w:rPr>
          <w:rFonts w:ascii="Times New Roman" w:cs="Times New Roman" w:eastAsia="Times New Roman" w:hAnsi="Times New Roman"/>
          <w:sz w:val="14"/>
          <w:szCs w:val="14"/>
          <w:b w:val="1"/>
          <w:bCs w:val="1"/>
          <w:color w:val="auto"/>
        </w:rPr>
        <w:t>Offering Price of our Pre-Funded Warrants Common Stock Outstanding prior to Offering Common Stock Outstanding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-640080</wp:posOffset>
            </wp:positionV>
            <wp:extent cx="7196455" cy="5076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507682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Bakkt, Inc.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3,024,799 shares of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8.75 per share of our Common Stock.</w:t>
      </w:r>
    </w:p>
    <w:p>
      <w:pPr>
        <w:spacing w:after="0" w:line="118" w:lineRule="exact"/>
        <w:rPr>
          <w:sz w:val="20"/>
          <w:szCs w:val="20"/>
          <w:color w:val="auto"/>
        </w:rPr>
      </w:pPr>
    </w:p>
    <w:p>
      <w:pPr>
        <w:ind w:right="159"/>
        <w:spacing w:after="0" w:line="250" w:lineRule="auto"/>
        <w:rPr>
          <w:sz w:val="20"/>
          <w:szCs w:val="20"/>
          <w:color w:val="auto"/>
        </w:rPr>
      </w:pPr>
      <w:r>
        <w:rPr>
          <w:rFonts w:ascii="Times New Roman" w:cs="Times New Roman" w:eastAsia="Times New Roman" w:hAnsi="Times New Roman"/>
          <w:sz w:val="15"/>
          <w:szCs w:val="15"/>
          <w:color w:val="auto"/>
        </w:rPr>
        <w:t>We are also offering, in lieu of Common Stock to certain investors, Pre-Funded Warrants to purchase 2,475,201 shares of our Common Stock. The purchase price of each Pre-Funded Warrant equals the price per share at which the Common Stock is being sold in this Offering, minus $0.0001, and the exercise price of each Pre-Funded Warrant will be $0.0001 per share. Each Pre-Funded Warrant will be exercisable at any time after its original issuance and at or prior to 5:00 p.m. (New York City time), subject to an ownership limitation. See “Description of Pre-Funded Warrants.” This prospectus supplement also relates to the registration of the Common Stock issuable upon exercise of such Pre-Funded Warrants.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8.7499 per Pre-Funded Warrant.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27,537,293 shares of Common Stock outstanding as of February 26, 2026.</w:t>
      </w:r>
    </w:p>
    <w:p>
      <w:pPr>
        <w:spacing w:after="0" w:line="116" w:lineRule="exact"/>
        <w:rPr>
          <w:sz w:val="20"/>
          <w:szCs w:val="20"/>
          <w:color w:val="auto"/>
        </w:rPr>
      </w:pPr>
    </w:p>
    <w:p>
      <w:pPr>
        <w:ind w:right="339"/>
        <w:spacing w:after="0" w:line="255" w:lineRule="auto"/>
        <w:rPr>
          <w:sz w:val="20"/>
          <w:szCs w:val="20"/>
          <w:color w:val="auto"/>
        </w:rPr>
      </w:pPr>
      <w:r>
        <w:rPr>
          <w:rFonts w:ascii="Times New Roman" w:cs="Times New Roman" w:eastAsia="Times New Roman" w:hAnsi="Times New Roman"/>
          <w:sz w:val="15"/>
          <w:szCs w:val="15"/>
          <w:color w:val="auto"/>
        </w:rPr>
        <w:t>30,562,092 shares of Common Stock. The number of shares of our Common Stock to be outstanding immediately after this offering is based on 27,537,293 shares of Common Stock outstanding as of February 26, 2026. No effect is given to the exercise of the Pre-Funded Warrants.</w:t>
      </w:r>
    </w:p>
    <w:p>
      <w:pPr>
        <w:spacing w:after="0" w:line="76" w:lineRule="exact"/>
        <w:rPr>
          <w:sz w:val="20"/>
          <w:szCs w:val="20"/>
          <w:color w:val="auto"/>
        </w:rPr>
      </w:pPr>
    </w:p>
    <w:p>
      <w:pPr>
        <w:ind w:right="179"/>
        <w:spacing w:after="0" w:line="248" w:lineRule="auto"/>
        <w:rPr>
          <w:sz w:val="20"/>
          <w:szCs w:val="20"/>
          <w:color w:val="auto"/>
        </w:rPr>
      </w:pPr>
      <w:r>
        <w:rPr>
          <w:rFonts w:ascii="Times New Roman" w:cs="Times New Roman" w:eastAsia="Times New Roman" w:hAnsi="Times New Roman"/>
          <w:sz w:val="15"/>
          <w:szCs w:val="15"/>
          <w:color w:val="auto"/>
        </w:rPr>
        <w:t>This figure excludes, as of that date, 285,615 shares of Common Stock reserved for the exercise of publicly traded warrants currently listed on the NYSE; 2,386,717 shares of Common Stock reserved for outstanding equity awards and the remaining pool of incentive equity available under the our 2021 Omnibus Incentive Plan (the “Omnibus Incentive Plan”); 1,954,866 shares of Common Stock for the exercise of a one-time grant of options to select members of management to purchase shares of the Company’s Common Stock; 1,153,200 shares of Common Stock reserved for the exercise of Class 1 Warrants; 864,650 shares of Common Stock reserved for the exercise of Class 2 Warrants; 815,282 shares of Common Stock reserved for the exercise of an inducement grant provided to Akshay Naheta in connection with his appointment as an officer of the Company; and the shares of Common Stock to be issued to the beneficial owners of DTR shares in connection with the Company’s acquisition of DTR, which will be equal to 31.5% of the aggregate number of shares of the Company’s Common Stock that are issued and outstanding immediately prior to the closing of the Company’s acquisition of DTR (the “DTR Closing”) plus the aggregate number of shares of the Company’s</w:t>
      </w:r>
    </w:p>
    <w:p>
      <w:pPr>
        <w:spacing w:after="0" w:line="200" w:lineRule="exact"/>
        <w:rPr>
          <w:sz w:val="20"/>
          <w:szCs w:val="20"/>
          <w:color w:val="auto"/>
        </w:rPr>
      </w:pPr>
    </w:p>
    <w:p>
      <w:pPr>
        <w:sectPr>
          <w:pgSz w:w="11900" w:h="16838" w:orient="portrait"/>
          <w:cols w:equalWidth="0" w:num="2">
            <w:col w:w="4260" w:space="320"/>
            <w:col w:w="5579"/>
          </w:cols>
          <w:pgMar w:left="300" w:top="400" w:right="1440" w:bottom="1440" w:gutter="0" w:footer="0" w:header="0"/>
        </w:sectPr>
      </w:pP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400"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3094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8020" cy="3094990"/>
                    </a:xfrm>
                    <a:prstGeom prst="rect">
                      <a:avLst/>
                    </a:prstGeom>
                    <a:noFill/>
                  </pic:spPr>
                </pic:pic>
              </a:graphicData>
            </a:graphic>
          </wp:anchor>
        </w:drawing>
      </w:r>
    </w:p>
    <w:p>
      <w:pPr>
        <w:spacing w:after="0" w:line="386" w:lineRule="exact"/>
        <w:rPr>
          <w:sz w:val="20"/>
          <w:szCs w:val="20"/>
          <w:color w:val="auto"/>
        </w:rPr>
      </w:pPr>
    </w:p>
    <w:p>
      <w:pPr>
        <w:ind w:left="4580" w:right="239"/>
        <w:spacing w:after="0" w:line="255" w:lineRule="auto"/>
        <w:rPr>
          <w:sz w:val="20"/>
          <w:szCs w:val="20"/>
          <w:color w:val="auto"/>
        </w:rPr>
      </w:pPr>
      <w:r>
        <w:rPr>
          <w:rFonts w:ascii="Times New Roman" w:cs="Times New Roman" w:eastAsia="Times New Roman" w:hAnsi="Times New Roman"/>
          <w:sz w:val="15"/>
          <w:szCs w:val="15"/>
          <w:color w:val="auto"/>
        </w:rPr>
        <w:t>Common Stock issuable upon full exercise or conversion of any options, warrants or other convertible derivative securities that are outstanding immediately prior to the DTR Closing, on an as-converted basis, but excluding any warrants to purchase shares of the Common Stock (such number of shares, the “DTR Acquisition Share Consideration”).</w:t>
      </w:r>
    </w:p>
    <w:p>
      <w:pPr>
        <w:sectPr>
          <w:pgSz w:w="11900" w:h="16838" w:orient="portrait"/>
          <w:cols w:equalWidth="0" w:num="1">
            <w:col w:w="10159"/>
          </w:cols>
          <w:pgMar w:left="300" w:top="400" w:right="1440" w:bottom="1440" w:gutter="0" w:footer="0" w:header="0"/>
        </w:sectPr>
      </w:pPr>
    </w:p>
    <w:p>
      <w:pPr>
        <w:spacing w:after="0" w:line="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259"/>
        <w:spacing w:after="0" w:line="260"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for working capital, for general corporate purposes and strategic initiatives. See “Use of Proceeds” on page S-7 of this prospectus supplement.</w:t>
      </w:r>
    </w:p>
    <w:p>
      <w:pPr>
        <w:spacing w:after="0" w:line="69" w:lineRule="exact"/>
        <w:rPr>
          <w:sz w:val="20"/>
          <w:szCs w:val="20"/>
          <w:color w:val="auto"/>
        </w:rPr>
      </w:pPr>
    </w:p>
    <w:p>
      <w:pPr>
        <w:sectPr>
          <w:pgSz w:w="11900" w:h="16838" w:orient="portrait"/>
          <w:cols w:equalWidth="0" w:num="2">
            <w:col w:w="3860" w:space="720"/>
            <w:col w:w="5579"/>
          </w:cols>
          <w:pgMar w:left="300" w:top="400"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right="199"/>
        <w:spacing w:after="0" w:line="249" w:lineRule="auto"/>
        <w:rPr>
          <w:sz w:val="20"/>
          <w:szCs w:val="20"/>
          <w:color w:val="auto"/>
        </w:rPr>
      </w:pPr>
      <w:r>
        <w:rPr>
          <w:rFonts w:ascii="Times New Roman" w:cs="Times New Roman" w:eastAsia="Times New Roman" w:hAnsi="Times New Roman"/>
          <w:sz w:val="15"/>
          <w:szCs w:val="15"/>
          <w:color w:val="auto"/>
        </w:rPr>
        <w:t>Investing in our Common Stock involves risk, and prospective investors should consider the risks and uncertainties set forth under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in the prospectus supplement and the accompanying prospectus and any risk factors described in any amendments or supplements to this prospectus supplement, the accompanying prospectus and in the documents incorporated by reference herein, including the Company’s most recent Annual Report on Form 10-K for the year ended December 31, 2024, its quarterly reports on Form 10-Q for the quarter ended March 31, 2025, the quarter ended June 30, 2025 and the quarter ended September 30, 2025, and the risks regarding the Company’s adoption of its Investment Policy set forth in Exhibit 99.1 to the Company’s Current Report on Form 8-K, filed with the SEC on June 10, 2025.</w:t>
      </w:r>
    </w:p>
    <w:p>
      <w:pPr>
        <w:spacing w:after="0" w:line="81" w:lineRule="exact"/>
        <w:rPr>
          <w:sz w:val="20"/>
          <w:szCs w:val="20"/>
          <w:color w:val="auto"/>
        </w:rPr>
      </w:pPr>
    </w:p>
    <w:p>
      <w:pPr>
        <w:sectPr>
          <w:pgSz w:w="11900" w:h="16838" w:orient="portrait"/>
          <w:cols w:equalWidth="0" w:num="2">
            <w:col w:w="3860" w:space="720"/>
            <w:col w:w="5579"/>
          </w:cols>
          <w:pgMar w:left="300" w:top="400"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b w:val="1"/>
          <w:bCs w:val="1"/>
          <w:color w:val="auto"/>
        </w:rPr>
        <w:t>NYSE trading symbol</w:t>
      </w:r>
    </w:p>
    <w:p>
      <w:pPr>
        <w:spacing w:after="0" w:line="20" w:lineRule="exact"/>
        <w:rPr>
          <w:sz w:val="20"/>
          <w:szCs w:val="20"/>
          <w:color w:val="auto"/>
        </w:rPr>
      </w:pPr>
      <w:r>
        <w:rPr>
          <w:sz w:val="20"/>
          <w:szCs w:val="20"/>
          <w:color w:val="auto"/>
        </w:rPr>
        <w:br w:type="column"/>
      </w:r>
    </w:p>
    <w:p>
      <w:pPr>
        <w:ind w:right="199"/>
        <w:spacing w:after="0" w:line="260" w:lineRule="auto"/>
        <w:rPr>
          <w:sz w:val="20"/>
          <w:szCs w:val="20"/>
          <w:color w:val="auto"/>
        </w:rPr>
      </w:pPr>
      <w:r>
        <w:rPr>
          <w:rFonts w:ascii="Times New Roman" w:cs="Times New Roman" w:eastAsia="Times New Roman" w:hAnsi="Times New Roman"/>
          <w:sz w:val="15"/>
          <w:szCs w:val="15"/>
          <w:color w:val="auto"/>
        </w:rPr>
        <w:t>Our Common Stock is listed on the NYSE under the symbol “BKKT”. We do not intend to apply for listing of the Pre-Funded Warrants on the NYSE or any securities exchange or nationally recognized trading system.</w:t>
      </w:r>
    </w:p>
    <w:p>
      <w:pPr>
        <w:spacing w:after="0" w:line="149" w:lineRule="exact"/>
        <w:rPr>
          <w:sz w:val="20"/>
          <w:szCs w:val="20"/>
          <w:color w:val="auto"/>
        </w:rPr>
      </w:pPr>
    </w:p>
    <w:p>
      <w:pPr>
        <w:sectPr>
          <w:pgSz w:w="11900" w:h="16838" w:orient="portrait"/>
          <w:cols w:equalWidth="0" w:num="2">
            <w:col w:w="3860" w:space="720"/>
            <w:col w:w="5579"/>
          </w:cols>
          <w:pgMar w:left="300" w:top="400" w:right="1440" w:bottom="1440" w:gutter="0" w:footer="0" w:header="0"/>
          <w:type w:val="continuous"/>
        </w:sectPr>
      </w:pPr>
    </w:p>
    <w:p>
      <w:pPr>
        <w:ind w:left="1280" w:right="339"/>
        <w:spacing w:after="0" w:line="260"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after this offering discussed in this prospectus supplement is based on 27,537,293 shares of our Common Stock outstanding. See the section entitled “Dilution” beginning on page S-13 of this prospectus supplement for a more detailed discussion of the dilution you could incur if you purchase shares of Common Stock in this Offering.</w:t>
      </w: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S-3</w:t>
      </w:r>
    </w:p>
    <w:p>
      <w:pPr>
        <w:sectPr>
          <w:pgSz w:w="11900" w:h="16838" w:orient="portrait"/>
          <w:cols w:equalWidth="0" w:num="1">
            <w:col w:w="10159"/>
          </w:cols>
          <w:pgMar w:left="300" w:top="400"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82" w:lineRule="exact"/>
        <w:rPr>
          <w:sz w:val="20"/>
          <w:szCs w:val="20"/>
          <w:color w:val="auto"/>
        </w:rPr>
      </w:pPr>
    </w:p>
    <w:p>
      <w:pPr>
        <w:ind w:left="1120" w:right="39" w:firstLine="362"/>
        <w:spacing w:after="0" w:line="250" w:lineRule="auto"/>
        <w:rPr>
          <w:sz w:val="20"/>
          <w:szCs w:val="20"/>
          <w:color w:val="auto"/>
        </w:rPr>
      </w:pPr>
      <w:r>
        <w:rPr>
          <w:rFonts w:ascii="Times New Roman" w:cs="Times New Roman" w:eastAsia="Times New Roman" w:hAnsi="Times New Roman"/>
          <w:sz w:val="15"/>
          <w:szCs w:val="15"/>
          <w:i w:val="1"/>
          <w:iCs w:val="1"/>
          <w:color w:val="auto"/>
        </w:rPr>
        <w:t>An investment in our securities involves a high degree of risk. Before investing in our Common Stock or Pre-Funded Warrants, you should carefully read this entire prospectus supplement, the accompanying prospectus and the documents incorporated herein and therein, including the matters set forth under this “Risk Factors” section and any risk factors described in any amendments or supplements to this prospectus supplement, the accompanying prospectus and in the documents incorporated by reference herein, including our most recent Annual Report on Form 10-K for the year ended December 31, 2024, our quarterly reports on Form 10-Q for the quarter ended March 31, 2025, the quarter ended June 30, 2025 and the quarter ended September 30, 2025, and the risks regarding our adoption of the Investment Policy set forth in Exhibit 99.1 to our Current Report on Form 8-K, filed with the SEC on June 10, 2025. Additional risks and uncertainties not presently known to us or that we currently deem immaterial may also affect our operations.</w:t>
      </w:r>
    </w:p>
    <w:p>
      <w:pPr>
        <w:spacing w:after="0" w:line="158" w:lineRule="exact"/>
        <w:rPr>
          <w:sz w:val="20"/>
          <w:szCs w:val="20"/>
          <w:color w:val="auto"/>
        </w:rPr>
      </w:pPr>
    </w:p>
    <w:p>
      <w:pPr>
        <w:ind w:left="1120" w:right="139" w:firstLine="362"/>
        <w:spacing w:after="0" w:line="276" w:lineRule="auto"/>
        <w:rPr>
          <w:sz w:val="20"/>
          <w:szCs w:val="20"/>
          <w:color w:val="auto"/>
        </w:rPr>
      </w:pPr>
      <w:r>
        <w:rPr>
          <w:rFonts w:ascii="Times New Roman" w:cs="Times New Roman" w:eastAsia="Times New Roman" w:hAnsi="Times New Roman"/>
          <w:sz w:val="15"/>
          <w:szCs w:val="15"/>
          <w:i w:val="1"/>
          <w:iCs w:val="1"/>
          <w:color w:val="auto"/>
        </w:rPr>
        <w:t>In connection with the forward-looking statements that appear in this prospectus supplement and the accompanying prospectus, you should also carefully review the cautionary statement referred to under “Forward-Looking Statements” in this prospectus supplement.</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Risks Related to this Offering</w:t>
      </w:r>
    </w:p>
    <w:p>
      <w:pPr>
        <w:spacing w:after="0" w:line="91" w:lineRule="exact"/>
        <w:rPr>
          <w:sz w:val="20"/>
          <w:szCs w:val="20"/>
          <w:color w:val="auto"/>
        </w:rPr>
      </w:pPr>
    </w:p>
    <w:p>
      <w:pPr>
        <w:ind w:left="1120" w:right="299"/>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If you purchase shares of Common Stock in this Offering, you will suffer immediate dilution of your investment as compared to the net tangible book value per share of our Common Stock.</w:t>
      </w:r>
    </w:p>
    <w:p>
      <w:pPr>
        <w:spacing w:after="0" w:line="48" w:lineRule="exact"/>
        <w:rPr>
          <w:sz w:val="20"/>
          <w:szCs w:val="20"/>
          <w:color w:val="auto"/>
        </w:rPr>
      </w:pPr>
    </w:p>
    <w:p>
      <w:pPr>
        <w:ind w:left="1120" w:right="19" w:firstLine="362"/>
        <w:spacing w:after="0" w:line="271" w:lineRule="auto"/>
        <w:rPr>
          <w:sz w:val="20"/>
          <w:szCs w:val="20"/>
          <w:color w:val="auto"/>
        </w:rPr>
      </w:pPr>
      <w:r>
        <w:rPr>
          <w:rFonts w:ascii="Times New Roman" w:cs="Times New Roman" w:eastAsia="Times New Roman" w:hAnsi="Times New Roman"/>
          <w:sz w:val="14"/>
          <w:szCs w:val="14"/>
          <w:color w:val="auto"/>
        </w:rPr>
        <w:t>The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giving effect to this Offering. If you purchase Common Stock in this offering, you will incur an immediate and substantial dilution in net tangible book value of $4.86 per share, after giving effect to the sale by us of 3,024,799 shares of Common Stock at the offering price of $8.75 per share. Furthermore, if the Pre-Funded Warrants offered hereby are exercised, you will experience further dilution. For a further description of the dilution that you will experience immediately after this offering, see “Dilution.” In addition, in the past, we have issued options to acquire Common Stock at prices significantly below the offering price. To the extent these outstanding options are ultimately exercised, you will incur additional</w:t>
      </w:r>
    </w:p>
    <w:p>
      <w:pPr>
        <w:spacing w:after="0" w:line="231" w:lineRule="exact"/>
        <w:rPr>
          <w:sz w:val="20"/>
          <w:szCs w:val="20"/>
          <w:color w:val="auto"/>
        </w:rPr>
      </w:pPr>
    </w:p>
    <w:p>
      <w:pPr>
        <w:ind w:left="1120" w:right="19"/>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may issue Common Stock as consideration for strategic acquisitions or investments, including the DTR Acquisition, which may result in dilution of your investment.</w:t>
      </w:r>
    </w:p>
    <w:p>
      <w:pPr>
        <w:spacing w:after="0" w:line="48" w:lineRule="exact"/>
        <w:rPr>
          <w:sz w:val="20"/>
          <w:szCs w:val="20"/>
          <w:color w:val="auto"/>
        </w:rPr>
      </w:pPr>
    </w:p>
    <w:p>
      <w:pPr>
        <w:ind w:left="1120" w:right="159" w:firstLine="362"/>
        <w:spacing w:after="0" w:line="252" w:lineRule="auto"/>
        <w:rPr>
          <w:sz w:val="20"/>
          <w:szCs w:val="20"/>
          <w:color w:val="auto"/>
        </w:rPr>
      </w:pPr>
      <w:r>
        <w:rPr>
          <w:rFonts w:ascii="Times New Roman" w:cs="Times New Roman" w:eastAsia="Times New Roman" w:hAnsi="Times New Roman"/>
          <w:sz w:val="15"/>
          <w:szCs w:val="15"/>
          <w:color w:val="auto"/>
        </w:rPr>
        <w:t>We may issue shares of our Common Stock or other securities from time to time as consideration for, or to finance, future acquisitions, investments, debt-for-equity exchanges or for other capital needs. We cannot predict the size of future issuances of our Common Stock or the effect, if any, that future sales and issuances of Common Stock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shareholders. We may also grant registration rights covering shares of our Common Stock or other securities that we may issue in connection with any such acquisitions and investments.</w:t>
      </w:r>
    </w:p>
    <w:p>
      <w:pPr>
        <w:spacing w:after="0" w:line="155" w:lineRule="exact"/>
        <w:rPr>
          <w:sz w:val="20"/>
          <w:szCs w:val="20"/>
          <w:color w:val="auto"/>
        </w:rPr>
      </w:pPr>
    </w:p>
    <w:p>
      <w:pPr>
        <w:ind w:left="1120" w:right="119" w:firstLine="362"/>
        <w:spacing w:after="0" w:line="253" w:lineRule="auto"/>
        <w:rPr>
          <w:sz w:val="20"/>
          <w:szCs w:val="20"/>
          <w:color w:val="auto"/>
        </w:rPr>
      </w:pPr>
      <w:r>
        <w:rPr>
          <w:rFonts w:ascii="Times New Roman" w:cs="Times New Roman" w:eastAsia="Times New Roman" w:hAnsi="Times New Roman"/>
          <w:sz w:val="15"/>
          <w:szCs w:val="15"/>
          <w:color w:val="auto"/>
        </w:rPr>
        <w:t>For example, on January 11, 2026, Bakkt Opco Holdings, LLC (“Opco”), a Delaware limited liability company and wholly owned subsidiary of the Company, entered into a Share Purchase Agreement (the “Purchase Agreement”) by and among Opco, the Company, DTR, and Akshay Naheta (Mr. Naheta or the “Seller”). Pursuant to the terms and subject to the conditions set forth in the Purchase Agreement, the Company will acquire DTR (the “DTR Acquisition”) by issuing to the DTR Holders (as defined below) the DTR Acquisition Share Consideration to the Seller and other beneficial owners of DTR shares (the “DTR Holders”). The DTR</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S-4</w:t>
      </w:r>
    </w:p>
    <w:p>
      <w:pPr>
        <w:sectPr>
          <w:pgSz w:w="11900" w:h="16838" w:orient="portrait"/>
          <w:cols w:equalWidth="0" w:num="1">
            <w:col w:w="10159"/>
          </w:cols>
          <w:pgMar w:left="300" w:top="40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320"/>
        <w:spacing w:after="0" w:line="273" w:lineRule="auto"/>
        <w:rPr>
          <w:sz w:val="20"/>
          <w:szCs w:val="20"/>
          <w:color w:val="auto"/>
        </w:rPr>
      </w:pPr>
      <w:r>
        <w:rPr>
          <w:rFonts w:ascii="Times New Roman" w:cs="Times New Roman" w:eastAsia="Times New Roman" w:hAnsi="Times New Roman"/>
          <w:sz w:val="15"/>
          <w:szCs w:val="15"/>
          <w:color w:val="auto"/>
        </w:rPr>
        <w:t>Acquisition is subject to the approval of the Company’s shareholders. If the DTR Acquisition is approved by the Company’s shareholders, the DTR Acquisition Share Consideration will be issued and your investment will be diluted.</w:t>
      </w:r>
    </w:p>
    <w:p>
      <w:pPr>
        <w:spacing w:after="0" w:line="224" w:lineRule="exact"/>
        <w:rPr>
          <w:sz w:val="20"/>
          <w:szCs w:val="20"/>
          <w:color w:val="auto"/>
        </w:rPr>
      </w:pPr>
    </w:p>
    <w:p>
      <w:pPr>
        <w:ind w:left="1120" w:right="24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48" w:lineRule="exact"/>
        <w:rPr>
          <w:sz w:val="20"/>
          <w:szCs w:val="20"/>
          <w:color w:val="auto"/>
        </w:rPr>
      </w:pPr>
    </w:p>
    <w:p>
      <w:pPr>
        <w:ind w:left="1120" w:right="40" w:firstLine="362"/>
        <w:spacing w:after="0" w:line="251"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for working capital, general corporate purposes and strategic initiatives. Our management will have broad discretion over the use and investment of these net proceeds and could spend the proceeds in ways that do not improve our results of operations or enhance the value of our Common Stock. Accordingly, you will have to rely upon the judgment of our management with respect to the use of these net proceeds, with only limited information concerning management’s specific intentions. You will not have the opportunity, as part of your investment decision, to assess whether we will use the net proceeds from this Offering appropriately. If we do not invest or apply the net proceeds from this Offering or our existing cash in ways that enhance stockholder value, we may fail to achieve expected results, which could cause the price per share of our Common Stock to decline.</w:t>
      </w:r>
    </w:p>
    <w:p>
      <w:pPr>
        <w:spacing w:after="0" w:line="240" w:lineRule="exact"/>
        <w:rPr>
          <w:sz w:val="20"/>
          <w:szCs w:val="20"/>
          <w:color w:val="auto"/>
        </w:rPr>
      </w:pPr>
    </w:p>
    <w:p>
      <w:pPr>
        <w:ind w:left="1120" w:right="26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may need additional capital, and any additional capital we seek may not be available in the amount or at the time we need it, or on terms that would be acceptable to us.</w:t>
      </w:r>
    </w:p>
    <w:p>
      <w:pPr>
        <w:spacing w:after="0" w:line="48" w:lineRule="exact"/>
        <w:rPr>
          <w:sz w:val="20"/>
          <w:szCs w:val="20"/>
          <w:color w:val="auto"/>
        </w:rPr>
      </w:pPr>
    </w:p>
    <w:p>
      <w:pPr>
        <w:ind w:left="1120" w:right="80" w:firstLine="362"/>
        <w:spacing w:after="0" w:line="250" w:lineRule="auto"/>
        <w:rPr>
          <w:sz w:val="20"/>
          <w:szCs w:val="20"/>
          <w:color w:val="auto"/>
        </w:rPr>
      </w:pPr>
      <w:r>
        <w:rPr>
          <w:rFonts w:ascii="Times New Roman" w:cs="Times New Roman" w:eastAsia="Times New Roman" w:hAnsi="Times New Roman"/>
          <w:sz w:val="15"/>
          <w:szCs w:val="15"/>
          <w:color w:val="auto"/>
        </w:rPr>
        <w:t>We may need to raise funds in the future to execute our business plan. We may seek to raise additional capital to fund or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w:t>
      </w:r>
    </w:p>
    <w:p>
      <w:pPr>
        <w:spacing w:after="0" w:line="2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our securities may be volatile.</w:t>
      </w:r>
    </w:p>
    <w:p>
      <w:pPr>
        <w:spacing w:after="0" w:line="97"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The trading market for our securities has in the past been and could in the future be impacted by market volatility. During the 12 months ended February 25, 2026, the market price of our Common Stock has ranged from a high of $49.79 per share to a low of $6.81 per share. This market volatility could reduce the market price of our securities without regard to our operating performance. In addition, the trading price of our Common Stock could change significantly in response to actual or anticipated variations in our quarterly operating results, announcements by us or our competitors, factors affecting the digital asset industry generally, changes in national or regional economic conditions, changes in securities analysts’ estimates for us or our competitors’ or industry’s future performance or general market conditions, making it more difficult for our securities to be sold at a favorable price or at all. The market price of our Common Stock could also be reduced by general market price declines or market volatility in the future or future declines or volatility in the prices of stocks for companies in our industry.</w:t>
      </w:r>
    </w:p>
    <w:p>
      <w:pPr>
        <w:spacing w:after="0" w:line="243" w:lineRule="exact"/>
        <w:rPr>
          <w:sz w:val="20"/>
          <w:szCs w:val="20"/>
          <w:color w:val="auto"/>
        </w:rPr>
      </w:pPr>
    </w:p>
    <w:p>
      <w:pPr>
        <w:ind w:left="1120" w:right="1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Because we do not anticipate paying any cash dividends on our capital stock in the foreseeable future, capital appreciation, if any, will be your sole source of gain.</w:t>
      </w:r>
    </w:p>
    <w:p>
      <w:pPr>
        <w:spacing w:after="0" w:line="48" w:lineRule="exact"/>
        <w:rPr>
          <w:sz w:val="20"/>
          <w:szCs w:val="20"/>
          <w:color w:val="auto"/>
        </w:rPr>
      </w:pPr>
    </w:p>
    <w:p>
      <w:pPr>
        <w:ind w:left="1120" w:right="100" w:firstLine="362"/>
        <w:spacing w:after="0" w:line="260" w:lineRule="auto"/>
        <w:rPr>
          <w:sz w:val="20"/>
          <w:szCs w:val="20"/>
          <w:color w:val="auto"/>
        </w:rPr>
      </w:pPr>
      <w:r>
        <w:rPr>
          <w:rFonts w:ascii="Times New Roman" w:cs="Times New Roman" w:eastAsia="Times New Roman" w:hAnsi="Times New Roman"/>
          <w:sz w:val="15"/>
          <w:szCs w:val="15"/>
          <w:color w:val="auto"/>
        </w:rPr>
        <w:t>We have never declared or paid cash dividends on our capital stock. We anticipate that we will retain our earnings, if any, for future growth and therefore do not anticipate paying cash dividends in the future. As a result, only appreciation of the price of our Common Stock will provide a return to stockholders.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S-5</w:t>
      </w:r>
    </w:p>
    <w:p>
      <w:pPr>
        <w:sectPr>
          <w:pgSz w:w="11900" w:h="16838" w:orient="portrait"/>
          <w:cols w:equalWidth="0" w:num="1">
            <w:col w:w="10160"/>
          </w:cols>
          <w:pgMar w:left="300" w:top="400" w:right="1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i w:val="1"/>
          <w:iCs w:val="1"/>
          <w:color w:val="auto"/>
        </w:rPr>
        <w:t>There is no public market for the Pre-Funded Warrants being offered in this Offering.</w:t>
      </w:r>
    </w:p>
    <w:p>
      <w:pPr>
        <w:spacing w:after="0" w:line="186" w:lineRule="exact"/>
        <w:rPr>
          <w:sz w:val="20"/>
          <w:szCs w:val="20"/>
          <w:color w:val="auto"/>
        </w:rPr>
      </w:pPr>
    </w:p>
    <w:p>
      <w:pPr>
        <w:ind w:left="1120" w:right="239" w:firstLine="362"/>
        <w:spacing w:after="0" w:line="260" w:lineRule="auto"/>
        <w:rPr>
          <w:sz w:val="20"/>
          <w:szCs w:val="20"/>
          <w:color w:val="auto"/>
        </w:rPr>
      </w:pPr>
      <w:r>
        <w:rPr>
          <w:rFonts w:ascii="Times New Roman" w:cs="Times New Roman" w:eastAsia="Times New Roman" w:hAnsi="Times New Roman"/>
          <w:sz w:val="15"/>
          <w:szCs w:val="15"/>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NYSE. Without an active market, the liquidity of the Pre-Funded Warrants will be limited.</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i w:val="1"/>
          <w:iCs w:val="1"/>
          <w:color w:val="auto"/>
        </w:rPr>
        <w:t>We will not receive a significant amount or any additional funds upon the exercise of the Pre-Funded Warrants.</w:t>
      </w:r>
    </w:p>
    <w:p>
      <w:pPr>
        <w:spacing w:after="0" w:line="186" w:lineRule="exact"/>
        <w:rPr>
          <w:sz w:val="20"/>
          <w:szCs w:val="20"/>
          <w:color w:val="auto"/>
        </w:rPr>
      </w:pPr>
    </w:p>
    <w:p>
      <w:pPr>
        <w:ind w:left="1120" w:right="339" w:firstLine="362"/>
        <w:spacing w:after="0" w:line="255" w:lineRule="auto"/>
        <w:rPr>
          <w:sz w:val="20"/>
          <w:szCs w:val="20"/>
          <w:color w:val="auto"/>
        </w:rPr>
      </w:pPr>
      <w:r>
        <w:rPr>
          <w:rFonts w:ascii="Times New Roman" w:cs="Times New Roman" w:eastAsia="Times New Roman" w:hAnsi="Times New Roman"/>
          <w:sz w:val="15"/>
          <w:szCs w:val="15"/>
          <w:color w:val="auto"/>
        </w:rPr>
        <w:t>Each Pre-Funded Warrant is exercisable for $0.0001 per share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any additional funds upon the exercise of the Pre-Funded Warrants.</w:t>
      </w:r>
    </w:p>
    <w:p>
      <w:pPr>
        <w:spacing w:after="0" w:line="149" w:lineRule="exact"/>
        <w:rPr>
          <w:sz w:val="20"/>
          <w:szCs w:val="20"/>
          <w:color w:val="auto"/>
        </w:rPr>
      </w:pPr>
    </w:p>
    <w:p>
      <w:pPr>
        <w:ind w:left="1120" w:right="99" w:firstLine="362"/>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Holders of Pre-Funded Warrants purchased in this Offering will have no rights as stockholders until such holders exercise their Pre-Funded Warrants and acquire our Common Stock.</w:t>
      </w:r>
    </w:p>
    <w:p>
      <w:pPr>
        <w:spacing w:after="0" w:line="136" w:lineRule="exact"/>
        <w:rPr>
          <w:sz w:val="20"/>
          <w:szCs w:val="20"/>
          <w:color w:val="auto"/>
        </w:rPr>
      </w:pPr>
    </w:p>
    <w:p>
      <w:pPr>
        <w:jc w:val="both"/>
        <w:ind w:left="1120" w:right="39" w:firstLine="362"/>
        <w:spacing w:after="0" w:line="260" w:lineRule="auto"/>
        <w:rPr>
          <w:sz w:val="20"/>
          <w:szCs w:val="20"/>
          <w:color w:val="auto"/>
        </w:rPr>
      </w:pPr>
      <w:r>
        <w:rPr>
          <w:rFonts w:ascii="Times New Roman" w:cs="Times New Roman" w:eastAsia="Times New Roman" w:hAnsi="Times New Roman"/>
          <w:sz w:val="15"/>
          <w:szCs w:val="15"/>
          <w:color w:val="auto"/>
        </w:rPr>
        <w:t>Until holders of Pre-Funded Warrants acquire our Common Stock upon exercise of the Pre-Funded Warrants, holders of Pre-Funded Warrants will have no rights with respect to the Common Stock underlying such Pre-Funded Warrants. Upon exercise of the Pre-Funded Warrants, the holders will be entitled to exercise the rights of a stockholder only as to matters for which the record date occurs after the exercise date.</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i w:val="1"/>
          <w:iCs w:val="1"/>
          <w:color w:val="auto"/>
        </w:rPr>
        <w:t>Significant holders or beneficial holders of our Common Stock may not be permitted to exercise Pre-Funded Warrants that they hold.</w:t>
      </w:r>
    </w:p>
    <w:p>
      <w:pPr>
        <w:spacing w:after="0" w:line="186" w:lineRule="exact"/>
        <w:rPr>
          <w:sz w:val="20"/>
          <w:szCs w:val="20"/>
          <w:color w:val="auto"/>
        </w:rPr>
      </w:pPr>
    </w:p>
    <w:p>
      <w:pPr>
        <w:ind w:left="1120" w:right="339" w:firstLine="362"/>
        <w:spacing w:after="0" w:line="275" w:lineRule="auto"/>
        <w:rPr>
          <w:sz w:val="20"/>
          <w:szCs w:val="20"/>
          <w:color w:val="auto"/>
        </w:rPr>
      </w:pPr>
      <w:r>
        <w:rPr>
          <w:rFonts w:ascii="Times New Roman" w:cs="Times New Roman" w:eastAsia="Times New Roman" w:hAnsi="Times New Roman"/>
          <w:sz w:val="14"/>
          <w:szCs w:val="14"/>
          <w:color w:val="auto"/>
        </w:rPr>
        <w:t>A holder of a Pre-Funded Warrant will not be entitled to exercise any portion of any Pre-Funded Warrant which, upon giving effect to such exercise, would cause (i) the aggregate number of shares of Common Stock beneficially owned by the holder (together with its affiliates) to exceed</w:t>
      </w:r>
    </w:p>
    <w:p>
      <w:pPr>
        <w:ind w:left="1120" w:right="19"/>
        <w:spacing w:after="0" w:line="269" w:lineRule="auto"/>
        <w:rPr>
          <w:sz w:val="20"/>
          <w:szCs w:val="20"/>
          <w:color w:val="auto"/>
        </w:rPr>
      </w:pPr>
      <w:r>
        <w:rPr>
          <w:rFonts w:ascii="Times New Roman" w:cs="Times New Roman" w:eastAsia="Times New Roman" w:hAnsi="Times New Roman"/>
          <w:sz w:val="14"/>
          <w:szCs w:val="14"/>
          <w:color w:val="auto"/>
        </w:rPr>
        <w:t>9.90% of the number of our shares of Common Stock outstanding immediately after giving effect to the exercise, or (ii) the combined voting power of our securities beneficially owned by the holder (together with its affiliates) to exceed 9.90% of the combined voting power of all of our securities then outstanding immediately after giving effect to the exercise, as such percentage ownership is determined in accordance with the terms of the Pre-Funded Warrants, which percentage may be increased or decreased upon 61 days’ prior notice. As a result, you may not be able to exercise your Pre-Funded Warrants for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S-6</w:t>
      </w:r>
    </w:p>
    <w:p>
      <w:pPr>
        <w:sectPr>
          <w:pgSz w:w="11900" w:h="16838" w:orient="portrait"/>
          <w:cols w:equalWidth="0" w:num="1">
            <w:col w:w="10159"/>
          </w:cols>
          <w:pgMar w:left="300" w:top="40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84" w:lineRule="exact"/>
        <w:rPr>
          <w:sz w:val="20"/>
          <w:szCs w:val="20"/>
          <w:color w:val="auto"/>
        </w:rPr>
      </w:pPr>
    </w:p>
    <w:p>
      <w:pPr>
        <w:ind w:left="1120" w:right="299" w:firstLine="362"/>
        <w:spacing w:after="0" w:line="273" w:lineRule="auto"/>
        <w:rPr>
          <w:sz w:val="20"/>
          <w:szCs w:val="20"/>
          <w:color w:val="auto"/>
        </w:rPr>
      </w:pPr>
      <w:r>
        <w:rPr>
          <w:rFonts w:ascii="Times New Roman" w:cs="Times New Roman" w:eastAsia="Times New Roman" w:hAnsi="Times New Roman"/>
          <w:sz w:val="15"/>
          <w:szCs w:val="15"/>
          <w:color w:val="auto"/>
        </w:rPr>
        <w:t>We estimate that the net proceeds to us from this Offering will be approximately $45.4 million, after deducting the Placement Agent’s fee and estimated Offering expenses payable by us. We will receive nominal proceeds, if any, from the exercise of the Pre-Funded Warrants.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currently intend to use the net proceeds from this Offering for working capital, general corporate purposes and strategic initiatives.</w:t>
      </w:r>
    </w:p>
    <w:p>
      <w:pPr>
        <w:spacing w:after="0" w:line="182" w:lineRule="exact"/>
        <w:rPr>
          <w:sz w:val="20"/>
          <w:szCs w:val="20"/>
          <w:color w:val="auto"/>
        </w:rPr>
      </w:pPr>
    </w:p>
    <w:p>
      <w:pPr>
        <w:ind w:left="1120" w:right="179" w:firstLine="362"/>
        <w:spacing w:after="0" w:line="260" w:lineRule="auto"/>
        <w:rPr>
          <w:sz w:val="20"/>
          <w:szCs w:val="20"/>
          <w:color w:val="auto"/>
        </w:rPr>
      </w:pPr>
      <w:r>
        <w:rPr>
          <w:rFonts w:ascii="Times New Roman" w:cs="Times New Roman" w:eastAsia="Times New Roman" w:hAnsi="Times New Roman"/>
          <w:sz w:val="15"/>
          <w:szCs w:val="15"/>
          <w:color w:val="auto"/>
        </w:rPr>
        <w:t>As of the date of this prospectus supplement, we cannot specify with certainty all of the particular uses of the proceeds from this offering. Accordingly, we will retain broad discretion over the use of such proceeds. Pending the use of the net proceeds from this Offering as described above, we intend to invest the net proceeds in short-term, investment-grade securities.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S-7</w:t>
      </w:r>
    </w:p>
    <w:p>
      <w:pPr>
        <w:sectPr>
          <w:pgSz w:w="11900" w:h="16838" w:orient="portrait"/>
          <w:cols w:equalWidth="0" w:num="1">
            <w:col w:w="10159"/>
          </w:cols>
          <w:pgMar w:left="300" w:top="40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84" w:lineRule="exact"/>
        <w:rPr>
          <w:sz w:val="20"/>
          <w:szCs w:val="20"/>
          <w:color w:val="auto"/>
        </w:rPr>
      </w:pPr>
    </w:p>
    <w:p>
      <w:pPr>
        <w:ind w:left="1120" w:right="99" w:firstLine="362"/>
        <w:spacing w:after="0" w:line="255" w:lineRule="auto"/>
        <w:rPr>
          <w:sz w:val="20"/>
          <w:szCs w:val="20"/>
          <w:color w:val="auto"/>
        </w:rPr>
      </w:pPr>
      <w:r>
        <w:rPr>
          <w:rFonts w:ascii="Times New Roman" w:cs="Times New Roman" w:eastAsia="Times New Roman" w:hAnsi="Times New Roman"/>
          <w:sz w:val="15"/>
          <w:szCs w:val="15"/>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S-8</w:t>
      </w:r>
    </w:p>
    <w:p>
      <w:pPr>
        <w:sectPr>
          <w:pgSz w:w="11900" w:h="16838" w:orient="portrait"/>
          <w:cols w:equalWidth="0" w:num="1">
            <w:col w:w="10159"/>
          </w:cols>
          <w:pgMar w:left="300" w:top="40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following table sets forth our capitalization as of September 30, 2025:</w:t>
      </w:r>
    </w:p>
    <w:p>
      <w:pPr>
        <w:spacing w:after="0" w:line="105" w:lineRule="exact"/>
        <w:rPr>
          <w:sz w:val="20"/>
          <w:szCs w:val="20"/>
          <w:color w:val="auto"/>
        </w:rPr>
      </w:pPr>
    </w:p>
    <w:p>
      <w:pPr>
        <w:ind w:left="1920" w:hanging="354"/>
        <w:spacing w:after="0"/>
        <w:tabs>
          <w:tab w:leader="none" w:pos="19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 and</w:t>
      </w:r>
    </w:p>
    <w:p>
      <w:pPr>
        <w:spacing w:after="0" w:line="104" w:lineRule="exact"/>
        <w:rPr>
          <w:rFonts w:ascii="Times New Roman" w:cs="Times New Roman" w:eastAsia="Times New Roman" w:hAnsi="Times New Roman"/>
          <w:sz w:val="15"/>
          <w:szCs w:val="15"/>
          <w:color w:val="auto"/>
        </w:rPr>
      </w:pPr>
    </w:p>
    <w:p>
      <w:pPr>
        <w:ind w:left="1920" w:right="79" w:hanging="354"/>
        <w:spacing w:after="0" w:line="250" w:lineRule="auto"/>
        <w:tabs>
          <w:tab w:leader="none" w:pos="19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basis to give effect to: (i) the sale of 3,024,799 shares of our Common Stock and the sale of Pre-Funded Warrants to purchase 2,475,201 shares of Common Stock in this Offering, after deducting Placement Agent fees and estimated Offering expenses payable by us and the application of the net proceeds of approximately $45.4 million, (ii) 2,000,000 shares of Common Stock issued upon the exercise of a one-time grant of options to select members of management; (iii) 1,619,143 shares issued upon the exercise of an inducement grant provided to Akshay Naheta in connection with his appointment as an officer of the Company; (iv) 1,118,592 shares of Common Stock issued under the Company’s Omnibus Incentive Plan; (v) the conversion and exchange of all the Company’s outstanding shares of Class V common stock, par value $0.0001 per share (“Class V Common Stock”), into shares of Common Stock in connection with an internal reorganization; and (vi) the sale of 1,990,434 shares of Common Stock pursuant to our US$300 million “at-the-market” program since its establishment on January 20, 2026.</w:t>
      </w:r>
    </w:p>
    <w:p>
      <w:pPr>
        <w:spacing w:after="0" w:line="173" w:lineRule="exact"/>
        <w:rPr>
          <w:sz w:val="20"/>
          <w:szCs w:val="20"/>
          <w:color w:val="auto"/>
        </w:rPr>
      </w:pPr>
    </w:p>
    <w:tbl>
      <w:tblPr>
        <w:tblLayout w:type="fixed"/>
        <w:tblInd w:w="220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As of September 30, 2025</w:t>
            </w:r>
          </w:p>
        </w:tc>
      </w:tr>
      <w:tr>
        <w:trPr>
          <w:trHeight w:val="113"/>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71"/>
              <w:spacing w:after="0" w:line="113" w:lineRule="exact"/>
              <w:rPr>
                <w:sz w:val="20"/>
                <w:szCs w:val="20"/>
                <w:color w:val="auto"/>
              </w:rPr>
            </w:pPr>
            <w:r>
              <w:rPr>
                <w:rFonts w:ascii="Times New Roman" w:cs="Times New Roman" w:eastAsia="Times New Roman" w:hAnsi="Times New Roman"/>
                <w:sz w:val="12"/>
                <w:szCs w:val="12"/>
                <w:b w:val="1"/>
                <w:bCs w:val="1"/>
                <w:color w:val="auto"/>
              </w:rPr>
              <w:t>Actual</w:t>
            </w:r>
          </w:p>
        </w:tc>
        <w:tc>
          <w:tcPr>
            <w:tcW w:w="9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As Adjusted</w:t>
            </w:r>
          </w:p>
        </w:tc>
        <w:tc>
          <w:tcPr>
            <w:tcW w:w="80" w:type="dxa"/>
            <w:vAlign w:val="bottom"/>
          </w:tcPr>
          <w:p>
            <w:pPr>
              <w:spacing w:after="0"/>
              <w:rPr>
                <w:sz w:val="9"/>
                <w:szCs w:val="9"/>
                <w:color w:val="auto"/>
              </w:rPr>
            </w:pPr>
          </w:p>
        </w:tc>
      </w:tr>
      <w:tr>
        <w:trPr>
          <w:trHeight w:val="93"/>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gridSpan w:val="2"/>
          </w:tcPr>
          <w:p>
            <w:pPr>
              <w:jc w:val="center"/>
              <w:ind w:right="7"/>
              <w:spacing w:after="0" w:line="94" w:lineRule="exact"/>
              <w:rPr>
                <w:sz w:val="20"/>
                <w:szCs w:val="20"/>
                <w:color w:val="auto"/>
              </w:rPr>
            </w:pPr>
            <w:r>
              <w:rPr>
                <w:rFonts w:ascii="Times New Roman" w:cs="Times New Roman" w:eastAsia="Times New Roman" w:hAnsi="Times New Roman"/>
                <w:sz w:val="9"/>
                <w:szCs w:val="9"/>
                <w:b w:val="1"/>
                <w:bCs w:val="1"/>
                <w:color w:val="auto"/>
              </w:rPr>
              <w:t>(in thousands of U.S. dollars,</w:t>
            </w:r>
          </w:p>
        </w:tc>
        <w:tc>
          <w:tcPr>
            <w:tcW w:w="80" w:type="dxa"/>
            <w:vAlign w:val="bottom"/>
          </w:tcPr>
          <w:p>
            <w:pPr>
              <w:spacing w:after="0"/>
              <w:rPr>
                <w:sz w:val="8"/>
                <w:szCs w:val="8"/>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except share data)</w:t>
            </w: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58,319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144,533</w:t>
            </w:r>
          </w:p>
        </w:tc>
        <w:tc>
          <w:tcPr>
            <w:tcW w:w="8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6,117</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6,117</w:t>
            </w:r>
          </w:p>
        </w:tc>
        <w:tc>
          <w:tcPr>
            <w:tcW w:w="8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4680" w:type="dxa"/>
            <w:vAlign w:val="bottom"/>
          </w:tcPr>
          <w:p>
            <w:pPr>
              <w:ind w:left="280"/>
              <w:spacing w:after="0" w:line="163" w:lineRule="exact"/>
              <w:rPr>
                <w:sz w:val="20"/>
                <w:szCs w:val="20"/>
                <w:color w:val="auto"/>
              </w:rPr>
            </w:pPr>
            <w:r>
              <w:rPr>
                <w:rFonts w:ascii="Times New Roman" w:cs="Times New Roman" w:eastAsia="Times New Roman" w:hAnsi="Times New Roman"/>
                <w:sz w:val="15"/>
                <w:szCs w:val="15"/>
                <w:color w:val="auto"/>
              </w:rPr>
              <w:t>Class A Common Stock ($0.0001 par value, 560,000,000 shares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46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authorized, 16,466,495 shares issued and outstanding as of</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September 30, 2025 and 26,219,463 shares pro forma as of the date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6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of this prospectus supplement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4680" w:type="dxa"/>
            <w:vAlign w:val="bottom"/>
            <w:shd w:val="clear" w:color="auto" w:fill="CCEEFF"/>
          </w:tcPr>
          <w:p>
            <w:pPr>
              <w:ind w:left="280"/>
              <w:spacing w:after="0" w:line="163" w:lineRule="exact"/>
              <w:rPr>
                <w:sz w:val="20"/>
                <w:szCs w:val="20"/>
                <w:color w:val="auto"/>
              </w:rPr>
            </w:pPr>
            <w:r>
              <w:rPr>
                <w:rFonts w:ascii="Times New Roman" w:cs="Times New Roman" w:eastAsia="Times New Roman" w:hAnsi="Times New Roman"/>
                <w:sz w:val="15"/>
                <w:szCs w:val="15"/>
                <w:color w:val="auto"/>
              </w:rPr>
              <w:t>Class V Common Stock ($0.0001 par value, 10,000,000 shares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authorized, 7,174,575 shares issued and outstanding as of</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September 30, 2025 and 0 shares pro forma as of the date of this</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prospectus supplement</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r>
        <w:trPr>
          <w:trHeight w:val="177"/>
        </w:trPr>
        <w:tc>
          <w:tcPr>
            <w:tcW w:w="20" w:type="dxa"/>
            <w:vAlign w:val="bottom"/>
          </w:tcPr>
          <w:p>
            <w:pPr>
              <w:spacing w:after="0"/>
              <w:rPr>
                <w:sz w:val="15"/>
                <w:szCs w:val="15"/>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934,896</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1,074,483</w:t>
            </w:r>
          </w:p>
        </w:tc>
        <w:tc>
          <w:tcPr>
            <w:tcW w:w="8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5"/>
                <w:szCs w:val="15"/>
                <w:color w:val="auto"/>
              </w:rPr>
              <w:t>(603)</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(603)</w:t>
            </w:r>
          </w:p>
        </w:tc>
      </w:tr>
      <w:tr>
        <w:trPr>
          <w:trHeight w:val="177"/>
        </w:trPr>
        <w:tc>
          <w:tcPr>
            <w:tcW w:w="20" w:type="dxa"/>
            <w:vAlign w:val="bottom"/>
          </w:tcPr>
          <w:p>
            <w:pPr>
              <w:spacing w:after="0"/>
              <w:rPr>
                <w:sz w:val="15"/>
                <w:szCs w:val="15"/>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Accumulated deficit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5"/>
                <w:szCs w:val="15"/>
                <w:color w:val="auto"/>
                <w:w w:val="98"/>
              </w:rPr>
              <w:t>(819,902)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(859,106)</w:t>
            </w: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114,394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214,777</w:t>
            </w:r>
          </w:p>
        </w:tc>
        <w:tc>
          <w:tcPr>
            <w:tcW w:w="8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Non-controlling interest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14,170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equity</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128,564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214,777</w:t>
            </w:r>
          </w:p>
        </w:tc>
        <w:tc>
          <w:tcPr>
            <w:tcW w:w="80" w:type="dxa"/>
            <w:vAlign w:val="bottom"/>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capitalization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193,000</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365,427</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60325</wp:posOffset>
            </wp:positionV>
            <wp:extent cx="6261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110" cy="6985"/>
                    </a:xfrm>
                    <a:prstGeom prst="rect">
                      <a:avLst/>
                    </a:prstGeom>
                    <a:noFill/>
                  </pic:spPr>
                </pic:pic>
              </a:graphicData>
            </a:graphic>
          </wp:anchor>
        </w:drawing>
      </w:r>
    </w:p>
    <w:p>
      <w:pPr>
        <w:spacing w:after="0" w:line="104" w:lineRule="exact"/>
        <w:rPr>
          <w:sz w:val="20"/>
          <w:szCs w:val="20"/>
          <w:color w:val="auto"/>
        </w:rPr>
      </w:pPr>
    </w:p>
    <w:p>
      <w:pPr>
        <w:ind w:left="1480" w:right="19" w:hanging="358"/>
        <w:spacing w:after="0" w:line="273" w:lineRule="auto"/>
        <w:tabs>
          <w:tab w:leader="none" w:pos="14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cash is held to satisfy certain minimum capital requirements pursuant to regulatory requirements, or as collateral for insurance contracts and our purchasing card facility.</w:t>
      </w:r>
    </w:p>
    <w:p>
      <w:pPr>
        <w:spacing w:after="0" w:line="140" w:lineRule="exact"/>
        <w:rPr>
          <w:sz w:val="20"/>
          <w:szCs w:val="20"/>
          <w:color w:val="auto"/>
        </w:rPr>
      </w:pPr>
    </w:p>
    <w:p>
      <w:pPr>
        <w:ind w:left="1120" w:right="119" w:firstLine="362"/>
        <w:spacing w:after="0" w:line="253"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immediately after this offering is based on 27,537,293 shares of Common Stock outstanding as of February 26, 2026. This figure assumes no exercise of the Pre-Funded Warrants and excludes, as of that date, 285,615 shares of Common Stock reserved for the exercise of publicly traded warrants currently listed on the NYSE; 2,386,717 shares of Common Stock reserved for outstanding equity awards and the remaining pool of incentive equity available under the Omnibus Incentive Plan; 1,954,866 shares of Common Stock for the exercise of a one-time grant of options to select members of</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S-9</w:t>
      </w:r>
    </w:p>
    <w:p>
      <w:pPr>
        <w:sectPr>
          <w:pgSz w:w="11900" w:h="16838" w:orient="portrait"/>
          <w:cols w:equalWidth="0" w:num="1">
            <w:col w:w="10159"/>
          </w:cols>
          <w:pgMar w:left="300" w:top="40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199"/>
        <w:spacing w:after="0" w:line="255" w:lineRule="auto"/>
        <w:rPr>
          <w:sz w:val="20"/>
          <w:szCs w:val="20"/>
          <w:color w:val="auto"/>
        </w:rPr>
      </w:pPr>
      <w:r>
        <w:rPr>
          <w:rFonts w:ascii="Times New Roman" w:cs="Times New Roman" w:eastAsia="Times New Roman" w:hAnsi="Times New Roman"/>
          <w:sz w:val="15"/>
          <w:szCs w:val="15"/>
          <w:color w:val="auto"/>
        </w:rPr>
        <w:t>management to purchase shares of the Company’s Common Stock; 1,153,200 shares of Common Stock reserved for the exercise of Class 1 Warrants; 864,650 shares of Common Stock reserved for the exercise of Class 2 Warrants; 815,282 shares of Common Stock reserved for the exercise of an inducement grant provided to Akshay Naheta in connection with his appointment as an officer of the Company; and the DTR Acquisition Share Consideration.</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S-10</w:t>
      </w:r>
    </w:p>
    <w:p>
      <w:pPr>
        <w:sectPr>
          <w:pgSz w:w="11900" w:h="16838" w:orient="portrait"/>
          <w:cols w:equalWidth="0" w:num="1">
            <w:col w:w="10159"/>
          </w:cols>
          <w:pgMar w:left="300" w:top="40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DESCRIPTION OF THE COMMON STOCK</w:t>
      </w:r>
    </w:p>
    <w:p>
      <w:pPr>
        <w:spacing w:after="0" w:line="184" w:lineRule="exact"/>
        <w:rPr>
          <w:sz w:val="20"/>
          <w:szCs w:val="20"/>
          <w:color w:val="auto"/>
        </w:rPr>
      </w:pPr>
    </w:p>
    <w:p>
      <w:pPr>
        <w:ind w:left="1120" w:right="140" w:firstLine="362"/>
        <w:spacing w:after="0" w:line="273" w:lineRule="auto"/>
        <w:rPr>
          <w:sz w:val="20"/>
          <w:szCs w:val="20"/>
          <w:color w:val="auto"/>
        </w:rPr>
      </w:pPr>
      <w:r>
        <w:rPr>
          <w:rFonts w:ascii="Times New Roman" w:cs="Times New Roman" w:eastAsia="Times New Roman" w:hAnsi="Times New Roman"/>
          <w:sz w:val="15"/>
          <w:szCs w:val="15"/>
          <w:color w:val="auto"/>
        </w:rPr>
        <w:t>The material terms and provisions of our Common Stock are described in the “Description of Securities” attached as Exhibit 99.1 to our Current Report on Form 8-K12B filed on November 3, 2025 and are incorporated herein by reference.</w:t>
      </w:r>
    </w:p>
    <w:p>
      <w:pPr>
        <w:spacing w:after="0" w:line="31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DESCRIPTION OF PRE-FUNDED WARRANTS</w:t>
      </w:r>
    </w:p>
    <w:p>
      <w:pPr>
        <w:spacing w:after="0" w:line="184" w:lineRule="exact"/>
        <w:rPr>
          <w:sz w:val="20"/>
          <w:szCs w:val="20"/>
          <w:color w:val="auto"/>
        </w:rPr>
      </w:pPr>
    </w:p>
    <w:p>
      <w:pPr>
        <w:ind w:left="1120" w:right="480" w:firstLine="362"/>
        <w:spacing w:after="0" w:line="273" w:lineRule="auto"/>
        <w:rPr>
          <w:sz w:val="20"/>
          <w:szCs w:val="20"/>
          <w:color w:val="auto"/>
        </w:rPr>
      </w:pPr>
      <w:r>
        <w:rPr>
          <w:rFonts w:ascii="Times New Roman" w:cs="Times New Roman" w:eastAsia="Times New Roman" w:hAnsi="Times New Roman"/>
          <w:sz w:val="15"/>
          <w:szCs w:val="15"/>
          <w:color w:val="auto"/>
        </w:rPr>
        <w:t>The following is a brief summary of certain terms and conditions of the Pre-Funded Warrants being offered in this Offering. The following description is subject in all respects to the provisions contained in the Pre-Funded Warrants.</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Form</w:t>
      </w:r>
    </w:p>
    <w:p>
      <w:pPr>
        <w:spacing w:after="0" w:line="184" w:lineRule="exact"/>
        <w:rPr>
          <w:sz w:val="20"/>
          <w:szCs w:val="20"/>
          <w:color w:val="auto"/>
        </w:rPr>
      </w:pPr>
    </w:p>
    <w:p>
      <w:pPr>
        <w:ind w:left="1120" w:right="160" w:firstLine="362"/>
        <w:spacing w:after="0" w:line="273" w:lineRule="auto"/>
        <w:rPr>
          <w:sz w:val="20"/>
          <w:szCs w:val="20"/>
          <w:color w:val="auto"/>
        </w:rPr>
      </w:pPr>
      <w:r>
        <w:rPr>
          <w:rFonts w:ascii="Times New Roman" w:cs="Times New Roman" w:eastAsia="Times New Roman" w:hAnsi="Times New Roman"/>
          <w:sz w:val="15"/>
          <w:szCs w:val="15"/>
          <w:color w:val="auto"/>
        </w:rPr>
        <w:t>The Pre-Funded Warrants will be issued as individual warrant agreements to the purchasers. The form of Pre-Funded Warrant will be filed as an exhibit to a Current Report on Form 8-K that we will file with the SEC.</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Term</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Pre-Funded Warrants will not expire until they are fully exercised.</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Exercisability</w:t>
      </w:r>
    </w:p>
    <w:p>
      <w:pPr>
        <w:spacing w:after="0" w:line="184"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The Pre-Funded Warrants are exercisable at any time after their original issuance. The Pre-Funded Warrants will be exercisable, at the option of the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in its sole discretion, elect to exercise the Pre-Funded Warrants through a cashless exercise, in which case the holder would receive upon such exercise the net number of shares of our Common Stock determined according to the formula set forth in the Pre-Funded Warrants. No fractional shares of our Common Stock will be issued in connection with the exercise of a Pre-Funded Warrant. In lieu of fractional shares, we will, at our election, either pay a cash adjustment in respect of such final fraction in an amount equal to such fraction multiplied by the Exercise Price (as defined in the Pre-Funded Warrant) or round up to the next whole share.</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Exercise Limitations</w:t>
      </w:r>
    </w:p>
    <w:p>
      <w:pPr>
        <w:spacing w:after="0" w:line="184" w:lineRule="exact"/>
        <w:rPr>
          <w:sz w:val="20"/>
          <w:szCs w:val="20"/>
          <w:color w:val="auto"/>
        </w:rPr>
      </w:pPr>
    </w:p>
    <w:p>
      <w:pPr>
        <w:ind w:left="1120" w:right="20" w:firstLine="362"/>
        <w:spacing w:after="0" w:line="274" w:lineRule="auto"/>
        <w:rPr>
          <w:sz w:val="20"/>
          <w:szCs w:val="20"/>
          <w:color w:val="auto"/>
        </w:rPr>
      </w:pPr>
      <w:r>
        <w:rPr>
          <w:rFonts w:ascii="Times New Roman" w:cs="Times New Roman" w:eastAsia="Times New Roman" w:hAnsi="Times New Roman"/>
          <w:sz w:val="14"/>
          <w:szCs w:val="14"/>
          <w:color w:val="auto"/>
        </w:rPr>
        <w:t>We may not effect the exercise of any Pre-Funded Warrant, and a holder will not be entitled to exercise any portion of any Pre-Funded Warrant to the extent that after giving effect to such exercise, the holder (together with the holder’s affiliates, and any other persons acting as a group together with the holder or any of the holder’s affiliates) would beneficially own in excess of 9.90% of the number of shares of our Common Stock outstanding immediately after giving effect to the issuance of shares of Common Stock issuable upon exercise of such Pre-Funded Warrant). A holder, upon notice to the Company, may increase or decrease the beneficial ownership limitation under the pre-funded warrant, provided that it in no event exceeds 19.99% of the number of shares of our common stock outstanding immediately after giving effect to the issuance of shares of Common Stock upon exercise of the Pre-Funded Warrant. Any such increase in the percentage will not be effective until the 61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day after such notice is delivered to the Company.</w:t>
      </w:r>
    </w:p>
    <w:p>
      <w:pPr>
        <w:spacing w:after="0" w:line="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Exercise Price</w:t>
      </w:r>
    </w:p>
    <w:p>
      <w:pPr>
        <w:spacing w:after="0" w:line="184" w:lineRule="exact"/>
        <w:rPr>
          <w:sz w:val="20"/>
          <w:szCs w:val="20"/>
          <w:color w:val="auto"/>
        </w:rPr>
      </w:pPr>
    </w:p>
    <w:p>
      <w:pPr>
        <w:ind w:left="1120" w:right="140" w:firstLine="362"/>
        <w:spacing w:after="0" w:line="253" w:lineRule="auto"/>
        <w:rPr>
          <w:sz w:val="20"/>
          <w:szCs w:val="20"/>
          <w:color w:val="auto"/>
        </w:rPr>
      </w:pPr>
      <w:r>
        <w:rPr>
          <w:rFonts w:ascii="Times New Roman" w:cs="Times New Roman" w:eastAsia="Times New Roman" w:hAnsi="Times New Roman"/>
          <w:sz w:val="15"/>
          <w:szCs w:val="15"/>
          <w:color w:val="auto"/>
        </w:rPr>
        <w:t>The exercise price of our shares of Common Stock purchasable upon the exercise of the Pre-Funded Warrants is $0.0001 per share. The exercise price of the Pre-Funded Warrants and the number of shares of Common Stock issuable upon exercise of the Pre-Funded Warrants is subject to appropriate adjustment in the</w:t>
      </w:r>
    </w:p>
    <w:p>
      <w:pPr>
        <w:spacing w:after="0" w:line="1" w:lineRule="exact"/>
        <w:rPr>
          <w:sz w:val="20"/>
          <w:szCs w:val="20"/>
          <w:color w:val="auto"/>
        </w:rPr>
      </w:pPr>
    </w:p>
    <w:p>
      <w:pPr>
        <w:ind w:left="1120" w:right="180"/>
        <w:spacing w:after="0" w:line="253" w:lineRule="auto"/>
        <w:rPr>
          <w:sz w:val="20"/>
          <w:szCs w:val="20"/>
          <w:color w:val="auto"/>
        </w:rPr>
      </w:pPr>
      <w:r>
        <w:rPr>
          <w:rFonts w:ascii="Times New Roman" w:cs="Times New Roman" w:eastAsia="Times New Roman" w:hAnsi="Times New Roman"/>
          <w:sz w:val="15"/>
          <w:szCs w:val="15"/>
          <w:color w:val="auto"/>
        </w:rPr>
        <w:t>event of certain stock dividends and distributions, stock splits, stock combinations, reclassifications or similar events affecting our shares of Common Stock.</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S-11</w:t>
      </w:r>
    </w:p>
    <w:p>
      <w:pPr>
        <w:sectPr>
          <w:pgSz w:w="11900" w:h="16838" w:orient="portrait"/>
          <w:cols w:equalWidth="0" w:num="1">
            <w:col w:w="10160"/>
          </w:cols>
          <w:pgMar w:left="300" w:top="400" w:right="1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Adjustments</w:t>
      </w:r>
    </w:p>
    <w:p>
      <w:pPr>
        <w:spacing w:after="0" w:line="184" w:lineRule="exact"/>
        <w:rPr>
          <w:sz w:val="20"/>
          <w:szCs w:val="20"/>
          <w:color w:val="auto"/>
        </w:rPr>
      </w:pPr>
    </w:p>
    <w:p>
      <w:pPr>
        <w:ind w:left="1120" w:right="119" w:firstLine="362"/>
        <w:spacing w:after="0" w:line="251" w:lineRule="auto"/>
        <w:rPr>
          <w:sz w:val="20"/>
          <w:szCs w:val="20"/>
          <w:color w:val="auto"/>
        </w:rPr>
      </w:pPr>
      <w:r>
        <w:rPr>
          <w:rFonts w:ascii="Times New Roman" w:cs="Times New Roman" w:eastAsia="Times New Roman" w:hAnsi="Times New Roman"/>
          <w:sz w:val="15"/>
          <w:szCs w:val="15"/>
          <w:color w:val="auto"/>
        </w:rPr>
        <w:t xml:space="preserve">In addition to the adjustments described under “Exercise Price” above, if we grant, issue or sell any Common Stock equivalents or rights to purchase stock, warrants, securities or other property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to all record holders of any class of shares of our Common Stock or declare or make any dividend or other distribution of our assets (or rights to acquire our assets) to holders of shares of Common Stock, by way of return of capital or otherwise, then, in each case, each Pre-Funded Warrant holder will be entitled to acquire such rights or participate in such distribution, on the same terms as the holder could have acquired or participated if the holder held the number of shares of Common Stock acquirable upon complete exercise of the Pre-Funded Warrant without regard to any exercise limitations, subject to certain exceptions to the extent participation would result in the holder exceeding its beneficial ownership limitation under the Pre-Funded Warrant.</w:t>
      </w:r>
    </w:p>
    <w:p>
      <w:pPr>
        <w:spacing w:after="0" w:line="1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Transferability</w:t>
      </w:r>
    </w:p>
    <w:p>
      <w:pPr>
        <w:spacing w:after="0" w:line="184" w:lineRule="exact"/>
        <w:rPr>
          <w:sz w:val="20"/>
          <w:szCs w:val="20"/>
          <w:color w:val="auto"/>
        </w:rPr>
      </w:pPr>
    </w:p>
    <w:p>
      <w:pPr>
        <w:ind w:left="1120" w:right="79" w:firstLine="362"/>
        <w:spacing w:after="0" w:line="273" w:lineRule="auto"/>
        <w:rPr>
          <w:sz w:val="20"/>
          <w:szCs w:val="20"/>
          <w:color w:val="auto"/>
        </w:rPr>
      </w:pPr>
      <w:r>
        <w:rPr>
          <w:rFonts w:ascii="Times New Roman" w:cs="Times New Roman" w:eastAsia="Times New Roman" w:hAnsi="Times New Roman"/>
          <w:sz w:val="15"/>
          <w:szCs w:val="15"/>
          <w:color w:val="auto"/>
        </w:rPr>
        <w:t>Subject to applicable laws, the Pre-Funded Warrants may be offered for transferred or assigned without our consent, in accordance with the terms of the Pre-Funded Warrants.</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Exchange Listing</w:t>
      </w:r>
    </w:p>
    <w:p>
      <w:pPr>
        <w:spacing w:after="0" w:line="184" w:lineRule="exact"/>
        <w:rPr>
          <w:sz w:val="20"/>
          <w:szCs w:val="20"/>
          <w:color w:val="auto"/>
        </w:rPr>
      </w:pPr>
    </w:p>
    <w:p>
      <w:pPr>
        <w:ind w:left="1120" w:right="179" w:firstLine="362"/>
        <w:spacing w:after="0" w:line="273" w:lineRule="auto"/>
        <w:rPr>
          <w:sz w:val="20"/>
          <w:szCs w:val="20"/>
          <w:color w:val="auto"/>
        </w:rPr>
      </w:pPr>
      <w:r>
        <w:rPr>
          <w:rFonts w:ascii="Times New Roman" w:cs="Times New Roman" w:eastAsia="Times New Roman" w:hAnsi="Times New Roman"/>
          <w:sz w:val="15"/>
          <w:szCs w:val="15"/>
          <w:color w:val="auto"/>
        </w:rPr>
        <w:t>We do not intend to list the pre-funded warrants on the NYSE, any other national securities exchange or any other nationally recognized trading system.</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Fundamental Transactions</w:t>
      </w:r>
    </w:p>
    <w:p>
      <w:pPr>
        <w:spacing w:after="0" w:line="184" w:lineRule="exact"/>
        <w:rPr>
          <w:sz w:val="20"/>
          <w:szCs w:val="20"/>
          <w:color w:val="auto"/>
        </w:rPr>
      </w:pPr>
    </w:p>
    <w:p>
      <w:pPr>
        <w:ind w:left="1120" w:right="39" w:firstLine="362"/>
        <w:spacing w:after="0" w:line="251" w:lineRule="auto"/>
        <w:rPr>
          <w:sz w:val="20"/>
          <w:szCs w:val="20"/>
          <w:color w:val="auto"/>
        </w:rPr>
      </w:pPr>
      <w:r>
        <w:rPr>
          <w:rFonts w:ascii="Times New Roman" w:cs="Times New Roman" w:eastAsia="Times New Roman" w:hAnsi="Times New Roman"/>
          <w:sz w:val="15"/>
          <w:szCs w:val="15"/>
          <w:color w:val="auto"/>
        </w:rPr>
        <w:t>Upon the consummation of a fundamental transaction (as described in the Pre-Funded Warrants, and generally including any reclassification or compulsory share exchange of our Common Stock, the sale of all or substantially all of our properties or assets, our consolidation or merger with or into another person, or that results in the acquisition of more than 50% of our outstanding Common Stock, or a business combination, including a reorganization or recapitalization, whereby the counterparty acquires more than 50% of the voting power of our securities), a holder of</w:t>
      </w:r>
    </w:p>
    <w:p>
      <w:pPr>
        <w:spacing w:after="0" w:line="2" w:lineRule="exact"/>
        <w:rPr>
          <w:sz w:val="20"/>
          <w:szCs w:val="20"/>
          <w:color w:val="auto"/>
        </w:rPr>
      </w:pPr>
    </w:p>
    <w:p>
      <w:pPr>
        <w:jc w:val="both"/>
        <w:ind w:left="1120" w:right="59"/>
        <w:spacing w:after="0" w:line="250" w:lineRule="auto"/>
        <w:rPr>
          <w:sz w:val="20"/>
          <w:szCs w:val="20"/>
          <w:color w:val="auto"/>
        </w:rPr>
      </w:pPr>
      <w:r>
        <w:rPr>
          <w:rFonts w:ascii="Times New Roman" w:cs="Times New Roman" w:eastAsia="Times New Roman" w:hAnsi="Times New Roman"/>
          <w:sz w:val="15"/>
          <w:szCs w:val="15"/>
          <w:color w:val="auto"/>
        </w:rPr>
        <w:t>the Pre-Funded Warrants will be entitled to receive, upon exercise of the Pre-Funded Warrants, the kind and amount of securities, cash or other property that such holder would have received had they exercised the Pre-Funded Warrants immediately prior to such fundamental transaction, without regard to any limitations on exercise contained in the Pre-Funded Warrants.</w:t>
      </w:r>
    </w:p>
    <w:p>
      <w:pPr>
        <w:spacing w:after="0" w:line="1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No Rights as a Stockholder</w:t>
      </w:r>
    </w:p>
    <w:p>
      <w:pPr>
        <w:spacing w:after="0" w:line="184" w:lineRule="exact"/>
        <w:rPr>
          <w:sz w:val="20"/>
          <w:szCs w:val="20"/>
          <w:color w:val="auto"/>
        </w:rPr>
      </w:pPr>
    </w:p>
    <w:p>
      <w:pPr>
        <w:ind w:left="1120" w:right="379" w:firstLine="362"/>
        <w:spacing w:after="0" w:line="273" w:lineRule="auto"/>
        <w:rPr>
          <w:sz w:val="20"/>
          <w:szCs w:val="20"/>
          <w:color w:val="auto"/>
        </w:rPr>
      </w:pPr>
      <w:r>
        <w:rPr>
          <w:rFonts w:ascii="Times New Roman" w:cs="Times New Roman" w:eastAsia="Times New Roman" w:hAnsi="Times New Roman"/>
          <w:sz w:val="15"/>
          <w:szCs w:val="15"/>
          <w:color w:val="auto"/>
        </w:rPr>
        <w:t>Except by virtue of such holder’s ownership of shares of our Common Stock, the holder of a Pre-Funded Warrant does not have the rights or privileges of a holder of shares of our Common Stock, including any voting rights, until such holder exercises the Pre-Funded Warrant.</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S-12</w:t>
      </w:r>
    </w:p>
    <w:p>
      <w:pPr>
        <w:sectPr>
          <w:pgSz w:w="11900" w:h="16838" w:orient="portrait"/>
          <w:cols w:equalWidth="0" w:num="1">
            <w:col w:w="10159"/>
          </w:cols>
          <w:pgMar w:left="300" w:top="40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84" w:lineRule="exact"/>
        <w:rPr>
          <w:sz w:val="20"/>
          <w:szCs w:val="20"/>
          <w:color w:val="auto"/>
        </w:rPr>
      </w:pPr>
    </w:p>
    <w:p>
      <w:pPr>
        <w:ind w:left="1120" w:right="79" w:firstLine="362"/>
        <w:spacing w:after="0" w:line="252" w:lineRule="auto"/>
        <w:rPr>
          <w:sz w:val="20"/>
          <w:szCs w:val="20"/>
          <w:color w:val="auto"/>
        </w:rPr>
      </w:pPr>
      <w:r>
        <w:rPr>
          <w:rFonts w:ascii="Times New Roman" w:cs="Times New Roman" w:eastAsia="Times New Roman" w:hAnsi="Times New Roman"/>
          <w:sz w:val="15"/>
          <w:szCs w:val="15"/>
          <w:color w:val="auto"/>
        </w:rPr>
        <w:t>If you purchase shares of Common Stock in this Offering, your ownership interest will be diluted to the extent of the difference between the price per Offer Share and the as adjusted net tangible book value per share of our Common Stock after this Offering. Our net tangible book value as of September 30, 2025 was approximately $58.4 million, or $2.47 per share of the aggregate of our outstanding shares of Common Stock and our outstanding shares of Class V Common Stock. “Net tangible book value” is total assets minus the sum of liabilities, goodwill, intangible assets and operating leases. “Net tangible book value per share” is net tangible book value divided by the total number of shares of Common Stock and Class V Common Stock outstanding.</w:t>
      </w:r>
    </w:p>
    <w:p>
      <w:pPr>
        <w:spacing w:after="0" w:line="155" w:lineRule="exact"/>
        <w:rPr>
          <w:sz w:val="20"/>
          <w:szCs w:val="20"/>
          <w:color w:val="auto"/>
        </w:rPr>
      </w:pPr>
    </w:p>
    <w:p>
      <w:pPr>
        <w:ind w:left="1120" w:right="119" w:firstLine="362"/>
        <w:spacing w:after="0" w:line="252" w:lineRule="auto"/>
        <w:rPr>
          <w:sz w:val="20"/>
          <w:szCs w:val="20"/>
          <w:color w:val="auto"/>
        </w:rPr>
      </w:pPr>
      <w:r>
        <w:rPr>
          <w:rFonts w:ascii="Times New Roman" w:cs="Times New Roman" w:eastAsia="Times New Roman" w:hAnsi="Times New Roman"/>
          <w:sz w:val="15"/>
          <w:szCs w:val="15"/>
          <w:color w:val="auto"/>
        </w:rPr>
        <w:t>After giving effect to the sale by us of 3,024,799 shares of Common Stock and Pre-Funded Warrants to purchase 2,475,201 shares of Common Stock in this Offering at an offering price of $8.75 per share and $8.7499 per Pre-Funded Warrant, and after deducting estimated commissions and offering expenses payable by us, our as adjusted net tangible book value as of September 30, 2025 would have been approximately $103.7 million, or $3.89 per share of Common Stock. This represents an immediate increase in the net tangible book value of $1.42 per share to our existing stockholders and an immediate dilution in the net tangible book value of $4.86 per share of Common Stock to investors purchasing Common Stock in this Offering. The following table illustrates this calculation on a per share basis:</w:t>
      </w:r>
    </w:p>
    <w:p>
      <w:pPr>
        <w:spacing w:after="0" w:line="191" w:lineRule="exact"/>
        <w:rPr>
          <w:sz w:val="20"/>
          <w:szCs w:val="20"/>
          <w:color w:val="auto"/>
        </w:rPr>
      </w:pPr>
    </w:p>
    <w:tbl>
      <w:tblPr>
        <w:tblLayout w:type="fixed"/>
        <w:tblInd w:w="2580" w:type="dxa"/>
        <w:tblCellMar>
          <w:top w:w="0" w:type="dxa"/>
          <w:left w:w="0" w:type="dxa"/>
          <w:bottom w:w="0" w:type="dxa"/>
          <w:right w:w="0" w:type="dxa"/>
        </w:tblCellMar>
      </w:tblPr>
      <w:tr>
        <w:trPr>
          <w:trHeight w:val="17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Offering price per share of Common Stock</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$ 8.75</w:t>
            </w:r>
          </w:p>
        </w:tc>
        <w:tc>
          <w:tcPr>
            <w:tcW w:w="40" w:type="dxa"/>
            <w:vAlign w:val="bottom"/>
            <w:shd w:val="clear" w:color="auto" w:fill="CCEEFF"/>
          </w:tcPr>
          <w:p>
            <w:pPr>
              <w:spacing w:after="0"/>
              <w:rPr>
                <w:sz w:val="15"/>
                <w:szCs w:val="15"/>
                <w:color w:val="auto"/>
              </w:rPr>
            </w:pPr>
          </w:p>
        </w:tc>
      </w:tr>
      <w:tr>
        <w:trPr>
          <w:trHeight w:val="177"/>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Net tangible book value per share as of September 30, 2025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$ 2.47</w:t>
            </w:r>
          </w:p>
        </w:tc>
        <w:tc>
          <w:tcPr>
            <w:tcW w:w="40" w:type="dxa"/>
            <w:vAlign w:val="bottom"/>
          </w:tcPr>
          <w:p>
            <w:pPr>
              <w:spacing w:after="0"/>
              <w:rPr>
                <w:sz w:val="15"/>
                <w:szCs w:val="15"/>
                <w:color w:val="auto"/>
              </w:rPr>
            </w:pPr>
          </w:p>
        </w:tc>
      </w:tr>
      <w:tr>
        <w:trPr>
          <w:trHeight w:val="17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in net tangible book value per share attributable to this Offering</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$ 1.42</w:t>
            </w:r>
          </w:p>
        </w:tc>
        <w:tc>
          <w:tcPr>
            <w:tcW w:w="40" w:type="dxa"/>
            <w:vAlign w:val="bottom"/>
            <w:shd w:val="clear" w:color="auto" w:fill="CCEEFF"/>
          </w:tcPr>
          <w:p>
            <w:pPr>
              <w:spacing w:after="0"/>
              <w:rPr>
                <w:sz w:val="15"/>
                <w:szCs w:val="15"/>
                <w:color w:val="auto"/>
              </w:rPr>
            </w:pPr>
          </w:p>
        </w:tc>
      </w:tr>
      <w:tr>
        <w:trPr>
          <w:trHeight w:val="163"/>
        </w:trPr>
        <w:tc>
          <w:tcPr>
            <w:tcW w:w="52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Net tangible book value per share as of September 30, 2025 as adjusted after this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2"/>
        </w:trPr>
        <w:tc>
          <w:tcPr>
            <w:tcW w:w="5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Offering</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$ 3.89</w:t>
            </w:r>
          </w:p>
        </w:tc>
        <w:tc>
          <w:tcPr>
            <w:tcW w:w="40" w:type="dxa"/>
            <w:vAlign w:val="bottom"/>
          </w:tcPr>
          <w:p>
            <w:pPr>
              <w:spacing w:after="0"/>
              <w:rPr>
                <w:sz w:val="16"/>
                <w:szCs w:val="16"/>
                <w:color w:val="auto"/>
              </w:rPr>
            </w:pPr>
          </w:p>
        </w:tc>
      </w:tr>
      <w:tr>
        <w:trPr>
          <w:trHeight w:val="17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per share to new investors participating in this Offering</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$ 4.86</w:t>
            </w:r>
          </w:p>
        </w:tc>
        <w:tc>
          <w:tcPr>
            <w:tcW w:w="40" w:type="dxa"/>
            <w:vAlign w:val="bottom"/>
            <w:shd w:val="clear" w:color="auto" w:fill="CCEEFF"/>
          </w:tcPr>
          <w:p>
            <w:pPr>
              <w:spacing w:after="0"/>
              <w:rPr>
                <w:sz w:val="15"/>
                <w:szCs w:val="15"/>
                <w:color w:val="auto"/>
              </w:rPr>
            </w:pPr>
          </w:p>
        </w:tc>
      </w:tr>
      <w:tr>
        <w:trPr>
          <w:trHeight w:val="20"/>
        </w:trPr>
        <w:tc>
          <w:tcPr>
            <w:tcW w:w="5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4" w:lineRule="exact"/>
        <w:rPr>
          <w:sz w:val="20"/>
          <w:szCs w:val="20"/>
          <w:color w:val="auto"/>
        </w:rPr>
      </w:pPr>
    </w:p>
    <w:p>
      <w:pPr>
        <w:ind w:left="1120" w:right="19" w:firstLine="362"/>
        <w:spacing w:after="0" w:line="250"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immediately after this offering is based on 27,537,293 shares of Common Stock outstanding as of February 26, 2026. This figure assumes no exercise of the Pre-Funded Warrants and excludes, as of that date, 285,615 shares of Common Stock reserved for the exercise of publicly traded warrants currently listed on the NYSE; 2,386,717 shares of Common Stock reserved for outstanding equity awards and the remaining pool of incentive equity available under the Omnibus Incentive Plan; 1,954,866 shares of Common Stock for the exercise of a one-time grant of options to select members of management to purchase shares of the Company’s Common Stock; 1,153,200 shares of Common Stock reserved for the exercise of Class 1 Warrants; 864,650 shares of Common Stock reserved for the exercise of Class 2 Warrants; 815,282 shares of Common Stock reserved for the exercise of an inducement grant provided to Akshay Naheta in connection with his appointment as an officer of the Company; and the DTR Acquisition Share Consideration.</w:t>
      </w:r>
    </w:p>
    <w:p>
      <w:pPr>
        <w:spacing w:after="0" w:line="158" w:lineRule="exact"/>
        <w:rPr>
          <w:sz w:val="20"/>
          <w:szCs w:val="20"/>
          <w:color w:val="auto"/>
        </w:rPr>
      </w:pPr>
    </w:p>
    <w:p>
      <w:pPr>
        <w:jc w:val="both"/>
        <w:ind w:left="1120" w:right="19" w:firstLine="362"/>
        <w:spacing w:after="0" w:line="260" w:lineRule="auto"/>
        <w:rPr>
          <w:sz w:val="20"/>
          <w:szCs w:val="20"/>
          <w:color w:val="auto"/>
        </w:rPr>
      </w:pPr>
      <w:r>
        <w:rPr>
          <w:rFonts w:ascii="Times New Roman" w:cs="Times New Roman" w:eastAsia="Times New Roman" w:hAnsi="Times New Roman"/>
          <w:sz w:val="15"/>
          <w:szCs w:val="15"/>
          <w:color w:val="auto"/>
        </w:rPr>
        <w:t>To the extent that any outstanding options or warrants are exercised, restricted stock units or performance-based restricted stock units and vest and are settled, and other equity incentive awards that may be settled into shares of our Common Stock are issued in the future at a price less than the public offering price, there will be further dilution to investors.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S-13</w:t>
      </w:r>
    </w:p>
    <w:p>
      <w:pPr>
        <w:sectPr>
          <w:pgSz w:w="11900" w:h="16838" w:orient="portrait"/>
          <w:cols w:equalWidth="0" w:num="1">
            <w:col w:w="10159"/>
          </w:cols>
          <w:pgMar w:left="300" w:top="40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84" w:lineRule="exact"/>
        <w:rPr>
          <w:sz w:val="20"/>
          <w:szCs w:val="20"/>
          <w:color w:val="auto"/>
        </w:rPr>
      </w:pPr>
    </w:p>
    <w:p>
      <w:pPr>
        <w:ind w:left="1120" w:right="39" w:firstLine="362"/>
        <w:spacing w:after="0" w:line="251" w:lineRule="auto"/>
        <w:rPr>
          <w:sz w:val="20"/>
          <w:szCs w:val="20"/>
          <w:color w:val="auto"/>
        </w:rPr>
      </w:pPr>
      <w:r>
        <w:rPr>
          <w:rFonts w:ascii="Times New Roman" w:cs="Times New Roman" w:eastAsia="Times New Roman" w:hAnsi="Times New Roman"/>
          <w:sz w:val="15"/>
          <w:szCs w:val="15"/>
          <w:color w:val="auto"/>
        </w:rPr>
        <w:t>Cohen &amp; Company Capital Markets, a division of Cohen &amp; Company Securities, LLC (“Cohen &amp; Co.”) has agreed to act as Placement Agent in connection with this Offering, subject to the terms and conditions of the placement agency agreement, dated February 27, 2026. The Placement Agent is not purchasing or selling any of the securities offered by this prospectus supplement, nor is it required to arrange for the purchase and sale of any specific number or dollar amount of such securities, other than to use its “reasonable best efforts” to arrange for the sale of such securities by us. Therefore, we may not sell all of the Securities being offered. The Placement Agent has not been engaged to act as warrant agent for the Pre-Funded Warrants or to act as underwriter or agent or otherwise participate in the issuance of the shares of our Common Stock upon the exercise of the Pre-Funded Warrants.</w:t>
      </w:r>
    </w:p>
    <w:p>
      <w:pPr>
        <w:spacing w:after="0" w:line="156" w:lineRule="exact"/>
        <w:rPr>
          <w:sz w:val="20"/>
          <w:szCs w:val="20"/>
          <w:color w:val="auto"/>
        </w:rPr>
      </w:pPr>
    </w:p>
    <w:p>
      <w:pPr>
        <w:ind w:left="1120" w:right="339" w:firstLine="362"/>
        <w:spacing w:after="0" w:line="260" w:lineRule="auto"/>
        <w:rPr>
          <w:sz w:val="20"/>
          <w:szCs w:val="20"/>
          <w:color w:val="auto"/>
        </w:rPr>
      </w:pPr>
      <w:r>
        <w:rPr>
          <w:rFonts w:ascii="Times New Roman" w:cs="Times New Roman" w:eastAsia="Times New Roman" w:hAnsi="Times New Roman"/>
          <w:sz w:val="15"/>
          <w:szCs w:val="15"/>
          <w:color w:val="auto"/>
        </w:rPr>
        <w:t>We will enter into the Purchase Agreement with the Investor to purchase our Securities. In accordance with the Purchase Agreement, we will deliver the Securities being issued to the Investor upon receipt of Investor’s funds for the purchase of the Securities, subject to certain closing conditions. We expect to deliver the Securities on or around March 2, 2026.</w:t>
      </w:r>
    </w:p>
    <w:p>
      <w:pPr>
        <w:spacing w:after="0" w:line="149" w:lineRule="exact"/>
        <w:rPr>
          <w:sz w:val="20"/>
          <w:szCs w:val="20"/>
          <w:color w:val="auto"/>
        </w:rPr>
      </w:pPr>
    </w:p>
    <w:p>
      <w:pPr>
        <w:ind w:left="1120" w:right="139" w:firstLine="362"/>
        <w:spacing w:after="0" w:line="260" w:lineRule="auto"/>
        <w:rPr>
          <w:sz w:val="20"/>
          <w:szCs w:val="20"/>
          <w:color w:val="auto"/>
        </w:rPr>
      </w:pPr>
      <w:r>
        <w:rPr>
          <w:rFonts w:ascii="Times New Roman" w:cs="Times New Roman" w:eastAsia="Times New Roman" w:hAnsi="Times New Roman"/>
          <w:sz w:val="15"/>
          <w:szCs w:val="15"/>
          <w:color w:val="auto"/>
        </w:rPr>
        <w:t>We have agreed to indemnify the Placement Agent and specified other persons against specified liabilities, including liabilities under the Securities Act and liabilities arising from breaches of representations and warranties contained in our placement agency agreement with the Placement Agent, and to contribute to payments the Placement Agent may be required to make in respect of such liabilities.</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Fees and Expenses</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have agreed to pay the Placement Agent a fee based on the aggregate proceeds set forth in the table below.</w:t>
      </w:r>
    </w:p>
    <w:p>
      <w:pPr>
        <w:spacing w:after="0" w:line="183" w:lineRule="exact"/>
        <w:rPr>
          <w:sz w:val="20"/>
          <w:szCs w:val="20"/>
          <w:color w:val="auto"/>
        </w:rPr>
      </w:pPr>
    </w:p>
    <w:tbl>
      <w:tblPr>
        <w:tblLayout w:type="fixed"/>
        <w:tblInd w:w="184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Per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8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8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rPr>
              <w:t>Pre-funded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Warrant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Offering price</w:t>
            </w:r>
          </w:p>
        </w:tc>
        <w:tc>
          <w:tcPr>
            <w:tcW w:w="5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w w:val="91"/>
              </w:rPr>
              <w:t>$ 8.7500</w:t>
            </w:r>
          </w:p>
        </w:tc>
        <w:tc>
          <w:tcPr>
            <w:tcW w:w="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5"/>
                <w:szCs w:val="15"/>
                <w:color w:val="auto"/>
                <w:w w:val="92"/>
              </w:rPr>
              <w:t>8.7499</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94"/>
              </w:rPr>
              <w:t>48,125,000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860" w:type="dxa"/>
            <w:vAlign w:val="bottom"/>
          </w:tcPr>
          <w:p>
            <w:pPr>
              <w:spacing w:after="0" w:line="178" w:lineRule="exact"/>
              <w:rPr>
                <w:sz w:val="20"/>
                <w:szCs w:val="20"/>
                <w:color w:val="auto"/>
              </w:rPr>
            </w:pPr>
            <w:r>
              <w:rPr>
                <w:rFonts w:ascii="Times New Roman" w:cs="Times New Roman" w:eastAsia="Times New Roman" w:hAnsi="Times New Roman"/>
                <w:sz w:val="14"/>
                <w:szCs w:val="14"/>
                <w:color w:val="auto"/>
              </w:rPr>
              <w:t>Placement Agent’s fees</w:t>
            </w:r>
            <w:r>
              <w:rPr>
                <w:rFonts w:ascii="Times New Roman" w:cs="Times New Roman" w:eastAsia="Times New Roman" w:hAnsi="Times New Roman"/>
                <w:sz w:val="20"/>
                <w:szCs w:val="20"/>
                <w:color w:val="auto"/>
                <w:vertAlign w:val="superscript"/>
              </w:rPr>
              <w:t>(1)</w:t>
            </w:r>
          </w:p>
        </w:tc>
        <w:tc>
          <w:tcPr>
            <w:tcW w:w="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$ 0.2625</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0.2625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1,443,750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$ 8.4875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8.4874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4"/>
              </w:rPr>
              <w:t>46,681,250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480" w:right="79" w:hanging="358"/>
        <w:spacing w:after="0" w:line="273" w:lineRule="auto"/>
        <w:tabs>
          <w:tab w:leader="none" w:pos="14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agreed to pay the Placement Agent a placement agent fee in an amount equal to three percent (3%) of the gross proceeds received by the Company in this Offering and to reimburse the Placement Agent for certain of their Offering-related expenses.</w:t>
      </w:r>
    </w:p>
    <w:p>
      <w:pPr>
        <w:spacing w:after="0" w:line="140" w:lineRule="exact"/>
        <w:rPr>
          <w:sz w:val="20"/>
          <w:szCs w:val="20"/>
          <w:color w:val="auto"/>
        </w:rPr>
      </w:pPr>
    </w:p>
    <w:p>
      <w:pPr>
        <w:ind w:left="1120" w:right="219" w:firstLine="362"/>
        <w:spacing w:after="0" w:line="273" w:lineRule="auto"/>
        <w:rPr>
          <w:sz w:val="20"/>
          <w:szCs w:val="20"/>
          <w:color w:val="auto"/>
        </w:rPr>
      </w:pPr>
      <w:r>
        <w:rPr>
          <w:rFonts w:ascii="Times New Roman" w:cs="Times New Roman" w:eastAsia="Times New Roman" w:hAnsi="Times New Roman"/>
          <w:sz w:val="15"/>
          <w:szCs w:val="15"/>
          <w:color w:val="auto"/>
        </w:rPr>
        <w:t>Our total estimated expenses of the Offering, including registration, filing and listing fees, printing fees and legal and accounting expenses, but excluding placement agent fees and excluding the non-accountable expense allowance, are approximately $1.3 million.</w:t>
      </w:r>
    </w:p>
    <w:p>
      <w:pPr>
        <w:spacing w:after="0" w:line="140" w:lineRule="exact"/>
        <w:rPr>
          <w:sz w:val="20"/>
          <w:szCs w:val="20"/>
          <w:color w:val="auto"/>
        </w:rPr>
      </w:pPr>
    </w:p>
    <w:p>
      <w:pPr>
        <w:ind w:left="1120" w:right="19" w:firstLine="362"/>
        <w:spacing w:after="0" w:line="252" w:lineRule="auto"/>
        <w:rPr>
          <w:sz w:val="20"/>
          <w:szCs w:val="20"/>
          <w:color w:val="auto"/>
        </w:rPr>
      </w:pPr>
      <w:r>
        <w:rPr>
          <w:rFonts w:ascii="Times New Roman" w:cs="Times New Roman" w:eastAsia="Times New Roman" w:hAnsi="Times New Roman"/>
          <w:sz w:val="15"/>
          <w:szCs w:val="15"/>
          <w:color w:val="auto"/>
        </w:rPr>
        <w:t>The Placement Agent may be deemed to be an underwriter within the meaning of Section 2(a)(11) of the Securities Act, and any commissions received by it and any profit realized on the resale of the shares of Common Stock sold by it while acting as principal might be deemed to be underwriting discounts or commissions under the Securities Act. As an underwriter, the Placement Agent would be required to comply with the requirements of the Securities Act and the Exchange Act of 1934, as amended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p>
      <w:pPr>
        <w:spacing w:after="0" w:line="77" w:lineRule="exact"/>
        <w:rPr>
          <w:sz w:val="20"/>
          <w:szCs w:val="20"/>
          <w:color w:val="auto"/>
        </w:rPr>
      </w:pPr>
    </w:p>
    <w:p>
      <w:pPr>
        <w:ind w:left="5500" w:right="3039" w:hanging="3480"/>
        <w:spacing w:after="0" w:line="442" w:lineRule="auto"/>
        <w:tabs>
          <w:tab w:leader="none" w:pos="228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not engage in any stabilization activity in connection with our securities; and S-14</w:t>
      </w:r>
    </w:p>
    <w:p>
      <w:pPr>
        <w:sectPr>
          <w:pgSz w:w="11900" w:h="16838" w:orient="portrait"/>
          <w:cols w:equalWidth="0" w:num="1">
            <w:col w:w="10159"/>
          </w:cols>
          <w:pgMar w:left="300" w:top="40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2280" w:right="320" w:hanging="260"/>
        <w:spacing w:after="0" w:line="273" w:lineRule="auto"/>
        <w:tabs>
          <w:tab w:leader="none" w:pos="2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Lock-up Agreements</w:t>
      </w:r>
    </w:p>
    <w:p>
      <w:pPr>
        <w:spacing w:after="0" w:line="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i w:val="1"/>
          <w:iCs w:val="1"/>
          <w:color w:val="auto"/>
        </w:rPr>
        <w:t>Company</w:t>
      </w:r>
    </w:p>
    <w:p>
      <w:pPr>
        <w:spacing w:after="0" w:line="95" w:lineRule="exact"/>
        <w:rPr>
          <w:sz w:val="20"/>
          <w:szCs w:val="20"/>
          <w:color w:val="auto"/>
        </w:rPr>
      </w:pPr>
    </w:p>
    <w:p>
      <w:pPr>
        <w:ind w:left="1120" w:right="20" w:firstLine="362"/>
        <w:spacing w:after="0" w:line="266" w:lineRule="auto"/>
        <w:rPr>
          <w:sz w:val="20"/>
          <w:szCs w:val="20"/>
          <w:color w:val="auto"/>
        </w:rPr>
      </w:pPr>
      <w:r>
        <w:rPr>
          <w:rFonts w:ascii="Times New Roman" w:cs="Times New Roman" w:eastAsia="Times New Roman" w:hAnsi="Times New Roman"/>
          <w:sz w:val="14"/>
          <w:szCs w:val="14"/>
          <w:color w:val="auto"/>
        </w:rPr>
        <w:t xml:space="preserve">During the period commencing on and including the date hereof and ending on and including the (45th) day following the date hereafter (the “Lock-Up Period”) the Company will not, without the prior written consent of the Investor (which consent may be withheld at the sole discretion of the Investor),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shares of Class A Common Stock, options, rights or warrants to acquire Class A Common Stock or securities exchangeable or exercisable for or convertible into shares of Class A Common Stock (collectively, “Covered Securities”) (other than is contemplated by the Purchase Agreement with respect to the Securities) or publicly announce any intention to do any of the foregoing;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Company may (a) issue Covered Securities pursuant to any director or employee stock option or incentive plan,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ownership plan or dividend reinvestment plan of the Company in effect on the date hereof and disclosed in the Company’s filings with the Commission;</w:t>
      </w:r>
    </w:p>
    <w:p>
      <w:pPr>
        <w:spacing w:after="0" w:line="4" w:lineRule="exact"/>
        <w:rPr>
          <w:sz w:val="20"/>
          <w:szCs w:val="20"/>
          <w:color w:val="auto"/>
        </w:rPr>
      </w:pPr>
    </w:p>
    <w:p>
      <w:pPr>
        <w:ind w:left="1120" w:firstLine="2"/>
        <w:spacing w:after="0" w:line="247" w:lineRule="auto"/>
        <w:tabs>
          <w:tab w:leader="none" w:pos="132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issue shares of Class A Common Stock pursuant to the conversion, exercise or exchange of any other Covered Securities, which Covered Securities are outstanding on the date hereof and disclosed in the Company’s filings with the Commission; (c) file a registration statement on Form S-8 or any successor form thereto; (d) issue Covered Securities, or enter into an agreement to issue Covered Securities, in connection with any merger, joint venture, strategic alliance, commercial or other collaborative transaction or the acquisition or license of the business, property, technology or other assets of another individual or entity;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the Covered Securities (or the aggregate number of Class A Common Stock issuable pursuant to such Covered Securities) that the Company may issue or agree to issue pursuant to this clause (d) shall not exceed 5% of the total outstanding share capital and voting power of the Company immediately following the issuance of such Covered Securities (or full exercise or conversion thereof, as applicable); and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the recipients thereof execute and deliver to the Placement Agent a lock-up agreement; and (e) upon exercise of any options disclosed in the Company’s filings with the Commission. The Company will direct its transfer agent to place stop transfer restrictions upon any securities of the Company that are bound by any lock-up agreement. If any persons shall become directors or executive officers of the Company prior to the end of the Lock-Up Period, the Company shall cause each such person, prior to or contemporaneously with their appointment or election as a director or executive officer of the Company, to execute and deliver to the Placement Agent a lock-up agreement.</w:t>
      </w:r>
    </w:p>
    <w:p>
      <w:pPr>
        <w:spacing w:after="0" w:line="2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i w:val="1"/>
          <w:iCs w:val="1"/>
          <w:color w:val="auto"/>
        </w:rPr>
        <w:t>Directors and Officers</w:t>
      </w:r>
    </w:p>
    <w:p>
      <w:pPr>
        <w:spacing w:after="0" w:line="95" w:lineRule="exact"/>
        <w:rPr>
          <w:sz w:val="20"/>
          <w:szCs w:val="20"/>
          <w:color w:val="auto"/>
        </w:rPr>
      </w:pPr>
    </w:p>
    <w:p>
      <w:pPr>
        <w:ind w:left="1120" w:firstLine="362"/>
        <w:spacing w:after="0" w:line="249" w:lineRule="auto"/>
        <w:rPr>
          <w:sz w:val="20"/>
          <w:szCs w:val="20"/>
          <w:color w:val="auto"/>
        </w:rPr>
      </w:pPr>
      <w:r>
        <w:rPr>
          <w:rFonts w:ascii="Times New Roman" w:cs="Times New Roman" w:eastAsia="Times New Roman" w:hAnsi="Times New Roman"/>
          <w:sz w:val="15"/>
          <w:szCs w:val="15"/>
          <w:color w:val="auto"/>
        </w:rPr>
        <w:t>Each of our directors and executive officers (such persons, the “Lock-up Parties”) have agreed that, without the prior written consent of the Investor, the Lock-up Parties will not, during the period ending 45 days after the date of this prospectus supplement (such period, the “Lock-up Period”), subject to certain exceptions, (i) offer for sale, sell, assign, transfer, pledge, contract to sell, lend or otherwise dispose of (or enter into any transaction or agreement that is designed to, or would reasonably be expected to, result in the disposition by any person at any time in the future of) any shares of Common Stock (including, without limitation, shares of Common Stock that may be deemed to be beneficially owned or subsequently acquired, or with respect to which the Lock-up Parties have or subsequently acquire the power of disposition, in accordance with the rules and regulations of the SEC and shares of Common Stock that may be issued upon exercise of any options or warrants) or securities convertible into or exercisable or exchangeable for shares of Common Stock (“Related Securities”), (ii) enter into any swap, hedge or similar agreement or arrangement (including, without limitation, the purchase or sale of, or entry into, any put or call option, or combination thereof, forward, swap or any other derivatives transaction or instrument, however described or defined) that transfers, is designed to transfer or reasonably could be expect to</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S-15</w:t>
      </w:r>
    </w:p>
    <w:p>
      <w:pPr>
        <w:sectPr>
          <w:pgSz w:w="11900" w:h="16838" w:orient="portrait"/>
          <w:cols w:equalWidth="0" w:num="1">
            <w:col w:w="10160"/>
          </w:cols>
          <w:pgMar w:left="300" w:top="400" w:right="1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40"/>
        <w:spacing w:after="0" w:line="270" w:lineRule="auto"/>
        <w:rPr>
          <w:sz w:val="20"/>
          <w:szCs w:val="20"/>
          <w:color w:val="auto"/>
        </w:rPr>
      </w:pPr>
      <w:r>
        <w:rPr>
          <w:rFonts w:ascii="Times New Roman" w:cs="Times New Roman" w:eastAsia="Times New Roman" w:hAnsi="Times New Roman"/>
          <w:sz w:val="14"/>
          <w:szCs w:val="14"/>
          <w:color w:val="auto"/>
        </w:rPr>
        <w:t>transfer (whether by the Lock-Up Party or someone other than the Lock-Up Party) in whole or in part, directly or indirectly, any of the economic benefits or risks of ownership of shares of Common Stock or any Related Securities, whether any such transaction described in clause (i) or (ii) above is to be settled by delivery of shares of Common Stock or other securities of the Company, in cash or otherwise, (iii) make any demand for or exercise any right or cause to be confidentially submitted or filed a registration statement, including any amendments thereto, with respect to the registration of any shares of Common Stock or Related Securities, provided that, to the extent any Lock-up Parties have demand and/or piggyback registration rights under any registration rights agreement, investor rights agreement or similar agreement, such Lock-up Parties may notify the Company privately that such Lock-up Party is or will be exercising its demand and/or piggyback registration rights under any such agreement following the expiration of the Lock-Up Period and undertake preparations related thereto, or (iv) publicly disclose the intention to do any of the foregoing.</w:t>
      </w:r>
    </w:p>
    <w:p>
      <w:pPr>
        <w:spacing w:after="0" w:line="147" w:lineRule="exact"/>
        <w:rPr>
          <w:sz w:val="20"/>
          <w:szCs w:val="20"/>
          <w:color w:val="auto"/>
        </w:rPr>
      </w:pPr>
    </w:p>
    <w:p>
      <w:pPr>
        <w:ind w:left="1120" w:firstLine="362"/>
        <w:spacing w:after="0" w:line="247" w:lineRule="auto"/>
        <w:rPr>
          <w:sz w:val="20"/>
          <w:szCs w:val="20"/>
          <w:color w:val="auto"/>
        </w:rPr>
      </w:pPr>
      <w:r>
        <w:rPr>
          <w:rFonts w:ascii="Times New Roman" w:cs="Times New Roman" w:eastAsia="Times New Roman" w:hAnsi="Times New Roman"/>
          <w:sz w:val="15"/>
          <w:szCs w:val="15"/>
          <w:color w:val="auto"/>
        </w:rPr>
        <w:t>The foregoing restrictions do not apply to (i) any bona fide charitable gift or gifts, including, without limitation, to a charitable organization or educational institution, or bona fide gifts, sales or other dispositions of shares of any class of the Company’s capital stock, in each case, that are made exclusively between and among the Lock-up Party or members of the Lock-up Party’s family, or affiliates of the Lock-up Party, including its partners (if a partnership) or members (if a limited liability company), (ii) the exercise or settlement of stock options or other equity awards granted pursuant to the Company’s stock option/incentive plans or awards, (iii) any transfers by will or intestacy, (iv) any transfers pursuant to a court order or settlement agreement related to the distribution of assets in connection with the dissolution of a marriage or civil union, (v) transfers or dispositions of shares of capital stock of the Company or any securities convertible into, or exercisable or exchangeable for, such capital stock to any trust for the direct or indirect benefit of the Lock-up Party or the immediate family of the Lock-up Party in a transaction not involving a disposition for value, or, if the Lock-up Party is a trust, to a trustor or beneficiary of the trust, or, if the Lock-up Party is a corporation, partnership, limited liability company or other business entity, to another corporation, partnership, limited liability company or other business entity that controls, is controlled by or is under common control with the Lock-up Party or as part of a disposition, transfer or distribution by the Lock-up Party to partners, limited partners, stockholders, members or equityholders of the Lock-up Party, (vi) the exercise of the Pre-Funded Warrants, or the conversion, exercise or exchange of any other securities of the Company, into Common Stock or any other securities of the Company, (vii) the exchange of the Company’s paired interests (each of which is a combination of one share of Class V Common Stock of the Company and one common unit of Bakkt Opco Holdings, LLC exchangeable into Common Stock) (the “Paired Interests”) into shares of Common Stock, or the exercise of the Company’s outstanding public warrants to purchase shares of Common Stock (the “Public Warrants”), the Company’s Class 1 warrants to purchase shares of Common Stock (the “Class 1 Warrants”) and the Company’s Class 2 warrants to purchase shares of Common Stock (the “Class 2 Warrants”), (viii) any transfers or commitments to transfer Paired Interests, Public Warrants, Class 1 Warrants and Class 2 Warrants, (ix) any transfers or commitments to transfer pursuant to a merger, consolidation, tender offer or other similar transaction involving a change of control or reverse merger, (x) the transfer by a Lock-up Party of shares of Common Stock or any securities convertible into, exercisable or exchangeable for, shares of Common Stock to the Company upon a vesting or settlement event of the Company’s securities or upon the exercise of options or warrants to purchase the Company’s securities on a “cashless” or “net exercise” basis, or in a “sell-to-cover” transaction, in each case, pursuant to any equity incentive plan or award of the Company and to the extent permitted by the instruments representing such options or warrants outstanding as of the date of this prospectus supplement, (xi) the transfer of shares of Common Stock or securities convertible into, or exercisable or exchangeable for, shares of Common Stock to the Company in connection with the termination of a Lock-up Party’s employment with the Company, (xii) transfers that are approved by the prior written consent of the Investor and (xiii) sales of shares of Common Stock purchased by a Lock-up Party on the open market following the date of this prospectus supplement; provided that (A) in the case of clauses (i) and (v), the transferee/donee agrees to be bound by the terms of a lock-up agreement, (B) in the case of clauses (ii), (vi), (vii), (viii) and (xi), the Common Stock or other securities issued upon exercise or exchange thereof remain subject to the terms of a lock-up agreement, (C) in the case of clauses (i) and (v), the transfer or distribution does not involve a disposition for value, (D) in the case of clauses (iii), (iv), (v), (x), (xi), (xii) and (xiii), that no filing under the Securities and Exchange Act of 1934, as</w:t>
      </w:r>
    </w:p>
    <w:p>
      <w:pPr>
        <w:spacing w:after="0" w:line="1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S-16</w:t>
      </w:r>
    </w:p>
    <w:p>
      <w:pPr>
        <w:sectPr>
          <w:pgSz w:w="11900" w:h="16838" w:orient="portrait"/>
          <w:cols w:equalWidth="0" w:num="1">
            <w:col w:w="10160"/>
          </w:cols>
          <w:pgMar w:left="300" w:top="400" w:right="1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40"/>
        <w:spacing w:after="0" w:line="273" w:lineRule="auto"/>
        <w:rPr>
          <w:sz w:val="20"/>
          <w:szCs w:val="20"/>
          <w:color w:val="auto"/>
        </w:rPr>
      </w:pPr>
      <w:r>
        <w:rPr>
          <w:rFonts w:ascii="Times New Roman" w:cs="Times New Roman" w:eastAsia="Times New Roman" w:hAnsi="Times New Roman"/>
          <w:sz w:val="15"/>
          <w:szCs w:val="15"/>
          <w:color w:val="auto"/>
        </w:rPr>
        <w:t>amended (the “Exchange Act”), or other public filing, report or announcement will be voluntarily made, and any required filing under the Exchange Act made during the Lock-Up Period will clearly indicate in the footnotes thereto that the filing relates to the circumstances described in such clause.</w:t>
      </w:r>
    </w:p>
    <w:p>
      <w:pPr>
        <w:spacing w:after="0" w:line="140" w:lineRule="exact"/>
        <w:rPr>
          <w:sz w:val="20"/>
          <w:szCs w:val="20"/>
          <w:color w:val="auto"/>
        </w:rPr>
      </w:pPr>
    </w:p>
    <w:p>
      <w:pPr>
        <w:ind w:left="1120" w:firstLine="362"/>
        <w:spacing w:after="0" w:line="251" w:lineRule="auto"/>
        <w:rPr>
          <w:sz w:val="20"/>
          <w:szCs w:val="20"/>
          <w:color w:val="auto"/>
        </w:rPr>
      </w:pPr>
      <w:r>
        <w:rPr>
          <w:rFonts w:ascii="Times New Roman" w:cs="Times New Roman" w:eastAsia="Times New Roman" w:hAnsi="Times New Roman"/>
          <w:sz w:val="15"/>
          <w:szCs w:val="15"/>
          <w:color w:val="auto"/>
        </w:rPr>
        <w:t>In addition, the Lock-up Parties may (i) establish or enter into a trading plan pursuant to Rule 10b5-1 (“10b5-1 Trading Plan”) under the Exchange Act for the transfer of shares of Common Stock, provided, that such plan does not provide for any transfers of shares of Common Stock, and no filing under the Exchange Act or other public announcement will be required or voluntarily made by the Lock-Up Party or any other person in connection therewith, in each case during the Lock-Up Period, and (ii) transfer or sell shares of Common Stock pursuant to a 10b5-1 Trading Plan that was established on or prior to the date of this prospectus supplement and exists as of the date hereof, provided further, that, if the Lock-Up Party is required to file a report under Section 16(a) of the Exchange Act during the Lock-Up Period, such filing will state that such transaction has been executed under a 10b5-1 Trading Plan and will also state the date such 10b5-1 Trading Plan was established.</w:t>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Our Common Stock is listed on NYSE under the symbol “BKKT”.</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Other Activities and Relationships</w:t>
      </w:r>
    </w:p>
    <w:p>
      <w:pPr>
        <w:spacing w:after="0" w:line="95" w:lineRule="exact"/>
        <w:rPr>
          <w:sz w:val="20"/>
          <w:szCs w:val="20"/>
          <w:color w:val="auto"/>
        </w:rPr>
      </w:pPr>
    </w:p>
    <w:p>
      <w:pPr>
        <w:ind w:left="1120" w:right="100" w:firstLine="362"/>
        <w:spacing w:after="0" w:line="253" w:lineRule="auto"/>
        <w:rPr>
          <w:sz w:val="20"/>
          <w:szCs w:val="20"/>
          <w:color w:val="auto"/>
        </w:rPr>
      </w:pPr>
      <w:r>
        <w:rPr>
          <w:rFonts w:ascii="Times New Roman" w:cs="Times New Roman" w:eastAsia="Times New Roman" w:hAnsi="Times New Roman"/>
          <w:sz w:val="15"/>
          <w:szCs w:val="15"/>
          <w:color w:val="auto"/>
        </w:rPr>
        <w:t>The Placement Agent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Placement Agent and its affiliates have provided, and may in the future provide, a variety of these services to the Company and to persons and entities with relationships with the Company, for which they received or will receive customary fees and expenses.</w:t>
      </w:r>
    </w:p>
    <w:p>
      <w:pPr>
        <w:spacing w:after="0" w:line="155" w:lineRule="exact"/>
        <w:rPr>
          <w:sz w:val="20"/>
          <w:szCs w:val="20"/>
          <w:color w:val="auto"/>
        </w:rPr>
      </w:pPr>
    </w:p>
    <w:p>
      <w:pPr>
        <w:ind w:left="1120" w:right="80" w:firstLine="362"/>
        <w:spacing w:after="0" w:line="271"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Placement Agent and its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Placement Agent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95" w:lineRule="exact"/>
        <w:rPr>
          <w:sz w:val="20"/>
          <w:szCs w:val="20"/>
          <w:color w:val="auto"/>
        </w:rPr>
      </w:pPr>
    </w:p>
    <w:p>
      <w:pPr>
        <w:ind w:left="1120" w:right="60" w:firstLine="362"/>
        <w:spacing w:after="0" w:line="273" w:lineRule="auto"/>
        <w:rPr>
          <w:sz w:val="20"/>
          <w:szCs w:val="20"/>
          <w:color w:val="auto"/>
        </w:rPr>
      </w:pPr>
      <w:r>
        <w:rPr>
          <w:rFonts w:ascii="Times New Roman" w:cs="Times New Roman" w:eastAsia="Times New Roman" w:hAnsi="Times New Roman"/>
          <w:sz w:val="15"/>
          <w:szCs w:val="15"/>
          <w:color w:val="auto"/>
        </w:rPr>
        <w:t>The transfer agent and registrar for our Common Stock is Equiniti Trust Company. Its mailing address is 28 Liberty Street, 53rd Floor, New York, NY 10005 and its telephone number is (800) 937-5449.</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S-17</w:t>
      </w:r>
    </w:p>
    <w:p>
      <w:pPr>
        <w:sectPr>
          <w:pgSz w:w="11900" w:h="16838" w:orient="portrait"/>
          <w:cols w:equalWidth="0" w:num="1">
            <w:col w:w="10160"/>
          </w:cols>
          <w:pgMar w:left="300" w:top="400" w:right="1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84" w:lineRule="exact"/>
        <w:rPr>
          <w:sz w:val="20"/>
          <w:szCs w:val="20"/>
          <w:color w:val="auto"/>
        </w:rPr>
      </w:pPr>
    </w:p>
    <w:p>
      <w:pPr>
        <w:ind w:left="1120" w:right="139" w:firstLine="362"/>
        <w:spacing w:after="0" w:line="260" w:lineRule="auto"/>
        <w:rPr>
          <w:sz w:val="20"/>
          <w:szCs w:val="20"/>
          <w:color w:val="auto"/>
        </w:rPr>
      </w:pPr>
      <w:r>
        <w:rPr>
          <w:rFonts w:ascii="Times New Roman" w:cs="Times New Roman" w:eastAsia="Times New Roman" w:hAnsi="Times New Roman"/>
          <w:sz w:val="15"/>
          <w:szCs w:val="15"/>
          <w:color w:val="auto"/>
        </w:rPr>
        <w:t>The validity of the shares of our Common Stock offered by this prospectus supplement will be passed upon for us by Sullivan &amp; Cromwell LLP, New York, New York. Certain legal matters in connection with this offering will be passed upon for the Placement Agent by Reed Smith LLP, New York, New York.</w:t>
      </w: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4" w:lineRule="exact"/>
        <w:rPr>
          <w:sz w:val="20"/>
          <w:szCs w:val="20"/>
          <w:color w:val="auto"/>
        </w:rPr>
      </w:pPr>
    </w:p>
    <w:p>
      <w:pPr>
        <w:ind w:left="1120" w:right="119" w:firstLine="362"/>
        <w:spacing w:after="0" w:line="255" w:lineRule="auto"/>
        <w:rPr>
          <w:sz w:val="20"/>
          <w:szCs w:val="20"/>
          <w:color w:val="auto"/>
        </w:rPr>
      </w:pPr>
      <w:r>
        <w:rPr>
          <w:rFonts w:ascii="Times New Roman" w:cs="Times New Roman" w:eastAsia="Times New Roman" w:hAnsi="Times New Roman"/>
          <w:sz w:val="15"/>
          <w:szCs w:val="15"/>
          <w:color w:val="auto"/>
        </w:rPr>
        <w:t>The consolidated financial statements of Bakkt, Inc. as of and for the year ended December 31, 2024 appearing in the Company’s Annual Report (Form 10-K), as supplemented by the Company’s Current Report on Form 8-K filed with the Securities and Exchange Commission on December 10, 2025,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53" w:lineRule="exact"/>
        <w:rPr>
          <w:sz w:val="20"/>
          <w:szCs w:val="20"/>
          <w:color w:val="auto"/>
        </w:rPr>
      </w:pPr>
    </w:p>
    <w:p>
      <w:pPr>
        <w:ind w:left="1120" w:right="19" w:firstLine="362"/>
        <w:spacing w:after="0" w:line="251" w:lineRule="auto"/>
        <w:rPr>
          <w:sz w:val="20"/>
          <w:szCs w:val="20"/>
          <w:color w:val="auto"/>
        </w:rPr>
      </w:pPr>
      <w:r>
        <w:rPr>
          <w:rFonts w:ascii="Times New Roman" w:cs="Times New Roman" w:eastAsia="Times New Roman" w:hAnsi="Times New Roman"/>
          <w:sz w:val="15"/>
          <w:szCs w:val="15"/>
          <w:color w:val="auto"/>
        </w:rPr>
        <w:t>The consolidated financial statements of Bakkt, Inc., at December 31, 2023 and for each of the two years in the period ended December 31, 2023 appearing in the Company’s Annual Report (Form 10-K) for the period ended December 31, 2024, as supplemented by the Company’s Current Report on Form 8-K filed with the Securities and Exchange Commission on December 10,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S-18</w:t>
      </w:r>
    </w:p>
    <w:p>
      <w:pPr>
        <w:sectPr>
          <w:pgSz w:w="11900" w:h="16838" w:orient="portrait"/>
          <w:cols w:equalWidth="0" w:num="1">
            <w:col w:w="10159"/>
          </w:cols>
          <w:pgMar w:left="300" w:top="400"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documents listed below are incorporated by reference into this prospectus:</w:t>
      </w:r>
    </w:p>
    <w:p>
      <w:pPr>
        <w:spacing w:after="0" w:line="105" w:lineRule="exact"/>
        <w:rPr>
          <w:sz w:val="20"/>
          <w:szCs w:val="20"/>
          <w:color w:val="auto"/>
        </w:rPr>
      </w:pPr>
    </w:p>
    <w:p>
      <w:pPr>
        <w:ind w:left="1920" w:hanging="354"/>
        <w:spacing w:after="0" w:line="260" w:lineRule="auto"/>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40">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year ended December 31, 2024, filed with the SEC on March 20, 2025 (our “Annual Report”), as supplemented by our Current Report on </w:t>
      </w:r>
      <w:hyperlink r:id="rId41">
        <w:r>
          <w:rPr>
            <w:rFonts w:ascii="Times New Roman" w:cs="Times New Roman" w:eastAsia="Times New Roman" w:hAnsi="Times New Roman"/>
            <w:sz w:val="15"/>
            <w:szCs w:val="15"/>
            <w:u w:val="single" w:color="auto"/>
            <w:color w:val="0000EE"/>
          </w:rPr>
          <w:t>Form 8-K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with the SEC on December 10, 2025 solely to recast certain financial information and related disclosures included in our Annual Report;</w:t>
      </w:r>
    </w:p>
    <w:p>
      <w:pPr>
        <w:spacing w:after="0" w:line="71" w:lineRule="exact"/>
        <w:rPr>
          <w:rFonts w:ascii="Times New Roman" w:cs="Times New Roman" w:eastAsia="Times New Roman" w:hAnsi="Times New Roman"/>
          <w:sz w:val="15"/>
          <w:szCs w:val="15"/>
          <w:color w:val="auto"/>
        </w:rPr>
      </w:pPr>
    </w:p>
    <w:p>
      <w:pPr>
        <w:ind w:left="1920" w:right="140" w:hanging="354"/>
        <w:spacing w:after="0" w:line="273" w:lineRule="auto"/>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portions of our Definitive Proxy Statement on </w:t>
      </w:r>
      <w:hyperlink r:id="rId42">
        <w:r>
          <w:rPr>
            <w:rFonts w:ascii="Times New Roman" w:cs="Times New Roman" w:eastAsia="Times New Roman" w:hAnsi="Times New Roman"/>
            <w:sz w:val="15"/>
            <w:szCs w:val="15"/>
            <w:u w:val="single" w:color="auto"/>
            <w:color w:val="0000EE"/>
          </w:rPr>
          <w:t>Schedule 14A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(other than information furnished rather than filed) that are incorporated by reference into the Annual Report, filed with the SEC on April 28, 2025;</w:t>
      </w:r>
    </w:p>
    <w:p>
      <w:pPr>
        <w:spacing w:after="0" w:line="61" w:lineRule="exact"/>
        <w:rPr>
          <w:rFonts w:ascii="Times New Roman" w:cs="Times New Roman" w:eastAsia="Times New Roman" w:hAnsi="Times New Roman"/>
          <w:sz w:val="15"/>
          <w:szCs w:val="15"/>
          <w:color w:val="auto"/>
        </w:rPr>
      </w:pPr>
    </w:p>
    <w:p>
      <w:pPr>
        <w:ind w:left="1920" w:right="260" w:hanging="354"/>
        <w:spacing w:after="0" w:line="273" w:lineRule="auto"/>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Reports on Form 10-Q for the quarters ended March 31, 2025, filed with the SEC on </w:t>
      </w:r>
      <w:hyperlink r:id="rId43">
        <w:r>
          <w:rPr>
            <w:rFonts w:ascii="Times New Roman" w:cs="Times New Roman" w:eastAsia="Times New Roman" w:hAnsi="Times New Roman"/>
            <w:sz w:val="15"/>
            <w:szCs w:val="15"/>
            <w:u w:val="single" w:color="auto"/>
            <w:color w:val="0000EE"/>
          </w:rPr>
          <w:t>May 12, 2025</w:t>
        </w:r>
      </w:hyperlink>
      <w:r>
        <w:rPr>
          <w:rFonts w:ascii="Times New Roman" w:cs="Times New Roman" w:eastAsia="Times New Roman" w:hAnsi="Times New Roman"/>
          <w:sz w:val="15"/>
          <w:szCs w:val="15"/>
          <w:color w:val="auto"/>
        </w:rPr>
        <w:t xml:space="preserve">, June 30, 2025, filed with the SEC on </w:t>
      </w:r>
      <w:hyperlink r:id="rId44">
        <w:r>
          <w:rPr>
            <w:rFonts w:ascii="Times New Roman" w:cs="Times New Roman" w:eastAsia="Times New Roman" w:hAnsi="Times New Roman"/>
            <w:sz w:val="15"/>
            <w:szCs w:val="15"/>
            <w:u w:val="single" w:color="auto"/>
            <w:color w:val="0000EE"/>
          </w:rPr>
          <w:t>August 11, 2025</w:t>
        </w:r>
      </w:hyperlink>
      <w:r>
        <w:rPr>
          <w:rFonts w:ascii="Times New Roman" w:cs="Times New Roman" w:eastAsia="Times New Roman" w:hAnsi="Times New Roman"/>
          <w:sz w:val="15"/>
          <w:szCs w:val="15"/>
          <w:color w:val="auto"/>
        </w:rPr>
        <w:t xml:space="preserve">, and September 30, 2025, filed with the SEC on </w:t>
      </w:r>
      <w:hyperlink r:id="rId45">
        <w:r>
          <w:rPr>
            <w:rFonts w:ascii="Times New Roman" w:cs="Times New Roman" w:eastAsia="Times New Roman" w:hAnsi="Times New Roman"/>
            <w:sz w:val="15"/>
            <w:szCs w:val="15"/>
            <w:u w:val="single" w:color="auto"/>
            <w:color w:val="0000EE"/>
          </w:rPr>
          <w:t>November 12, 2025</w:t>
        </w:r>
      </w:hyperlink>
      <w:r>
        <w:rPr>
          <w:rFonts w:ascii="Times New Roman" w:cs="Times New Roman" w:eastAsia="Times New Roman" w:hAnsi="Times New Roman"/>
          <w:sz w:val="15"/>
          <w:szCs w:val="15"/>
          <w:color w:val="auto"/>
        </w:rPr>
        <w:t>;</w:t>
      </w:r>
    </w:p>
    <w:p>
      <w:pPr>
        <w:spacing w:after="0" w:line="61" w:lineRule="exact"/>
        <w:rPr>
          <w:rFonts w:ascii="Times New Roman" w:cs="Times New Roman" w:eastAsia="Times New Roman" w:hAnsi="Times New Roman"/>
          <w:sz w:val="15"/>
          <w:szCs w:val="15"/>
          <w:color w:val="auto"/>
        </w:rPr>
      </w:pPr>
    </w:p>
    <w:p>
      <w:pPr>
        <w:ind w:left="1920" w:right="100" w:hanging="354"/>
        <w:spacing w:after="0" w:line="250" w:lineRule="auto"/>
        <w:tabs>
          <w:tab w:leader="none" w:pos="1920" w:val="left"/>
        </w:tabs>
        <w:numPr>
          <w:ilvl w:val="0"/>
          <w:numId w:val="13"/>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our Current Reports on Form 8-K filed with the SEC on </w:t>
      </w:r>
      <w:hyperlink r:id="rId46">
        <w:r>
          <w:rPr>
            <w:rFonts w:ascii="Times New Roman" w:cs="Times New Roman" w:eastAsia="Times New Roman" w:hAnsi="Times New Roman"/>
            <w:sz w:val="15"/>
            <w:szCs w:val="15"/>
            <w:u w:val="single" w:color="auto"/>
            <w:color w:val="0000EE"/>
          </w:rPr>
          <w:t>March 17, 2025</w:t>
        </w:r>
      </w:hyperlink>
      <w:r>
        <w:rPr>
          <w:rFonts w:ascii="Times New Roman" w:cs="Times New Roman" w:eastAsia="Times New Roman" w:hAnsi="Times New Roman"/>
          <w:sz w:val="15"/>
          <w:szCs w:val="15"/>
          <w:color w:val="auto"/>
        </w:rPr>
        <w:t xml:space="preserve">, </w:t>
      </w:r>
      <w:hyperlink r:id="rId47">
        <w:r>
          <w:rPr>
            <w:rFonts w:ascii="Times New Roman" w:cs="Times New Roman" w:eastAsia="Times New Roman" w:hAnsi="Times New Roman"/>
            <w:sz w:val="15"/>
            <w:szCs w:val="15"/>
            <w:u w:val="single" w:color="auto"/>
            <w:color w:val="0000EE"/>
          </w:rPr>
          <w:t>March 20, 2025</w:t>
        </w:r>
      </w:hyperlink>
      <w:r>
        <w:rPr>
          <w:rFonts w:ascii="Times New Roman" w:cs="Times New Roman" w:eastAsia="Times New Roman" w:hAnsi="Times New Roman"/>
          <w:sz w:val="15"/>
          <w:szCs w:val="15"/>
          <w:color w:val="auto"/>
        </w:rPr>
        <w:t xml:space="preserve">, </w:t>
      </w:r>
      <w:hyperlink r:id="rId48">
        <w:r>
          <w:rPr>
            <w:rFonts w:ascii="Times New Roman" w:cs="Times New Roman" w:eastAsia="Times New Roman" w:hAnsi="Times New Roman"/>
            <w:sz w:val="15"/>
            <w:szCs w:val="15"/>
            <w:u w:val="single" w:color="auto"/>
            <w:color w:val="0000EE"/>
          </w:rPr>
          <w:t>March 31, 2025</w:t>
        </w:r>
      </w:hyperlink>
      <w:r>
        <w:rPr>
          <w:rFonts w:ascii="Times New Roman" w:cs="Times New Roman" w:eastAsia="Times New Roman" w:hAnsi="Times New Roman"/>
          <w:sz w:val="15"/>
          <w:szCs w:val="15"/>
          <w:color w:val="auto"/>
        </w:rPr>
        <w:t xml:space="preserve">, </w:t>
      </w:r>
      <w:hyperlink r:id="rId49">
        <w:r>
          <w:rPr>
            <w:rFonts w:ascii="Times New Roman" w:cs="Times New Roman" w:eastAsia="Times New Roman" w:hAnsi="Times New Roman"/>
            <w:sz w:val="15"/>
            <w:szCs w:val="15"/>
            <w:u w:val="single" w:color="auto"/>
            <w:color w:val="0000EE"/>
          </w:rPr>
          <w:t>April 22, 2025</w:t>
        </w:r>
      </w:hyperlink>
      <w:r>
        <w:rPr>
          <w:rFonts w:ascii="Times New Roman" w:cs="Times New Roman" w:eastAsia="Times New Roman" w:hAnsi="Times New Roman"/>
          <w:sz w:val="15"/>
          <w:szCs w:val="15"/>
          <w:color w:val="auto"/>
        </w:rPr>
        <w:t xml:space="preserve">, </w:t>
      </w:r>
      <w:hyperlink r:id="rId50">
        <w:r>
          <w:rPr>
            <w:rFonts w:ascii="Times New Roman" w:cs="Times New Roman" w:eastAsia="Times New Roman" w:hAnsi="Times New Roman"/>
            <w:sz w:val="15"/>
            <w:szCs w:val="15"/>
            <w:u w:val="single" w:color="auto"/>
            <w:color w:val="0000EE"/>
          </w:rPr>
          <w:t>June 10, 2025</w:t>
        </w:r>
      </w:hyperlink>
      <w:r>
        <w:rPr>
          <w:rFonts w:ascii="Times New Roman" w:cs="Times New Roman" w:eastAsia="Times New Roman" w:hAnsi="Times New Roman"/>
          <w:sz w:val="15"/>
          <w:szCs w:val="15"/>
          <w:color w:val="auto"/>
        </w:rPr>
        <w:t xml:space="preserve"> (other than information furnished rather than filed), </w:t>
      </w:r>
      <w:hyperlink r:id="rId51">
        <w:r>
          <w:rPr>
            <w:rFonts w:ascii="Times New Roman" w:cs="Times New Roman" w:eastAsia="Times New Roman" w:hAnsi="Times New Roman"/>
            <w:sz w:val="15"/>
            <w:szCs w:val="15"/>
            <w:u w:val="single" w:color="auto"/>
            <w:color w:val="0000EE"/>
          </w:rPr>
          <w:t>June 10, 2025</w:t>
        </w:r>
      </w:hyperlink>
      <w:r>
        <w:rPr>
          <w:rFonts w:ascii="Times New Roman" w:cs="Times New Roman" w:eastAsia="Times New Roman" w:hAnsi="Times New Roman"/>
          <w:sz w:val="15"/>
          <w:szCs w:val="15"/>
          <w:color w:val="auto"/>
        </w:rPr>
        <w:t xml:space="preserve">, </w:t>
      </w:r>
      <w:hyperlink r:id="rId52">
        <w:r>
          <w:rPr>
            <w:rFonts w:ascii="Times New Roman" w:cs="Times New Roman" w:eastAsia="Times New Roman" w:hAnsi="Times New Roman"/>
            <w:sz w:val="15"/>
            <w:szCs w:val="15"/>
            <w:u w:val="single" w:color="auto"/>
            <w:color w:val="0000EE"/>
          </w:rPr>
          <w:t>June 13, 2025</w:t>
        </w:r>
      </w:hyperlink>
      <w:r>
        <w:rPr>
          <w:rFonts w:ascii="Times New Roman" w:cs="Times New Roman" w:eastAsia="Times New Roman" w:hAnsi="Times New Roman"/>
          <w:sz w:val="15"/>
          <w:szCs w:val="15"/>
          <w:color w:val="auto"/>
        </w:rPr>
        <w:t xml:space="preserve">, </w:t>
      </w:r>
      <w:hyperlink r:id="rId53">
        <w:r>
          <w:rPr>
            <w:rFonts w:ascii="Times New Roman" w:cs="Times New Roman" w:eastAsia="Times New Roman" w:hAnsi="Times New Roman"/>
            <w:sz w:val="15"/>
            <w:szCs w:val="15"/>
            <w:u w:val="single" w:color="auto"/>
            <w:color w:val="0000EE"/>
          </w:rPr>
          <w:t>June 20, 2025</w:t>
        </w:r>
      </w:hyperlink>
      <w:r>
        <w:rPr>
          <w:rFonts w:ascii="Times New Roman" w:cs="Times New Roman" w:eastAsia="Times New Roman" w:hAnsi="Times New Roman"/>
          <w:sz w:val="15"/>
          <w:szCs w:val="15"/>
          <w:color w:val="auto"/>
        </w:rPr>
        <w:t xml:space="preserve">, </w:t>
      </w:r>
      <w:hyperlink r:id="rId54">
        <w:r>
          <w:rPr>
            <w:rFonts w:ascii="Times New Roman" w:cs="Times New Roman" w:eastAsia="Times New Roman" w:hAnsi="Times New Roman"/>
            <w:sz w:val="15"/>
            <w:szCs w:val="15"/>
            <w:u w:val="single" w:color="auto"/>
            <w:color w:val="0000EE"/>
          </w:rPr>
          <w:t>July 28,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(other than information furnished rather than filed), </w:t>
      </w:r>
      <w:hyperlink r:id="rId55">
        <w:r>
          <w:rPr>
            <w:rFonts w:ascii="Times New Roman" w:cs="Times New Roman" w:eastAsia="Times New Roman" w:hAnsi="Times New Roman"/>
            <w:sz w:val="15"/>
            <w:szCs w:val="15"/>
            <w:u w:val="single" w:color="auto"/>
            <w:color w:val="0000EE"/>
          </w:rPr>
          <w:t>July 30,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(other than information furnished rather than filed), </w:t>
      </w:r>
      <w:hyperlink r:id="rId56">
        <w:r>
          <w:rPr>
            <w:rFonts w:ascii="Times New Roman" w:cs="Times New Roman" w:eastAsia="Times New Roman" w:hAnsi="Times New Roman"/>
            <w:sz w:val="15"/>
            <w:szCs w:val="15"/>
            <w:u w:val="single" w:color="auto"/>
            <w:color w:val="0000EE"/>
          </w:rPr>
          <w:t>August 6,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(other than information </w:t>
      </w:r>
      <w:hyperlink r:id="rId57">
        <w:r>
          <w:rPr>
            <w:rFonts w:ascii="Times New Roman" w:cs="Times New Roman" w:eastAsia="Times New Roman" w:hAnsi="Times New Roman"/>
            <w:sz w:val="15"/>
            <w:szCs w:val="15"/>
            <w:color w:val="auto"/>
          </w:rPr>
          <w:t xml:space="preserve">furnished rather than filed), </w:t>
        </w:r>
        <w:r>
          <w:rPr>
            <w:rFonts w:ascii="Times New Roman" w:cs="Times New Roman" w:eastAsia="Times New Roman" w:hAnsi="Times New Roman"/>
            <w:sz w:val="15"/>
            <w:szCs w:val="15"/>
            <w:u w:val="single" w:color="auto"/>
            <w:color w:val="0000EE"/>
          </w:rPr>
          <w:t>August 8,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August 12,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August 29,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September 15,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September 22,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October 1,</w:t>
        </w:r>
      </w:hyperlink>
      <w:r>
        <w:rPr>
          <w:rFonts w:ascii="Times New Roman" w:cs="Times New Roman" w:eastAsia="Times New Roman" w:hAnsi="Times New Roman"/>
          <w:sz w:val="15"/>
          <w:szCs w:val="15"/>
          <w:color w:val="auto"/>
        </w:rPr>
        <w:t xml:space="preserve"> </w:t>
      </w:r>
      <w:hyperlink r:id="rId57">
        <w:r>
          <w:rPr>
            <w:rFonts w:ascii="Times New Roman" w:cs="Times New Roman" w:eastAsia="Times New Roman" w:hAnsi="Times New Roman"/>
            <w:sz w:val="15"/>
            <w:szCs w:val="15"/>
            <w:u w:val="single" w:color="auto"/>
            <w:color w:val="0000EE"/>
          </w:rPr>
          <w:t>2025</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(other than information furnished rather than filed),</w:t>
        </w:r>
        <w:r>
          <w:rPr>
            <w:rFonts w:ascii="Times New Roman" w:cs="Times New Roman" w:eastAsia="Times New Roman" w:hAnsi="Times New Roman"/>
            <w:sz w:val="15"/>
            <w:szCs w:val="15"/>
            <w:color w:val="0000EE"/>
          </w:rPr>
          <w:t xml:space="preserve"> </w:t>
        </w:r>
      </w:hyperlink>
      <w:hyperlink r:id="rId58">
        <w:r>
          <w:rPr>
            <w:rFonts w:ascii="Times New Roman" w:cs="Times New Roman" w:eastAsia="Times New Roman" w:hAnsi="Times New Roman"/>
            <w:sz w:val="15"/>
            <w:szCs w:val="15"/>
            <w:u w:val="single" w:color="auto"/>
            <w:color w:val="0000EE"/>
          </w:rPr>
          <w:t>October 8, 2025</w:t>
        </w:r>
      </w:hyperlink>
      <w:hyperlink r:id="rId57">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59">
        <w:r>
          <w:rPr>
            <w:rFonts w:ascii="Times New Roman" w:cs="Times New Roman" w:eastAsia="Times New Roman" w:hAnsi="Times New Roman"/>
            <w:sz w:val="15"/>
            <w:szCs w:val="15"/>
            <w:u w:val="single" w:color="auto"/>
            <w:color w:val="0000EE"/>
          </w:rPr>
          <w:t>October 14, 2025</w:t>
        </w:r>
      </w:hyperlink>
      <w:hyperlink r:id="rId57">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60">
        <w:r>
          <w:rPr>
            <w:rFonts w:ascii="Times New Roman" w:cs="Times New Roman" w:eastAsia="Times New Roman" w:hAnsi="Times New Roman"/>
            <w:sz w:val="15"/>
            <w:szCs w:val="15"/>
            <w:u w:val="single" w:color="auto"/>
            <w:color w:val="0000EE"/>
          </w:rPr>
          <w:t xml:space="preserve">October 20, 2025 </w:t>
        </w:r>
      </w:hyperlink>
      <w:hyperlink r:id="rId57">
        <w:r>
          <w:rPr>
            <w:rFonts w:ascii="Times New Roman" w:cs="Times New Roman" w:eastAsia="Times New Roman" w:hAnsi="Times New Roman"/>
            <w:sz w:val="15"/>
            <w:szCs w:val="15"/>
            <w:color w:val="000000"/>
          </w:rPr>
          <w:t>(other than information</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 xml:space="preserve">furnished rather than filed), </w:t>
      </w:r>
      <w:hyperlink r:id="rId61">
        <w:r>
          <w:rPr>
            <w:rFonts w:ascii="Times New Roman" w:cs="Times New Roman" w:eastAsia="Times New Roman" w:hAnsi="Times New Roman"/>
            <w:sz w:val="15"/>
            <w:szCs w:val="15"/>
            <w:u w:val="single" w:color="auto"/>
            <w:color w:val="0000EE"/>
          </w:rPr>
          <w:t>October 21, 2025</w:t>
        </w:r>
      </w:hyperlink>
      <w:r>
        <w:rPr>
          <w:rFonts w:ascii="Times New Roman" w:cs="Times New Roman" w:eastAsia="Times New Roman" w:hAnsi="Times New Roman"/>
          <w:sz w:val="15"/>
          <w:szCs w:val="15"/>
          <w:color w:val="000000"/>
        </w:rPr>
        <w:t xml:space="preserve">, </w:t>
      </w:r>
      <w:hyperlink r:id="rId62">
        <w:r>
          <w:rPr>
            <w:rFonts w:ascii="Times New Roman" w:cs="Times New Roman" w:eastAsia="Times New Roman" w:hAnsi="Times New Roman"/>
            <w:sz w:val="15"/>
            <w:szCs w:val="15"/>
            <w:u w:val="single" w:color="auto"/>
            <w:color w:val="0000EE"/>
          </w:rPr>
          <w:t>October 22, 2025</w:t>
        </w:r>
      </w:hyperlink>
      <w:r>
        <w:rPr>
          <w:rFonts w:ascii="Times New Roman" w:cs="Times New Roman" w:eastAsia="Times New Roman" w:hAnsi="Times New Roman"/>
          <w:sz w:val="15"/>
          <w:szCs w:val="15"/>
          <w:color w:val="000000"/>
        </w:rPr>
        <w:t xml:space="preserve">, </w:t>
      </w:r>
      <w:hyperlink r:id="rId63">
        <w:r>
          <w:rPr>
            <w:rFonts w:ascii="Times New Roman" w:cs="Times New Roman" w:eastAsia="Times New Roman" w:hAnsi="Times New Roman"/>
            <w:sz w:val="15"/>
            <w:szCs w:val="15"/>
            <w:u w:val="single" w:color="auto"/>
            <w:color w:val="0000EE"/>
          </w:rPr>
          <w:t>October 31, 2025</w:t>
        </w:r>
        <w:r>
          <w:rPr>
            <w:rFonts w:ascii="Times New Roman" w:cs="Times New Roman" w:eastAsia="Times New Roman" w:hAnsi="Times New Roman"/>
            <w:sz w:val="15"/>
            <w:szCs w:val="15"/>
            <w:u w:val="single" w:color="auto"/>
            <w:color w:val="000000"/>
          </w:rPr>
          <w:t xml:space="preserve"> </w:t>
        </w:r>
      </w:hyperlink>
      <w:r>
        <w:rPr>
          <w:rFonts w:ascii="Times New Roman" w:cs="Times New Roman" w:eastAsia="Times New Roman" w:hAnsi="Times New Roman"/>
          <w:sz w:val="15"/>
          <w:szCs w:val="15"/>
          <w:color w:val="000000"/>
        </w:rPr>
        <w:t xml:space="preserve">(other than information furnished rather than filed), </w:t>
      </w:r>
      <w:hyperlink r:id="rId64">
        <w:r>
          <w:rPr>
            <w:rFonts w:ascii="Times New Roman" w:cs="Times New Roman" w:eastAsia="Times New Roman" w:hAnsi="Times New Roman"/>
            <w:sz w:val="15"/>
            <w:szCs w:val="15"/>
            <w:u w:val="single" w:color="auto"/>
            <w:color w:val="0000EE"/>
          </w:rPr>
          <w:t>November 3, 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November 3, 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November 14, 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November 24, 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December 10, 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January 12, 2026</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January 20,</w:t>
        </w:r>
      </w:hyperlink>
      <w:r>
        <w:rPr>
          <w:rFonts w:ascii="Times New Roman" w:cs="Times New Roman" w:eastAsia="Times New Roman" w:hAnsi="Times New Roman"/>
          <w:sz w:val="15"/>
          <w:szCs w:val="15"/>
          <w:color w:val="0000EE"/>
        </w:rPr>
        <w:t xml:space="preserve"> </w:t>
      </w:r>
      <w:hyperlink r:id="rId64">
        <w:r>
          <w:rPr>
            <w:rFonts w:ascii="Times New Roman" w:cs="Times New Roman" w:eastAsia="Times New Roman" w:hAnsi="Times New Roman"/>
            <w:sz w:val="15"/>
            <w:szCs w:val="15"/>
            <w:u w:val="single" w:color="auto"/>
            <w:color w:val="0000EE"/>
          </w:rPr>
          <w:t>2026</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w:hyperlink r:id="rId65">
        <w:r>
          <w:rPr>
            <w:rFonts w:ascii="Times New Roman" w:cs="Times New Roman" w:eastAsia="Times New Roman" w:hAnsi="Times New Roman"/>
            <w:sz w:val="15"/>
            <w:szCs w:val="15"/>
            <w:u w:val="single" w:color="auto"/>
            <w:color w:val="0000EE"/>
          </w:rPr>
          <w:t>January 20, 2026</w:t>
        </w:r>
      </w:hyperlink>
      <w:hyperlink r:id="rId64">
        <w:r>
          <w:rPr>
            <w:rFonts w:ascii="Times New Roman" w:cs="Times New Roman" w:eastAsia="Times New Roman" w:hAnsi="Times New Roman"/>
            <w:sz w:val="15"/>
            <w:szCs w:val="15"/>
            <w:color w:val="000000"/>
          </w:rPr>
          <w:t>, and our Current Report on</w:t>
        </w:r>
        <w:r>
          <w:rPr>
            <w:rFonts w:ascii="Times New Roman" w:cs="Times New Roman" w:eastAsia="Times New Roman" w:hAnsi="Times New Roman"/>
            <w:sz w:val="15"/>
            <w:szCs w:val="15"/>
            <w:color w:val="0000EE"/>
          </w:rPr>
          <w:t xml:space="preserve"> </w:t>
        </w:r>
      </w:hyperlink>
      <w:hyperlink r:id="rId66">
        <w:r>
          <w:rPr>
            <w:rFonts w:ascii="Times New Roman" w:cs="Times New Roman" w:eastAsia="Times New Roman" w:hAnsi="Times New Roman"/>
            <w:sz w:val="15"/>
            <w:szCs w:val="15"/>
            <w:u w:val="single" w:color="auto"/>
            <w:color w:val="0000EE"/>
          </w:rPr>
          <w:t xml:space="preserve">Form 8-K/A </w:t>
        </w:r>
      </w:hyperlink>
      <w:hyperlink r:id="rId64">
        <w:r>
          <w:rPr>
            <w:rFonts w:ascii="Times New Roman" w:cs="Times New Roman" w:eastAsia="Times New Roman" w:hAnsi="Times New Roman"/>
            <w:sz w:val="15"/>
            <w:szCs w:val="15"/>
            <w:color w:val="000000"/>
          </w:rPr>
          <w:t>filed with the SEC on November 7, 2025; and</w:t>
        </w:r>
      </w:hyperlink>
    </w:p>
    <w:p>
      <w:pPr>
        <w:spacing w:after="0" w:line="80" w:lineRule="exact"/>
        <w:rPr>
          <w:rFonts w:ascii="Times New Roman" w:cs="Times New Roman" w:eastAsia="Times New Roman" w:hAnsi="Times New Roman"/>
          <w:sz w:val="15"/>
          <w:szCs w:val="15"/>
          <w:color w:val="0000EE"/>
        </w:rPr>
      </w:pPr>
    </w:p>
    <w:p>
      <w:pPr>
        <w:ind w:left="1920" w:right="360" w:hanging="354"/>
        <w:spacing w:after="0" w:line="273" w:lineRule="auto"/>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securities attached as </w:t>
      </w:r>
      <w:hyperlink r:id="rId67">
        <w:r>
          <w:rPr>
            <w:rFonts w:ascii="Times New Roman" w:cs="Times New Roman" w:eastAsia="Times New Roman" w:hAnsi="Times New Roman"/>
            <w:sz w:val="15"/>
            <w:szCs w:val="15"/>
            <w:u w:val="single" w:color="auto"/>
            <w:color w:val="0000EE"/>
          </w:rPr>
          <w:t>Exhibit 99.1</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to our Current Report on </w:t>
      </w:r>
      <w:hyperlink r:id="rId66">
        <w:r>
          <w:rPr>
            <w:rFonts w:ascii="Times New Roman" w:cs="Times New Roman" w:eastAsia="Times New Roman" w:hAnsi="Times New Roman"/>
            <w:sz w:val="15"/>
            <w:szCs w:val="15"/>
            <w:u w:val="single" w:color="auto"/>
            <w:color w:val="0000EE"/>
          </w:rPr>
          <w:t>Form 8-K12B</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with the SEC on November 11, 2025, including any other amendments or reports filed for the purpose of updating such description.</w:t>
      </w:r>
    </w:p>
    <w:p>
      <w:pPr>
        <w:spacing w:after="0" w:line="140" w:lineRule="exact"/>
        <w:rPr>
          <w:rFonts w:ascii="Times New Roman" w:cs="Times New Roman" w:eastAsia="Times New Roman" w:hAnsi="Times New Roman"/>
          <w:sz w:val="15"/>
          <w:szCs w:val="15"/>
          <w:color w:val="auto"/>
        </w:rPr>
      </w:pPr>
    </w:p>
    <w:p>
      <w:pPr>
        <w:ind w:left="1120" w:right="180" w:firstLine="362"/>
        <w:spacing w:after="0" w:line="260" w:lineRule="auto"/>
        <w:rPr>
          <w:sz w:val="20"/>
          <w:szCs w:val="20"/>
          <w:color w:val="auto"/>
        </w:rPr>
      </w:pPr>
      <w:r>
        <w:rPr>
          <w:rFonts w:ascii="Times New Roman" w:cs="Times New Roman" w:eastAsia="Times New Roman" w:hAnsi="Times New Roman"/>
          <w:sz w:val="15"/>
          <w:szCs w:val="15"/>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49" w:lineRule="exact"/>
        <w:rPr>
          <w:rFonts w:ascii="Times New Roman" w:cs="Times New Roman" w:eastAsia="Times New Roman" w:hAnsi="Times New Roman"/>
          <w:sz w:val="15"/>
          <w:szCs w:val="15"/>
          <w:color w:val="auto"/>
        </w:rPr>
      </w:pPr>
    </w:p>
    <w:p>
      <w:pPr>
        <w:ind w:left="1120" w:right="20" w:firstLine="362"/>
        <w:spacing w:after="0" w:line="273" w:lineRule="auto"/>
        <w:rPr>
          <w:sz w:val="20"/>
          <w:szCs w:val="20"/>
          <w:color w:val="auto"/>
        </w:rPr>
      </w:pPr>
      <w:r>
        <w:rPr>
          <w:rFonts w:ascii="Times New Roman" w:cs="Times New Roman" w:eastAsia="Times New Roman" w:hAnsi="Times New Roman"/>
          <w:sz w:val="15"/>
          <w:szCs w:val="15"/>
          <w:color w:val="auto"/>
        </w:rPr>
        <w:t>We will provide to each person, including any beneficial owner, to whom a prospectus is delivered, a copy of any or all of the information that has been incorporated by reference in this prospectus but not delivered with the prospectus.</w:t>
      </w:r>
    </w:p>
    <w:p>
      <w:pPr>
        <w:spacing w:after="0" w:line="140" w:lineRule="exact"/>
        <w:rPr>
          <w:rFonts w:ascii="Times New Roman" w:cs="Times New Roman" w:eastAsia="Times New Roman" w:hAnsi="Times New Roman"/>
          <w:sz w:val="15"/>
          <w:szCs w:val="15"/>
          <w:color w:val="auto"/>
        </w:rPr>
      </w:pPr>
    </w:p>
    <w:p>
      <w:pPr>
        <w:ind w:left="1120" w:right="60" w:firstLine="362"/>
        <w:spacing w:after="0" w:line="255" w:lineRule="auto"/>
        <w:rPr>
          <w:sz w:val="20"/>
          <w:szCs w:val="20"/>
          <w:color w:val="auto"/>
        </w:rPr>
      </w:pPr>
      <w:r>
        <w:rPr>
          <w:rFonts w:ascii="Times New Roman" w:cs="Times New Roman" w:eastAsia="Times New Roman" w:hAnsi="Times New Roman"/>
          <w:sz w:val="15"/>
          <w:szCs w:val="15"/>
          <w:color w:val="auto"/>
        </w:rPr>
        <w:t>We are an Exchange Act reporting company and are required to file periodic reports on Form 10-K and 10-Q and Current Reports on Form 8-K. The SEC maintains an internet website that contains reports, proxy and information statements, and other information regarding issuers that file electronically with the SEC, including Bakkt, Inc. at www.sec.gov/EDGAR. You may also access our reports and proxy statements free of charge at our website, www.bakkt.com, which website is not incorporated into this prospectus supplement.</w:t>
      </w:r>
    </w:p>
    <w:p>
      <w:pPr>
        <w:spacing w:after="0" w:line="153" w:lineRule="exact"/>
        <w:rPr>
          <w:rFonts w:ascii="Times New Roman" w:cs="Times New Roman" w:eastAsia="Times New Roman" w:hAnsi="Times New Roman"/>
          <w:sz w:val="15"/>
          <w:szCs w:val="15"/>
          <w:color w:val="auto"/>
        </w:rPr>
      </w:pPr>
    </w:p>
    <w:p>
      <w:pPr>
        <w:ind w:left="1480"/>
        <w:spacing w:after="0"/>
        <w:rPr>
          <w:sz w:val="20"/>
          <w:szCs w:val="20"/>
          <w:color w:val="auto"/>
        </w:rPr>
      </w:pPr>
      <w:r>
        <w:rPr>
          <w:rFonts w:ascii="Times New Roman" w:cs="Times New Roman" w:eastAsia="Times New Roman" w:hAnsi="Times New Roman"/>
          <w:sz w:val="15"/>
          <w:szCs w:val="15"/>
          <w:color w:val="auto"/>
        </w:rPr>
        <w:t>You may obtain a copy of any of our filings, at no cost, by contacting us at:</w:t>
      </w:r>
    </w:p>
    <w:p>
      <w:pPr>
        <w:spacing w:after="0" w:line="91" w:lineRule="exact"/>
        <w:rPr>
          <w:rFonts w:ascii="Times New Roman" w:cs="Times New Roman" w:eastAsia="Times New Roman" w:hAnsi="Times New Roman"/>
          <w:sz w:val="15"/>
          <w:szCs w:val="15"/>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One Liberty Plaza,</w:t>
      </w:r>
    </w:p>
    <w:p>
      <w:pPr>
        <w:spacing w:after="0" w:line="21" w:lineRule="exact"/>
        <w:rPr>
          <w:rFonts w:ascii="Times New Roman" w:cs="Times New Roman" w:eastAsia="Times New Roman" w:hAnsi="Times New Roman"/>
          <w:sz w:val="15"/>
          <w:szCs w:val="15"/>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One Liberty Street, Suite 305-306</w:t>
      </w:r>
    </w:p>
    <w:p>
      <w:pPr>
        <w:spacing w:after="0" w:line="5" w:lineRule="exact"/>
        <w:rPr>
          <w:rFonts w:ascii="Times New Roman" w:cs="Times New Roman" w:eastAsia="Times New Roman" w:hAnsi="Times New Roman"/>
          <w:sz w:val="15"/>
          <w:szCs w:val="15"/>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New York, New York 10006</w:t>
      </w:r>
    </w:p>
    <w:p>
      <w:pPr>
        <w:spacing w:after="0" w:line="5" w:lineRule="exact"/>
        <w:rPr>
          <w:rFonts w:ascii="Times New Roman" w:cs="Times New Roman" w:eastAsia="Times New Roman" w:hAnsi="Times New Roman"/>
          <w:sz w:val="15"/>
          <w:szCs w:val="15"/>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(678) 534-5849</w:t>
      </w:r>
    </w:p>
    <w:p>
      <w:pPr>
        <w:spacing w:after="0" w:line="112" w:lineRule="exact"/>
        <w:rPr>
          <w:rFonts w:ascii="Times New Roman" w:cs="Times New Roman" w:eastAsia="Times New Roman" w:hAnsi="Times New Roman"/>
          <w:sz w:val="15"/>
          <w:szCs w:val="15"/>
          <w:color w:val="auto"/>
        </w:rPr>
      </w:pPr>
    </w:p>
    <w:p>
      <w:pPr>
        <w:ind w:left="5500"/>
        <w:spacing w:after="0"/>
        <w:rPr>
          <w:sz w:val="20"/>
          <w:szCs w:val="20"/>
          <w:color w:val="auto"/>
        </w:rPr>
      </w:pPr>
      <w:r>
        <w:rPr>
          <w:rFonts w:ascii="Times New Roman" w:cs="Times New Roman" w:eastAsia="Times New Roman" w:hAnsi="Times New Roman"/>
          <w:sz w:val="15"/>
          <w:szCs w:val="15"/>
          <w:color w:val="auto"/>
        </w:rPr>
        <w:t>S-19</w:t>
      </w:r>
    </w:p>
    <w:p>
      <w:pPr>
        <w:sectPr>
          <w:pgSz w:w="11900" w:h="16838" w:orient="portrait"/>
          <w:cols w:equalWidth="0" w:num="1">
            <w:col w:w="10160"/>
          </w:cols>
          <w:pgMar w:left="300" w:top="400" w:right="1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140335</wp:posOffset>
            </wp:positionV>
            <wp:extent cx="73914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a:extLst>
                        <a:ext uri="{28A0092B-C50C-407E-A947-70E740481C1C}"/>
                      </a:extLst>
                    </a:blip>
                    <a:srcRect/>
                    <a:stretch>
                      <a:fillRect/>
                    </a:stretch>
                  </pic:blipFill>
                  <pic:spPr bwMode="auto">
                    <a:xfrm>
                      <a:off x="0" y="0"/>
                      <a:ext cx="7391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35"/>
          <w:szCs w:val="35"/>
          <w:b w:val="1"/>
          <w:bCs w:val="1"/>
          <w:color w:val="auto"/>
        </w:rPr>
        <w:t>Bakkt Holdings, Inc.</w:t>
      </w:r>
    </w:p>
    <w:p>
      <w:pPr>
        <w:spacing w:after="0" w:line="187"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7"/>
          <w:szCs w:val="27"/>
          <w:b w:val="1"/>
          <w:bCs w:val="1"/>
          <w:color w:val="auto"/>
        </w:rPr>
        <w:t>$1,000,000,000</w:t>
      </w:r>
    </w:p>
    <w:p>
      <w:pPr>
        <w:spacing w:after="0" w:line="18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Class A Common Stock</w:t>
      </w:r>
    </w:p>
    <w:p>
      <w:pPr>
        <w:spacing w:after="0" w:line="28"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181610</wp:posOffset>
            </wp:positionV>
            <wp:extent cx="12033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0">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120" w:right="120" w:firstLine="362"/>
        <w:spacing w:after="0" w:line="275" w:lineRule="auto"/>
        <w:rPr>
          <w:sz w:val="20"/>
          <w:szCs w:val="20"/>
          <w:color w:val="auto"/>
        </w:rPr>
      </w:pPr>
      <w:r>
        <w:rPr>
          <w:rFonts w:ascii="Times New Roman" w:cs="Times New Roman" w:eastAsia="Times New Roman" w:hAnsi="Times New Roman"/>
          <w:sz w:val="14"/>
          <w:szCs w:val="14"/>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$1,000,000,000.</w:t>
      </w:r>
    </w:p>
    <w:p>
      <w:pPr>
        <w:spacing w:after="0" w:line="142" w:lineRule="exact"/>
        <w:rPr>
          <w:sz w:val="20"/>
          <w:szCs w:val="20"/>
          <w:color w:val="auto"/>
        </w:rPr>
      </w:pPr>
    </w:p>
    <w:p>
      <w:pPr>
        <w:ind w:left="1120" w:right="160" w:firstLine="362"/>
        <w:spacing w:after="0" w:line="260" w:lineRule="auto"/>
        <w:rPr>
          <w:sz w:val="20"/>
          <w:szCs w:val="20"/>
          <w:color w:val="auto"/>
        </w:rPr>
      </w:pPr>
      <w:r>
        <w:rPr>
          <w:rFonts w:ascii="Times New Roman" w:cs="Times New Roman" w:eastAsia="Times New Roman" w:hAnsi="Times New Roman"/>
          <w:sz w:val="15"/>
          <w:szCs w:val="15"/>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49" w:lineRule="exact"/>
        <w:rPr>
          <w:sz w:val="20"/>
          <w:szCs w:val="20"/>
          <w:color w:val="auto"/>
        </w:rPr>
      </w:pPr>
    </w:p>
    <w:p>
      <w:pPr>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180975</wp:posOffset>
            </wp:positionV>
            <wp:extent cx="12033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120" w:firstLine="362"/>
        <w:spacing w:after="0" w:line="254"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risks. Please carefully read the information under the headings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color w:val="auto"/>
        </w:rPr>
        <w:t>” beginning on page 6 of this prospectus and “</w:t>
      </w:r>
      <w:r>
        <w:rPr>
          <w:rFonts w:ascii="Times New Roman" w:cs="Times New Roman" w:eastAsia="Times New Roman" w:hAnsi="Times New Roman"/>
          <w:sz w:val="17"/>
          <w:szCs w:val="17"/>
          <w:b w:val="1"/>
          <w:bCs w:val="1"/>
          <w:i w:val="1"/>
          <w:iCs w:val="1"/>
          <w:color w:val="auto"/>
        </w:rPr>
        <w:t>Item 1A – Risk Factors</w:t>
      </w:r>
      <w:r>
        <w:rPr>
          <w:rFonts w:ascii="Times New Roman" w:cs="Times New Roman" w:eastAsia="Times New Roman" w:hAnsi="Times New Roman"/>
          <w:sz w:val="17"/>
          <w:szCs w:val="17"/>
          <w:b w:val="1"/>
          <w:bCs w:val="1"/>
          <w:color w:val="auto"/>
        </w:rPr>
        <w:t>” of our most recent Annual Report on Form 10-K and any Quarterly Report on Form 10-Q filed subsequently to such Form 10-K that is incorporated by reference in this prospectus before you invest in our securities. In addition, please carefully read the information under the heading “Risk Factors Related to the Update of Our Investment Policy” in Exhibit 99.1 to our Current Report on Form 8-K filed on June 10, 2025 that is incorporated by reference in this prospectus before you invest in our securities.</w:t>
      </w:r>
    </w:p>
    <w:p>
      <w:pPr>
        <w:spacing w:after="0" w:line="143" w:lineRule="exact"/>
        <w:rPr>
          <w:sz w:val="20"/>
          <w:szCs w:val="20"/>
          <w:color w:val="auto"/>
        </w:rPr>
      </w:pPr>
    </w:p>
    <w:p>
      <w:pPr>
        <w:ind w:left="1120" w:right="120" w:firstLine="362"/>
        <w:spacing w:after="0" w:line="27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167005</wp:posOffset>
            </wp:positionV>
            <wp:extent cx="12033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The date of this prospectus is July 3, 2025.</w:t>
      </w:r>
    </w:p>
    <w:p>
      <w:pPr>
        <w:sectPr>
          <w:pgSz w:w="11900" w:h="16838" w:orient="portrait"/>
          <w:cols w:equalWidth="0" w:num="1">
            <w:col w:w="10160"/>
          </w:cols>
          <w:pgMar w:left="300" w:top="400" w:right="1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40" w:type="dxa"/>
            <w:vAlign w:val="bottom"/>
          </w:tcPr>
          <w:p>
            <w:pPr>
              <w:jc w:val="right"/>
              <w:ind w:right="3607"/>
              <w:spacing w:after="0"/>
              <w:rPr>
                <w:sz w:val="20"/>
                <w:szCs w:val="20"/>
                <w:color w:val="auto"/>
              </w:rPr>
            </w:pPr>
            <w:r>
              <w:rPr>
                <w:rFonts w:ascii="Times New Roman" w:cs="Times New Roman" w:eastAsia="Times New Roman" w:hAnsi="Times New Roman"/>
                <w:sz w:val="15"/>
                <w:szCs w:val="15"/>
                <w:b w:val="1"/>
                <w:bCs w:val="1"/>
                <w:color w:val="auto"/>
              </w:rPr>
              <w:t>TABLE OF CONTENTS</w:t>
            </w:r>
          </w:p>
        </w:tc>
      </w:tr>
      <w:tr>
        <w:trPr>
          <w:trHeight w:val="307"/>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Page</w:t>
            </w:r>
          </w:p>
        </w:tc>
      </w:tr>
      <w:tr>
        <w:trPr>
          <w:trHeight w:val="159"/>
        </w:trPr>
        <w:tc>
          <w:tcPr>
            <w:tcW w:w="1300" w:type="dxa"/>
            <w:vAlign w:val="bottom"/>
            <w:tcBorders>
              <w:bottom w:val="single" w:sz="8" w:color="0000EE"/>
            </w:tcBorders>
            <w:gridSpan w:val="7"/>
          </w:tcPr>
          <w:p>
            <w:pPr>
              <w:spacing w:after="0" w:line="159" w:lineRule="exact"/>
              <w:rPr>
                <w:sz w:val="20"/>
                <w:szCs w:val="20"/>
                <w:color w:val="auto"/>
              </w:rPr>
            </w:pPr>
            <w:r>
              <w:rPr>
                <w:rFonts w:ascii="Times New Roman" w:cs="Times New Roman" w:eastAsia="Times New Roman" w:hAnsi="Times New Roman"/>
                <w:sz w:val="15"/>
                <w:szCs w:val="15"/>
                <w:color w:val="0000EE"/>
                <w:w w:val="97"/>
              </w:rPr>
              <w:t>About this Prospectus</w:t>
            </w:r>
          </w:p>
        </w:tc>
        <w:tc>
          <w:tcPr>
            <w:tcW w:w="1060" w:type="dxa"/>
            <w:vAlign w:val="bottom"/>
            <w:gridSpan w:val="5"/>
          </w:tcPr>
          <w:p>
            <w:pPr>
              <w:spacing w:after="0"/>
              <w:rPr>
                <w:sz w:val="13"/>
                <w:szCs w:val="13"/>
                <w:color w:val="auto"/>
              </w:rPr>
            </w:pPr>
          </w:p>
        </w:tc>
        <w:tc>
          <w:tcPr>
            <w:tcW w:w="66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ii</w:t>
            </w:r>
          </w:p>
        </w:tc>
      </w:tr>
      <w:tr>
        <w:trPr>
          <w:trHeight w:val="157"/>
        </w:trPr>
        <w:tc>
          <w:tcPr>
            <w:tcW w:w="126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7"/>
              </w:rPr>
              <w:t>Prospectus Summary</w:t>
            </w:r>
          </w:p>
        </w:tc>
        <w:tc>
          <w:tcPr>
            <w:tcW w:w="1100" w:type="dxa"/>
            <w:vAlign w:val="bottom"/>
            <w:gridSpan w:val="6"/>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w:t>
            </w: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r>
      <w:tr>
        <w:trPr>
          <w:trHeight w:val="20"/>
        </w:trPr>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57"/>
        </w:trPr>
        <w:tc>
          <w:tcPr>
            <w:tcW w:w="1740" w:type="dxa"/>
            <w:vAlign w:val="bottom"/>
            <w:tcBorders>
              <w:bottom w:val="single" w:sz="8" w:color="0000EE"/>
            </w:tcBorders>
            <w:gridSpan w:val="10"/>
          </w:tcPr>
          <w:p>
            <w:pPr>
              <w:spacing w:after="0" w:line="157" w:lineRule="exact"/>
              <w:rPr>
                <w:sz w:val="20"/>
                <w:szCs w:val="20"/>
                <w:color w:val="auto"/>
              </w:rPr>
            </w:pPr>
            <w:r>
              <w:rPr>
                <w:rFonts w:ascii="Times New Roman" w:cs="Times New Roman" w:eastAsia="Times New Roman" w:hAnsi="Times New Roman"/>
                <w:sz w:val="15"/>
                <w:szCs w:val="15"/>
                <w:color w:val="0000EE"/>
                <w:w w:val="97"/>
              </w:rPr>
              <w:t>Forward-Looking Statements</w:t>
            </w:r>
          </w:p>
        </w:tc>
        <w:tc>
          <w:tcPr>
            <w:tcW w:w="620" w:type="dxa"/>
            <w:vAlign w:val="bottom"/>
            <w:gridSpan w:val="2"/>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7</w:t>
            </w: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Use of Proceeds</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r>
      <w:tr>
        <w:trPr>
          <w:trHeight w:val="20"/>
        </w:trPr>
        <w:tc>
          <w:tcPr>
            <w:tcW w:w="4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r>
      <w:tr>
        <w:trPr>
          <w:trHeight w:val="20"/>
        </w:trPr>
        <w:tc>
          <w:tcPr>
            <w:tcW w:w="4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57"/>
        </w:trPr>
        <w:tc>
          <w:tcPr>
            <w:tcW w:w="1800" w:type="dxa"/>
            <w:vAlign w:val="bottom"/>
            <w:tcBorders>
              <w:bottom w:val="single" w:sz="8" w:color="0000EE"/>
            </w:tcBorders>
            <w:gridSpan w:val="11"/>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Debt Securities</w:t>
            </w:r>
          </w:p>
        </w:tc>
        <w:tc>
          <w:tcPr>
            <w:tcW w:w="560" w:type="dxa"/>
            <w:vAlign w:val="bottom"/>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11</w:t>
            </w:r>
          </w:p>
        </w:tc>
      </w:tr>
      <w:tr>
        <w:trPr>
          <w:trHeight w:val="157"/>
        </w:trPr>
        <w:tc>
          <w:tcPr>
            <w:tcW w:w="1420" w:type="dxa"/>
            <w:vAlign w:val="bottom"/>
            <w:tcBorders>
              <w:bottom w:val="single" w:sz="8" w:color="0000EE"/>
            </w:tcBorders>
            <w:gridSpan w:val="8"/>
          </w:tcPr>
          <w:p>
            <w:pPr>
              <w:spacing w:after="0" w:line="157" w:lineRule="exact"/>
              <w:rPr>
                <w:sz w:val="20"/>
                <w:szCs w:val="20"/>
                <w:color w:val="auto"/>
              </w:rPr>
            </w:pPr>
            <w:r>
              <w:rPr>
                <w:rFonts w:ascii="Times New Roman" w:cs="Times New Roman" w:eastAsia="Times New Roman" w:hAnsi="Times New Roman"/>
                <w:sz w:val="15"/>
                <w:szCs w:val="15"/>
                <w:color w:val="0000EE"/>
                <w:w w:val="96"/>
              </w:rPr>
              <w:t>Description of Warrants</w:t>
            </w:r>
          </w:p>
        </w:tc>
        <w:tc>
          <w:tcPr>
            <w:tcW w:w="940" w:type="dxa"/>
            <w:vAlign w:val="bottom"/>
            <w:gridSpan w:val="4"/>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19</w:t>
            </w: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Description of Units</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20</w:t>
            </w:r>
          </w:p>
        </w:tc>
      </w:tr>
      <w:tr>
        <w:trPr>
          <w:trHeight w:val="157"/>
        </w:trPr>
        <w:tc>
          <w:tcPr>
            <w:tcW w:w="1180" w:type="dxa"/>
            <w:vAlign w:val="bottom"/>
            <w:tcBorders>
              <w:top w:val="single" w:sz="8" w:color="0000EE"/>
              <w:bottom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5"/>
                <w:szCs w:val="15"/>
                <w:color w:val="0000EE"/>
                <w:w w:val="97"/>
              </w:rPr>
              <w:t>Plan of Distribution</w:t>
            </w:r>
          </w:p>
        </w:tc>
        <w:tc>
          <w:tcPr>
            <w:tcW w:w="20" w:type="dxa"/>
            <w:vAlign w:val="bottom"/>
            <w:tcBorders>
              <w:top w:val="single" w:sz="8" w:color="0000EE"/>
            </w:tcBorders>
          </w:tcPr>
          <w:p>
            <w:pPr>
              <w:spacing w:after="0"/>
              <w:rPr>
                <w:sz w:val="13"/>
                <w:szCs w:val="13"/>
                <w:color w:val="auto"/>
              </w:rPr>
            </w:pPr>
          </w:p>
        </w:tc>
        <w:tc>
          <w:tcPr>
            <w:tcW w:w="1160" w:type="dxa"/>
            <w:vAlign w:val="bottom"/>
            <w:gridSpan w:val="7"/>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21</w:t>
            </w:r>
          </w:p>
        </w:tc>
      </w:tr>
      <w:tr>
        <w:trPr>
          <w:trHeight w:val="157"/>
        </w:trPr>
        <w:tc>
          <w:tcPr>
            <w:tcW w:w="46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w w:val="95"/>
              </w:rPr>
              <w:t>Experts</w:t>
            </w:r>
          </w:p>
        </w:tc>
        <w:tc>
          <w:tcPr>
            <w:tcW w:w="1900" w:type="dxa"/>
            <w:vAlign w:val="bottom"/>
            <w:gridSpan w:val="11"/>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24</w:t>
            </w:r>
          </w:p>
        </w:tc>
      </w:tr>
      <w:tr>
        <w:trPr>
          <w:trHeight w:val="157"/>
        </w:trPr>
        <w:tc>
          <w:tcPr>
            <w:tcW w:w="2360" w:type="dxa"/>
            <w:vAlign w:val="bottom"/>
            <w:tcBorders>
              <w:bottom w:val="single" w:sz="8" w:color="0000EE"/>
            </w:tcBorders>
            <w:gridSpan w:val="12"/>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25</w:t>
            </w: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Incorporation by Reference</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r>
      <w:tr>
        <w:trPr>
          <w:trHeight w:val="20"/>
        </w:trPr>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bl>
    <w:p>
      <w:pPr>
        <w:spacing w:after="0" w:line="1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0159"/>
          </w:cols>
          <w:pgMar w:left="300" w:top="40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84" w:lineRule="exact"/>
        <w:rPr>
          <w:sz w:val="20"/>
          <w:szCs w:val="20"/>
          <w:color w:val="auto"/>
        </w:rPr>
      </w:pPr>
    </w:p>
    <w:p>
      <w:pPr>
        <w:ind w:left="1120" w:firstLine="362"/>
        <w:spacing w:after="0" w:line="260"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w:t>
      </w:r>
    </w:p>
    <w:p>
      <w:pPr>
        <w:spacing w:after="0" w:line="149" w:lineRule="exact"/>
        <w:rPr>
          <w:sz w:val="20"/>
          <w:szCs w:val="20"/>
          <w:color w:val="auto"/>
        </w:rPr>
      </w:pPr>
    </w:p>
    <w:p>
      <w:pPr>
        <w:ind w:left="1120" w:right="80" w:firstLine="362"/>
        <w:spacing w:after="0" w:line="255" w:lineRule="auto"/>
        <w:rPr>
          <w:sz w:val="20"/>
          <w:szCs w:val="20"/>
          <w:color w:val="auto"/>
        </w:rPr>
      </w:pPr>
      <w:r>
        <w:rPr>
          <w:rFonts w:ascii="Times New Roman" w:cs="Times New Roman" w:eastAsia="Times New Roman" w:hAnsi="Times New Roman"/>
          <w:sz w:val="15"/>
          <w:szCs w:val="15"/>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0160"/>
          </w:cols>
          <w:pgMar w:left="300" w:top="400" w:right="1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501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5748020" cy="5501640"/>
                    </a:xfrm>
                    <a:prstGeom prst="rect">
                      <a:avLst/>
                    </a:prstGeom>
                    <a:noFill/>
                  </pic:spPr>
                </pic:pic>
              </a:graphicData>
            </a:graphic>
          </wp:anchor>
        </w:drawing>
      </w: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82" w:lineRule="exact"/>
        <w:rPr>
          <w:sz w:val="20"/>
          <w:szCs w:val="20"/>
          <w:color w:val="auto"/>
        </w:rPr>
      </w:pPr>
    </w:p>
    <w:p>
      <w:pPr>
        <w:ind w:left="1280" w:right="159" w:firstLine="350"/>
        <w:spacing w:after="0" w:line="270"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1280" w:right="419"/>
        <w:spacing w:after="0" w:line="250" w:lineRule="auto"/>
        <w:rPr>
          <w:sz w:val="20"/>
          <w:szCs w:val="20"/>
          <w:color w:val="auto"/>
        </w:rPr>
      </w:pPr>
      <w:r>
        <w:rPr>
          <w:rFonts w:ascii="Times New Roman" w:cs="Times New Roman" w:eastAsia="Times New Roman" w:hAnsi="Times New Roman"/>
          <w:sz w:val="15"/>
          <w:szCs w:val="15"/>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5" w:lineRule="exact"/>
        <w:rPr>
          <w:sz w:val="20"/>
          <w:szCs w:val="20"/>
          <w:color w:val="auto"/>
        </w:rPr>
      </w:pPr>
    </w:p>
    <w:p>
      <w:pPr>
        <w:ind w:left="1280" w:right="279" w:firstLine="350"/>
        <w:spacing w:after="0" w:line="252" w:lineRule="auto"/>
        <w:rPr>
          <w:sz w:val="20"/>
          <w:szCs w:val="20"/>
          <w:color w:val="auto"/>
        </w:rPr>
      </w:pPr>
      <w:r>
        <w:rPr>
          <w:rFonts w:ascii="Times New Roman" w:cs="Times New Roman" w:eastAsia="Times New Roman" w:hAnsi="Times New Roman"/>
          <w:sz w:val="15"/>
          <w:szCs w:val="15"/>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We provide, or are working to provide, simplified solutions focused in the following areas:</w:t>
      </w:r>
    </w:p>
    <w:p>
      <w:pPr>
        <w:spacing w:after="0" w:line="2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Crypto</w:t>
      </w:r>
    </w:p>
    <w:p>
      <w:pPr>
        <w:spacing w:after="0" w:line="109" w:lineRule="exact"/>
        <w:rPr>
          <w:sz w:val="20"/>
          <w:szCs w:val="20"/>
          <w:color w:val="auto"/>
        </w:rPr>
      </w:pPr>
    </w:p>
    <w:p>
      <w:pPr>
        <w:ind w:left="2040" w:right="299" w:hanging="336"/>
        <w:spacing w:after="0" w:line="260" w:lineRule="auto"/>
        <w:tabs>
          <w:tab w:leader="none" w:pos="20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Loyalty</w:t>
      </w:r>
    </w:p>
    <w:p>
      <w:pPr>
        <w:spacing w:after="0" w:line="109" w:lineRule="exact"/>
        <w:rPr>
          <w:sz w:val="20"/>
          <w:szCs w:val="20"/>
          <w:color w:val="auto"/>
        </w:rPr>
      </w:pPr>
    </w:p>
    <w:p>
      <w:pPr>
        <w:ind w:left="2040" w:right="219" w:hanging="336"/>
        <w:spacing w:after="0" w:line="253" w:lineRule="auto"/>
        <w:tabs>
          <w:tab w:leader="none" w:pos="20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Cooperation Agreement</w:t>
      </w:r>
    </w:p>
    <w:p>
      <w:pPr>
        <w:spacing w:after="0" w:line="95" w:lineRule="exact"/>
        <w:rPr>
          <w:sz w:val="20"/>
          <w:szCs w:val="20"/>
          <w:color w:val="auto"/>
        </w:rPr>
      </w:pPr>
    </w:p>
    <w:p>
      <w:pPr>
        <w:ind w:left="1280" w:right="199" w:firstLine="350"/>
        <w:spacing w:after="0" w:line="255" w:lineRule="auto"/>
        <w:rPr>
          <w:sz w:val="20"/>
          <w:szCs w:val="20"/>
          <w:color w:val="auto"/>
        </w:rPr>
      </w:pPr>
      <w:r>
        <w:rPr>
          <w:rFonts w:ascii="Times New Roman" w:cs="Times New Roman" w:eastAsia="Times New Roman" w:hAnsi="Times New Roman"/>
          <w:sz w:val="15"/>
          <w:szCs w:val="15"/>
          <w:color w:val="auto"/>
        </w:rPr>
        <w:t>In March 2025, we entered into a Cooperation Agreement with Distributed Technologies Research Global Ltd.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w:t>
      </w:r>
    </w:p>
    <w:p>
      <w:pPr>
        <w:spacing w:after="0" w:line="2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Updated Investment Policy</w:t>
      </w:r>
    </w:p>
    <w:p>
      <w:pPr>
        <w:spacing w:after="0" w:line="95" w:lineRule="exact"/>
        <w:rPr>
          <w:sz w:val="20"/>
          <w:szCs w:val="20"/>
          <w:color w:val="auto"/>
        </w:rPr>
      </w:pPr>
    </w:p>
    <w:p>
      <w:pPr>
        <w:ind w:left="1280" w:right="179" w:firstLine="350"/>
        <w:spacing w:after="0" w:line="260" w:lineRule="auto"/>
        <w:rPr>
          <w:sz w:val="20"/>
          <w:szCs w:val="20"/>
          <w:color w:val="auto"/>
        </w:rPr>
      </w:pPr>
      <w:r>
        <w:rPr>
          <w:rFonts w:ascii="Times New Roman" w:cs="Times New Roman" w:eastAsia="Times New Roman" w:hAnsi="Times New Roman"/>
          <w:sz w:val="15"/>
          <w:szCs w:val="15"/>
          <w:color w:val="auto"/>
        </w:rPr>
        <w:t>In June 2025 we updated our investment policy (“Investment Policy”) to enable us to allocate capital into Bitcoin and other digital assets as part of our broader treasury and corporate strategy, subject to market conditions and the anticipated liquidity needs of the business. We may acquire Bitcoin or other digital assets</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159"/>
          </w:cols>
          <w:pgMar w:left="300" w:top="400"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4381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5748020" cy="5438140"/>
                    </a:xfrm>
                    <a:prstGeom prst="rect">
                      <a:avLst/>
                    </a:prstGeom>
                    <a:noFill/>
                  </pic:spPr>
                </pic:pic>
              </a:graphicData>
            </a:graphic>
          </wp:anchor>
        </w:drawing>
      </w:r>
    </w:p>
    <w:p>
      <w:pPr>
        <w:spacing w:after="0" w:line="386" w:lineRule="exact"/>
        <w:rPr>
          <w:sz w:val="20"/>
          <w:szCs w:val="20"/>
          <w:color w:val="auto"/>
        </w:rPr>
      </w:pPr>
    </w:p>
    <w:p>
      <w:pPr>
        <w:ind w:left="1280" w:right="159"/>
        <w:spacing w:after="0" w:line="252" w:lineRule="auto"/>
        <w:rPr>
          <w:sz w:val="20"/>
          <w:szCs w:val="20"/>
          <w:color w:val="auto"/>
        </w:rPr>
      </w:pPr>
      <w:r>
        <w:rPr>
          <w:rFonts w:ascii="Times New Roman" w:cs="Times New Roman" w:eastAsia="Times New Roman" w:hAnsi="Times New Roman"/>
          <w:sz w:val="15"/>
          <w:szCs w:val="15"/>
          <w:color w:val="auto"/>
        </w:rPr>
        <w:t>using excess 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the our Investment Policy. To date, we have not purchased any Bitcoin or other digital assets pursuant to our updated Investment Policy. There can be no assurance that we will enter into any such transactions. The timing and magnitude of any such transactions will depend on market conditions, capital market receptivity, business performance and other strategic considerations.</w:t>
      </w:r>
    </w:p>
    <w:p>
      <w:pPr>
        <w:spacing w:after="0" w:line="155" w:lineRule="exact"/>
        <w:rPr>
          <w:sz w:val="20"/>
          <w:szCs w:val="20"/>
          <w:color w:val="auto"/>
        </w:rPr>
      </w:pPr>
    </w:p>
    <w:p>
      <w:pPr>
        <w:ind w:left="1280" w:right="239" w:firstLine="350"/>
        <w:spacing w:after="0" w:line="255" w:lineRule="auto"/>
        <w:rPr>
          <w:sz w:val="20"/>
          <w:szCs w:val="20"/>
          <w:color w:val="auto"/>
        </w:rPr>
      </w:pPr>
      <w:r>
        <w:rPr>
          <w:rFonts w:ascii="Times New Roman" w:cs="Times New Roman" w:eastAsia="Times New Roman" w:hAnsi="Times New Roman"/>
          <w:sz w:val="15"/>
          <w:szCs w:val="15"/>
          <w:color w:val="auto"/>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5"/>
          <w:szCs w:val="15"/>
          <w:i w:val="1"/>
          <w:iCs w:val="1"/>
          <w:color w:val="auto"/>
        </w:rPr>
        <w:t>Risk Factors Related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the Update of our Investment Policy,</w:t>
      </w:r>
      <w:r>
        <w:rPr>
          <w:rFonts w:ascii="Times New Roman" w:cs="Times New Roman" w:eastAsia="Times New Roman" w:hAnsi="Times New Roman"/>
          <w:sz w:val="15"/>
          <w:szCs w:val="15"/>
          <w:color w:val="auto"/>
        </w:rPr>
        <w:t>” which is attached as Exhibit 99.1 to our Current Report on Form 8-K filed with the SEC on June 10, 2025</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is incorporated by reference herein.</w:t>
      </w:r>
    </w:p>
    <w:p>
      <w:pPr>
        <w:spacing w:after="0" w:line="2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Risk Factors Summary</w:t>
      </w:r>
    </w:p>
    <w:p>
      <w:pPr>
        <w:spacing w:after="0" w:line="95" w:lineRule="exact"/>
        <w:rPr>
          <w:sz w:val="20"/>
          <w:szCs w:val="20"/>
          <w:color w:val="auto"/>
        </w:rPr>
      </w:pPr>
    </w:p>
    <w:p>
      <w:pPr>
        <w:ind w:left="1280" w:right="139" w:firstLine="350"/>
        <w:spacing w:after="0" w:line="287" w:lineRule="auto"/>
        <w:rPr>
          <w:sz w:val="20"/>
          <w:szCs w:val="20"/>
          <w:color w:val="auto"/>
        </w:rPr>
      </w:pPr>
      <w:r>
        <w:rPr>
          <w:rFonts w:ascii="Times New Roman" w:cs="Times New Roman" w:eastAsia="Times New Roman" w:hAnsi="Times New Roman"/>
          <w:sz w:val="14"/>
          <w:szCs w:val="14"/>
          <w:color w:val="auto"/>
        </w:rPr>
        <w:t>Investing in our securities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future prospects.</w:t>
      </w: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Our Business, Finances and Operations</w:t>
      </w:r>
    </w:p>
    <w:p>
      <w:pPr>
        <w:spacing w:after="0" w:line="107" w:lineRule="exact"/>
        <w:rPr>
          <w:sz w:val="20"/>
          <w:szCs w:val="20"/>
          <w:color w:val="auto"/>
        </w:rPr>
      </w:pPr>
    </w:p>
    <w:p>
      <w:pPr>
        <w:ind w:left="2040" w:hanging="336"/>
        <w:spacing w:after="0"/>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model is newly developed and may encounter additional risks and challenges as it grows.</w:t>
      </w:r>
    </w:p>
    <w:p>
      <w:pPr>
        <w:spacing w:after="0" w:line="104" w:lineRule="exact"/>
        <w:rPr>
          <w:rFonts w:ascii="Times New Roman" w:cs="Times New Roman" w:eastAsia="Times New Roman" w:hAnsi="Times New Roman"/>
          <w:sz w:val="15"/>
          <w:szCs w:val="15"/>
          <w:color w:val="auto"/>
        </w:rPr>
      </w:pPr>
    </w:p>
    <w:p>
      <w:pPr>
        <w:ind w:left="2040" w:right="159" w:hanging="336"/>
        <w:spacing w:after="0" w:line="273" w:lineRule="auto"/>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platform has been designed to meet the needs of our clients and customers, and as such we must continually invest in our platform to meet their evolving needs as we look to grow our business.</w:t>
      </w:r>
    </w:p>
    <w:p>
      <w:pPr>
        <w:spacing w:after="0" w:line="61"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limited operating history and a history of operating losses.</w:t>
      </w:r>
    </w:p>
    <w:p>
      <w:pPr>
        <w:spacing w:after="0" w:line="104" w:lineRule="exact"/>
        <w:rPr>
          <w:rFonts w:ascii="Times New Roman" w:cs="Times New Roman" w:eastAsia="Times New Roman" w:hAnsi="Times New Roman"/>
          <w:sz w:val="15"/>
          <w:szCs w:val="15"/>
          <w:color w:val="auto"/>
        </w:rPr>
      </w:pPr>
    </w:p>
    <w:p>
      <w:pPr>
        <w:ind w:left="2040" w:right="599" w:hanging="336"/>
        <w:spacing w:after="0" w:line="273" w:lineRule="auto"/>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attract, retain or grow our relationships with our existing clients, our business, financial condition, results of operations and future prospects would be materially and adversely affected.</w:t>
      </w:r>
    </w:p>
    <w:p>
      <w:pPr>
        <w:spacing w:after="0" w:line="61" w:lineRule="exact"/>
        <w:rPr>
          <w:rFonts w:ascii="Times New Roman" w:cs="Times New Roman" w:eastAsia="Times New Roman" w:hAnsi="Times New Roman"/>
          <w:sz w:val="15"/>
          <w:szCs w:val="15"/>
          <w:color w:val="auto"/>
        </w:rPr>
      </w:pPr>
    </w:p>
    <w:p>
      <w:pPr>
        <w:ind w:left="2040" w:right="219" w:hanging="336"/>
        <w:spacing w:after="0" w:line="260" w:lineRule="auto"/>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w:t>
      </w:r>
    </w:p>
    <w:p>
      <w:pPr>
        <w:spacing w:after="0" w:line="71" w:lineRule="exact"/>
        <w:rPr>
          <w:rFonts w:ascii="Times New Roman" w:cs="Times New Roman" w:eastAsia="Times New Roman" w:hAnsi="Times New Roman"/>
          <w:sz w:val="15"/>
          <w:szCs w:val="15"/>
          <w:color w:val="auto"/>
        </w:rPr>
      </w:pPr>
    </w:p>
    <w:p>
      <w:pPr>
        <w:ind w:left="2040" w:right="159" w:hanging="336"/>
        <w:spacing w:after="0" w:line="253" w:lineRule="auto"/>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77" w:lineRule="exact"/>
        <w:rPr>
          <w:rFonts w:ascii="Times New Roman" w:cs="Times New Roman" w:eastAsia="Times New Roman" w:hAnsi="Times New Roman"/>
          <w:sz w:val="15"/>
          <w:szCs w:val="15"/>
          <w:color w:val="auto"/>
        </w:rPr>
      </w:pPr>
    </w:p>
    <w:p>
      <w:pPr>
        <w:ind w:left="2040" w:right="159" w:hanging="336"/>
        <w:spacing w:after="0" w:line="273" w:lineRule="auto"/>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realize the anticipated benefits of past or future investments, strategic transactions, or acquisitions and integration of these acquisitions may disrupt our business and management.</w:t>
      </w:r>
    </w:p>
    <w:p>
      <w:pPr>
        <w:spacing w:after="0" w:line="61" w:lineRule="exact"/>
        <w:rPr>
          <w:rFonts w:ascii="Times New Roman" w:cs="Times New Roman" w:eastAsia="Times New Roman" w:hAnsi="Times New Roman"/>
          <w:sz w:val="15"/>
          <w:szCs w:val="15"/>
          <w:color w:val="auto"/>
        </w:rPr>
      </w:pPr>
    </w:p>
    <w:p>
      <w:pPr>
        <w:ind w:left="2040" w:right="239" w:hanging="336"/>
        <w:spacing w:after="0" w:line="260" w:lineRule="auto"/>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71" w:lineRule="exact"/>
        <w:rPr>
          <w:rFonts w:ascii="Times New Roman" w:cs="Times New Roman" w:eastAsia="Times New Roman" w:hAnsi="Times New Roman"/>
          <w:sz w:val="15"/>
          <w:szCs w:val="15"/>
          <w:color w:val="auto"/>
        </w:rPr>
      </w:pPr>
    </w:p>
    <w:p>
      <w:pPr>
        <w:ind w:left="2040" w:right="159" w:hanging="336"/>
        <w:spacing w:after="0" w:line="260" w:lineRule="auto"/>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realize the expected benefits under the Cooperation Agreement with DTR, including failing to enter into a commercial agreement with or successfully integrating our platform with DTR’s technology, and may be unable to successfully negotiate the terms to acquire DTR, either of which could adversely affect our business, financial condition and results of operations.</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159"/>
          </w:cols>
          <w:pgMar w:left="300" w:top="40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142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5748020" cy="5142865"/>
                    </a:xfrm>
                    <a:prstGeom prst="rect">
                      <a:avLst/>
                    </a:prstGeom>
                    <a:noFill/>
                  </pic:spPr>
                </pic:pic>
              </a:graphicData>
            </a:graphic>
          </wp:anchor>
        </w:drawing>
      </w:r>
    </w:p>
    <w:p>
      <w:pPr>
        <w:spacing w:after="0" w:line="3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Crypto and Our Investment Policy</w:t>
      </w:r>
    </w:p>
    <w:p>
      <w:pPr>
        <w:spacing w:after="0" w:line="107" w:lineRule="exact"/>
        <w:rPr>
          <w:sz w:val="20"/>
          <w:szCs w:val="20"/>
          <w:color w:val="auto"/>
        </w:rPr>
      </w:pPr>
    </w:p>
    <w:p>
      <w:pPr>
        <w:ind w:left="2040" w:hanging="336"/>
        <w:spacing w:after="0"/>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in the crypto market subject us to additional risks, including the risk that banks may not provide banking services to us.</w:t>
      </w:r>
    </w:p>
    <w:p>
      <w:pPr>
        <w:spacing w:after="0" w:line="104" w:lineRule="exact"/>
        <w:rPr>
          <w:rFonts w:ascii="Times New Roman" w:cs="Times New Roman" w:eastAsia="Times New Roman" w:hAnsi="Times New Roman"/>
          <w:sz w:val="15"/>
          <w:szCs w:val="15"/>
          <w:color w:val="auto"/>
        </w:rPr>
      </w:pPr>
    </w:p>
    <w:p>
      <w:pPr>
        <w:ind w:left="2040" w:right="839" w:hanging="336"/>
        <w:spacing w:after="0" w:line="27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a perception among regulators and others that crypto is used to facilitate illegal activity such as fraud, money laundering, tax evasion and ransomware scams.</w:t>
      </w:r>
    </w:p>
    <w:p>
      <w:pPr>
        <w:spacing w:after="0" w:line="61" w:lineRule="exact"/>
        <w:rPr>
          <w:rFonts w:ascii="Times New Roman" w:cs="Times New Roman" w:eastAsia="Times New Roman" w:hAnsi="Times New Roman"/>
          <w:sz w:val="15"/>
          <w:szCs w:val="15"/>
          <w:color w:val="auto"/>
        </w:rPr>
      </w:pPr>
    </w:p>
    <w:p>
      <w:pPr>
        <w:ind w:left="2040" w:right="219" w:hanging="336"/>
        <w:spacing w:after="0" w:line="260"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spacing w:after="0" w:line="71" w:lineRule="exact"/>
        <w:rPr>
          <w:rFonts w:ascii="Times New Roman" w:cs="Times New Roman" w:eastAsia="Times New Roman" w:hAnsi="Times New Roman"/>
          <w:sz w:val="15"/>
          <w:szCs w:val="15"/>
          <w:color w:val="auto"/>
        </w:rPr>
      </w:pPr>
    </w:p>
    <w:p>
      <w:pPr>
        <w:ind w:left="2040" w:right="619" w:hanging="336"/>
        <w:spacing w:after="0" w:line="27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safeguard and manage our and our customers’ crypto could adversely impact our business, operating results, and financial condition.</w:t>
      </w:r>
    </w:p>
    <w:p>
      <w:pPr>
        <w:spacing w:after="0" w:line="61"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Crypto does not have extensive historical precedent and distributed ledger technology continues to rapidly evolve.</w:t>
      </w:r>
    </w:p>
    <w:p>
      <w:pPr>
        <w:spacing w:after="0" w:line="104" w:lineRule="exact"/>
        <w:rPr>
          <w:rFonts w:ascii="Times New Roman" w:cs="Times New Roman" w:eastAsia="Times New Roman" w:hAnsi="Times New Roman"/>
          <w:sz w:val="15"/>
          <w:szCs w:val="15"/>
          <w:color w:val="auto"/>
        </w:rPr>
      </w:pPr>
    </w:p>
    <w:p>
      <w:pPr>
        <w:ind w:left="2040" w:right="419" w:hanging="336"/>
        <w:spacing w:after="0" w:line="27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encounter technical issues in connection with the integration of supported crypto assets and changes and upgrades to their underlying networks, which could adversely affect our business.</w:t>
      </w:r>
    </w:p>
    <w:p>
      <w:pPr>
        <w:spacing w:after="0" w:line="61" w:lineRule="exact"/>
        <w:rPr>
          <w:rFonts w:ascii="Times New Roman" w:cs="Times New Roman" w:eastAsia="Times New Roman" w:hAnsi="Times New Roman"/>
          <w:sz w:val="15"/>
          <w:szCs w:val="15"/>
          <w:color w:val="auto"/>
        </w:rPr>
      </w:pPr>
    </w:p>
    <w:p>
      <w:pPr>
        <w:ind w:left="2040" w:right="279" w:hanging="336"/>
        <w:spacing w:after="0" w:line="27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results and the market price of our securities are expected to be affected by fluctuations in the price of digital assets we may acquire in accordance with our Investment Policy, including Bitcoin, which are highly volatile assets.</w:t>
      </w:r>
    </w:p>
    <w:p>
      <w:pPr>
        <w:spacing w:after="0" w:line="61" w:lineRule="exact"/>
        <w:rPr>
          <w:rFonts w:ascii="Times New Roman" w:cs="Times New Roman" w:eastAsia="Times New Roman" w:hAnsi="Times New Roman"/>
          <w:sz w:val="15"/>
          <w:szCs w:val="15"/>
          <w:color w:val="auto"/>
        </w:rPr>
      </w:pPr>
    </w:p>
    <w:p>
      <w:pPr>
        <w:ind w:left="2040" w:right="199" w:hanging="336"/>
        <w:spacing w:after="0" w:line="27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quarterly financial results may fluctuate significantly, including because we account for digital assets we hold at fair value, which may subject us to the corporate alternative minimum tax under the Inflation Reduction Act of 2022.</w:t>
      </w:r>
    </w:p>
    <w:p>
      <w:pPr>
        <w:spacing w:after="0" w:line="61" w:lineRule="exact"/>
        <w:rPr>
          <w:rFonts w:ascii="Times New Roman" w:cs="Times New Roman" w:eastAsia="Times New Roman" w:hAnsi="Times New Roman"/>
          <w:sz w:val="15"/>
          <w:szCs w:val="15"/>
          <w:color w:val="auto"/>
        </w:rPr>
      </w:pPr>
    </w:p>
    <w:p>
      <w:pPr>
        <w:ind w:left="2040" w:right="379" w:hanging="336"/>
        <w:spacing w:after="0" w:line="27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time the price of any purchases of Bitcoin and other digital assets we may acquire in accordance with our Investment Policy will be limited.</w:t>
      </w:r>
    </w:p>
    <w:p>
      <w:pPr>
        <w:spacing w:after="0" w:line="61" w:lineRule="exact"/>
        <w:rPr>
          <w:rFonts w:ascii="Times New Roman" w:cs="Times New Roman" w:eastAsia="Times New Roman" w:hAnsi="Times New Roman"/>
          <w:sz w:val="15"/>
          <w:szCs w:val="15"/>
          <w:color w:val="auto"/>
        </w:rPr>
      </w:pPr>
    </w:p>
    <w:p>
      <w:pPr>
        <w:ind w:left="2040" w:right="599" w:hanging="336"/>
        <w:spacing w:after="0" w:line="27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significant decrease in the market value of any digital assets we may acquire in accordance with our Investment Policy could adversely affect our ability to satisfy financial obligations, including any debt financings.</w:t>
      </w:r>
    </w:p>
    <w:p>
      <w:pPr>
        <w:spacing w:after="0" w:line="61" w:lineRule="exact"/>
        <w:rPr>
          <w:rFonts w:ascii="Times New Roman" w:cs="Times New Roman" w:eastAsia="Times New Roman" w:hAnsi="Times New Roman"/>
          <w:sz w:val="15"/>
          <w:szCs w:val="15"/>
          <w:color w:val="auto"/>
        </w:rPr>
      </w:pPr>
    </w:p>
    <w:p>
      <w:pPr>
        <w:jc w:val="both"/>
        <w:ind w:left="2040" w:right="379" w:hanging="336"/>
        <w:spacing w:after="0" w:line="260"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implementation of our Investment Policy, competition by other digital asset companies and the availability of spot exchange-traded products for Bitcoin and other digital assets may adversely affect our business, financial condition, results of operations and future prospects.</w:t>
      </w:r>
    </w:p>
    <w:p>
      <w:pPr>
        <w:spacing w:after="0" w:line="71" w:lineRule="exact"/>
        <w:rPr>
          <w:rFonts w:ascii="Times New Roman" w:cs="Times New Roman" w:eastAsia="Times New Roman" w:hAnsi="Times New Roman"/>
          <w:sz w:val="15"/>
          <w:szCs w:val="15"/>
          <w:color w:val="auto"/>
        </w:rPr>
      </w:pPr>
    </w:p>
    <w:p>
      <w:pPr>
        <w:ind w:left="2040" w:right="219" w:hanging="336"/>
        <w:spacing w:after="0" w:line="27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digital assets we may acquire in accordance with our Investment Policy may not be able to serve as a source of liquidity for us to the same extent as cash and cash equivalents.</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Regulation, Taxation and Laws</w:t>
      </w:r>
    </w:p>
    <w:p>
      <w:pPr>
        <w:spacing w:after="0" w:line="107" w:lineRule="exact"/>
        <w:rPr>
          <w:sz w:val="20"/>
          <w:szCs w:val="20"/>
          <w:color w:val="auto"/>
        </w:rPr>
      </w:pPr>
    </w:p>
    <w:p>
      <w:pPr>
        <w:ind w:left="2040" w:right="479" w:hanging="336"/>
        <w:spacing w:after="0" w:line="273"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extensive government regulation, oversight, licensure and appraisals and our failure to comply could materially harm our business.</w:t>
      </w:r>
    </w:p>
    <w:p>
      <w:pPr>
        <w:spacing w:after="0" w:line="61" w:lineRule="exact"/>
        <w:rPr>
          <w:rFonts w:ascii="Times New Roman" w:cs="Times New Roman" w:eastAsia="Times New Roman" w:hAnsi="Times New Roman"/>
          <w:sz w:val="15"/>
          <w:szCs w:val="15"/>
          <w:color w:val="auto"/>
        </w:rPr>
      </w:pPr>
    </w:p>
    <w:p>
      <w:pPr>
        <w:ind w:left="2040" w:right="279" w:hanging="336"/>
        <w:spacing w:after="0" w:line="260"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w:t>
      </w:r>
    </w:p>
    <w:p>
      <w:pPr>
        <w:spacing w:after="0" w:line="71" w:lineRule="exact"/>
        <w:rPr>
          <w:rFonts w:ascii="Times New Roman" w:cs="Times New Roman" w:eastAsia="Times New Roman" w:hAnsi="Times New Roman"/>
          <w:sz w:val="15"/>
          <w:szCs w:val="15"/>
          <w:color w:val="auto"/>
        </w:rPr>
      </w:pPr>
    </w:p>
    <w:p>
      <w:pPr>
        <w:ind w:left="2040" w:right="319" w:hanging="336"/>
        <w:spacing w:after="0" w:line="260"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159"/>
          </w:cols>
          <w:pgMar w:left="300" w:top="40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501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5748020" cy="5501640"/>
                    </a:xfrm>
                    <a:prstGeom prst="rect">
                      <a:avLst/>
                    </a:prstGeom>
                    <a:noFill/>
                  </pic:spPr>
                </pic:pic>
              </a:graphicData>
            </a:graphic>
          </wp:anchor>
        </w:drawing>
      </w:r>
    </w:p>
    <w:p>
      <w:pPr>
        <w:spacing w:after="0" w:line="386" w:lineRule="exact"/>
        <w:rPr>
          <w:sz w:val="20"/>
          <w:szCs w:val="20"/>
          <w:color w:val="auto"/>
        </w:rPr>
      </w:pPr>
    </w:p>
    <w:p>
      <w:pPr>
        <w:ind w:left="2040" w:right="45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significant litigation risk and risk of regulatory liability and penalties. Any current or future litigation against us could be costly and time-consuming to defend.</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Information Technology and Data</w:t>
      </w:r>
    </w:p>
    <w:p>
      <w:pPr>
        <w:spacing w:after="0" w:line="107" w:lineRule="exact"/>
        <w:rPr>
          <w:sz w:val="20"/>
          <w:szCs w:val="20"/>
          <w:color w:val="auto"/>
        </w:rPr>
      </w:pPr>
    </w:p>
    <w:p>
      <w:pPr>
        <w:ind w:left="2040" w:right="239" w:hanging="336"/>
        <w:spacing w:after="0" w:line="273" w:lineRule="auto"/>
        <w:tabs>
          <w:tab w:leader="none" w:pos="20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perceived cyberattacks, security incidents, or breaches could result in serious harm to our reputation, business and financial condition.</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Risk Management and Financial Reporting</w:t>
      </w:r>
    </w:p>
    <w:p>
      <w:pPr>
        <w:spacing w:after="0" w:line="107" w:lineRule="exact"/>
        <w:rPr>
          <w:sz w:val="20"/>
          <w:szCs w:val="20"/>
          <w:color w:val="auto"/>
        </w:rPr>
      </w:pPr>
    </w:p>
    <w:p>
      <w:pPr>
        <w:ind w:left="2040" w:right="479" w:hanging="336"/>
        <w:spacing w:after="0" w:line="273" w:lineRule="auto"/>
        <w:tabs>
          <w:tab w:leader="none" w:pos="20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maintain effective internal controls over financial reporting, we may be unable to produce timely and accurate financial statements, which could have a material effect on our business.</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Our principal executive offices are located at 10000 Avalon Boulevard, Suite 1000, Alpharetta, Georgia 30009. Our telephone number is</w:t>
      </w:r>
    </w:p>
    <w:p>
      <w:pPr>
        <w:spacing w:after="0" w:line="19" w:lineRule="exact"/>
        <w:rPr>
          <w:sz w:val="20"/>
          <w:szCs w:val="20"/>
          <w:color w:val="auto"/>
        </w:rPr>
      </w:pPr>
    </w:p>
    <w:p>
      <w:pPr>
        <w:ind w:left="1280" w:right="219" w:hanging="8"/>
        <w:spacing w:after="0" w:line="253" w:lineRule="auto"/>
        <w:tabs>
          <w:tab w:leader="none" w:pos="1637"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534-5849. Our website is </w:t>
      </w:r>
      <w:r>
        <w:rPr>
          <w:rFonts w:ascii="Times New Roman" w:cs="Times New Roman" w:eastAsia="Times New Roman" w:hAnsi="Times New Roman"/>
          <w:sz w:val="15"/>
          <w:szCs w:val="15"/>
          <w:i w:val="1"/>
          <w:iCs w:val="1"/>
          <w:color w:val="auto"/>
        </w:rPr>
        <w:t>https://www.bakkt.com</w:t>
      </w:r>
      <w:r>
        <w:rPr>
          <w:rFonts w:ascii="Times New Roman" w:cs="Times New Roman" w:eastAsia="Times New Roman" w:hAnsi="Times New Roman"/>
          <w:sz w:val="15"/>
          <w:szCs w:val="15"/>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The Securities That May Be Offered</w:t>
      </w:r>
    </w:p>
    <w:p>
      <w:pPr>
        <w:spacing w:after="0" w:line="95" w:lineRule="exact"/>
        <w:rPr>
          <w:sz w:val="20"/>
          <w:szCs w:val="20"/>
          <w:color w:val="auto"/>
        </w:rPr>
      </w:pPr>
    </w:p>
    <w:p>
      <w:pPr>
        <w:ind w:left="1280" w:right="199" w:firstLine="350"/>
        <w:spacing w:after="0" w:line="255" w:lineRule="auto"/>
        <w:rPr>
          <w:sz w:val="20"/>
          <w:szCs w:val="20"/>
          <w:color w:val="auto"/>
        </w:rPr>
      </w:pPr>
      <w:r>
        <w:rPr>
          <w:rFonts w:ascii="Times New Roman" w:cs="Times New Roman" w:eastAsia="Times New Roman" w:hAnsi="Times New Roman"/>
          <w:sz w:val="15"/>
          <w:szCs w:val="15"/>
          <w:color w:val="auto"/>
        </w:rPr>
        <w:t>We may offer or sell Class A Common Stock, preferred stock, debt securities, warrants and units in one or more offerings and in any combination. The aggregate offering price of the securities we sell pursuant to this prospectus will not exceed $1,000,000,000.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53" w:lineRule="exact"/>
        <w:rPr>
          <w:sz w:val="20"/>
          <w:szCs w:val="20"/>
          <w:color w:val="auto"/>
        </w:rPr>
      </w:pPr>
    </w:p>
    <w:p>
      <w:pPr>
        <w:ind w:left="1280" w:right="139" w:firstLine="350"/>
        <w:spacing w:after="0" w:line="255" w:lineRule="auto"/>
        <w:rPr>
          <w:sz w:val="20"/>
          <w:szCs w:val="20"/>
          <w:color w:val="auto"/>
        </w:rPr>
      </w:pPr>
      <w:r>
        <w:rPr>
          <w:rFonts w:ascii="Times New Roman" w:cs="Times New Roman" w:eastAsia="Times New Roman" w:hAnsi="Times New Roman"/>
          <w:sz w:val="15"/>
          <w:szCs w:val="15"/>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Class A Common Stock</w:t>
      </w:r>
    </w:p>
    <w:p>
      <w:pPr>
        <w:spacing w:after="0" w:line="97" w:lineRule="exact"/>
        <w:rPr>
          <w:sz w:val="20"/>
          <w:szCs w:val="20"/>
          <w:color w:val="auto"/>
        </w:rPr>
      </w:pPr>
    </w:p>
    <w:p>
      <w:pPr>
        <w:ind w:left="1280" w:right="419" w:firstLine="350"/>
        <w:spacing w:after="0" w:line="253" w:lineRule="auto"/>
        <w:rPr>
          <w:sz w:val="20"/>
          <w:szCs w:val="20"/>
          <w:color w:val="auto"/>
        </w:rPr>
      </w:pPr>
      <w:r>
        <w:rPr>
          <w:rFonts w:ascii="Times New Roman" w:cs="Times New Roman" w:eastAsia="Times New Roman" w:hAnsi="Times New Roman"/>
          <w:sz w:val="15"/>
          <w:szCs w:val="15"/>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w:t>
      </w:r>
    </w:p>
    <w:p>
      <w:pPr>
        <w:spacing w:after="0" w:line="97" w:lineRule="exact"/>
        <w:rPr>
          <w:sz w:val="20"/>
          <w:szCs w:val="20"/>
          <w:color w:val="auto"/>
        </w:rPr>
      </w:pPr>
    </w:p>
    <w:p>
      <w:pPr>
        <w:ind w:left="1280" w:right="299" w:firstLine="350"/>
        <w:spacing w:after="0" w:line="252" w:lineRule="auto"/>
        <w:rPr>
          <w:sz w:val="20"/>
          <w:szCs w:val="20"/>
          <w:color w:val="auto"/>
        </w:rPr>
      </w:pPr>
      <w:r>
        <w:rPr>
          <w:rFonts w:ascii="Times New Roman" w:cs="Times New Roman" w:eastAsia="Times New Roman" w:hAnsi="Times New Roman"/>
          <w:sz w:val="15"/>
          <w:szCs w:val="15"/>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59"/>
          </w:cols>
          <w:pgMar w:left="300" w:top="40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2503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5748020" cy="2503805"/>
                    </a:xfrm>
                    <a:prstGeom prst="rect">
                      <a:avLst/>
                    </a:prstGeom>
                    <a:noFill/>
                  </pic:spPr>
                </pic:pic>
              </a:graphicData>
            </a:graphic>
          </wp:anchor>
        </w:drawing>
      </w:r>
    </w:p>
    <w:p>
      <w:pPr>
        <w:spacing w:after="0" w:line="3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Debt Securities</w:t>
      </w:r>
    </w:p>
    <w:p>
      <w:pPr>
        <w:spacing w:after="0" w:line="97" w:lineRule="exact"/>
        <w:rPr>
          <w:sz w:val="20"/>
          <w:szCs w:val="20"/>
          <w:color w:val="auto"/>
        </w:rPr>
      </w:pPr>
    </w:p>
    <w:p>
      <w:pPr>
        <w:ind w:left="1280" w:right="339" w:firstLine="350"/>
        <w:spacing w:after="0" w:line="275" w:lineRule="auto"/>
        <w:rPr>
          <w:sz w:val="20"/>
          <w:szCs w:val="20"/>
          <w:color w:val="auto"/>
        </w:rPr>
      </w:pPr>
      <w:r>
        <w:rPr>
          <w:rFonts w:ascii="Times New Roman" w:cs="Times New Roman" w:eastAsia="Times New Roman" w:hAnsi="Times New Roman"/>
          <w:sz w:val="14"/>
          <w:szCs w:val="14"/>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42" w:lineRule="exact"/>
        <w:rPr>
          <w:sz w:val="20"/>
          <w:szCs w:val="20"/>
          <w:color w:val="auto"/>
        </w:rPr>
      </w:pPr>
    </w:p>
    <w:p>
      <w:pPr>
        <w:jc w:val="both"/>
        <w:ind w:left="1280" w:right="359" w:firstLine="350"/>
        <w:spacing w:after="0" w:line="287"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97" w:lineRule="exact"/>
        <w:rPr>
          <w:sz w:val="20"/>
          <w:szCs w:val="20"/>
          <w:color w:val="auto"/>
        </w:rPr>
      </w:pPr>
    </w:p>
    <w:p>
      <w:pPr>
        <w:ind w:left="1280" w:right="279" w:firstLine="350"/>
        <w:spacing w:after="0" w:line="273" w:lineRule="auto"/>
        <w:rPr>
          <w:sz w:val="20"/>
          <w:szCs w:val="20"/>
          <w:color w:val="auto"/>
        </w:rPr>
      </w:pPr>
      <w:r>
        <w:rPr>
          <w:rFonts w:ascii="Times New Roman" w:cs="Times New Roman" w:eastAsia="Times New Roman" w:hAnsi="Times New Roman"/>
          <w:sz w:val="15"/>
          <w:szCs w:val="15"/>
          <w:color w:val="auto"/>
        </w:rPr>
        <w:t>We may offer warrants for the purchase of Class A Common Stock, preferred stock or debt securities. We may offer warrants independently or together with other securities.</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Units</w:t>
      </w:r>
    </w:p>
    <w:p>
      <w:pPr>
        <w:spacing w:after="0" w:line="97" w:lineRule="exact"/>
        <w:rPr>
          <w:sz w:val="20"/>
          <w:szCs w:val="20"/>
          <w:color w:val="auto"/>
        </w:rPr>
      </w:pPr>
    </w:p>
    <w:p>
      <w:pPr>
        <w:ind w:left="1280" w:right="179" w:firstLine="350"/>
        <w:spacing w:after="0" w:line="273" w:lineRule="auto"/>
        <w:rPr>
          <w:sz w:val="20"/>
          <w:szCs w:val="20"/>
          <w:color w:val="auto"/>
        </w:rPr>
      </w:pPr>
      <w:r>
        <w:rPr>
          <w:rFonts w:ascii="Times New Roman" w:cs="Times New Roman" w:eastAsia="Times New Roman" w:hAnsi="Times New Roman"/>
          <w:sz w:val="15"/>
          <w:szCs w:val="15"/>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159"/>
          </w:cols>
          <w:pgMar w:left="300" w:top="40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84" w:lineRule="exact"/>
        <w:rPr>
          <w:sz w:val="20"/>
          <w:szCs w:val="20"/>
          <w:color w:val="auto"/>
        </w:rPr>
      </w:pPr>
    </w:p>
    <w:p>
      <w:pPr>
        <w:ind w:left="1120" w:firstLine="362"/>
        <w:spacing w:after="0" w:line="249" w:lineRule="auto"/>
        <w:rPr>
          <w:sz w:val="20"/>
          <w:szCs w:val="20"/>
          <w:color w:val="auto"/>
        </w:rPr>
      </w:pPr>
      <w:r>
        <w:rPr>
          <w:rFonts w:ascii="Times New Roman" w:cs="Times New Roman" w:eastAsia="Times New Roman" w:hAnsi="Times New Roman"/>
          <w:sz w:val="15"/>
          <w:szCs w:val="15"/>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w:t>
      </w:r>
    </w:p>
    <w:p>
      <w:pPr>
        <w:spacing w:after="0" w:line="1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160"/>
          </w:cols>
          <w:pgMar w:left="300" w:top="400" w:right="1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84" w:lineRule="exact"/>
        <w:rPr>
          <w:sz w:val="20"/>
          <w:szCs w:val="20"/>
          <w:color w:val="auto"/>
        </w:rPr>
      </w:pPr>
    </w:p>
    <w:p>
      <w:pPr>
        <w:ind w:left="1120" w:right="120" w:firstLine="362"/>
        <w:spacing w:after="0" w:line="249" w:lineRule="auto"/>
        <w:rPr>
          <w:sz w:val="20"/>
          <w:szCs w:val="20"/>
          <w:color w:val="auto"/>
        </w:rPr>
      </w:pPr>
      <w:r>
        <w:rPr>
          <w:rFonts w:ascii="Times New Roman" w:cs="Times New Roman" w:eastAsia="Times New Roman" w:hAnsi="Times New Roman"/>
          <w:sz w:val="15"/>
          <w:szCs w:val="15"/>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83" w:lineRule="exact"/>
        <w:rPr>
          <w:sz w:val="20"/>
          <w:szCs w:val="20"/>
          <w:color w:val="auto"/>
        </w:rPr>
      </w:pPr>
    </w:p>
    <w:p>
      <w:pPr>
        <w:ind w:left="1920" w:hanging="354"/>
        <w:spacing w:after="0"/>
        <w:tabs>
          <w:tab w:leader="none" w:pos="19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financial performance;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for our products and services;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impacts from the adoption of our updated Investment Policy.</w:t>
      </w:r>
    </w:p>
    <w:p>
      <w:pPr>
        <w:spacing w:after="0" w:line="182" w:lineRule="exact"/>
        <w:rPr>
          <w:sz w:val="20"/>
          <w:szCs w:val="20"/>
          <w:color w:val="auto"/>
        </w:rPr>
      </w:pPr>
    </w:p>
    <w:p>
      <w:pPr>
        <w:ind w:left="1120" w:right="180" w:firstLine="362"/>
        <w:spacing w:after="0" w:line="253" w:lineRule="auto"/>
        <w:rPr>
          <w:sz w:val="20"/>
          <w:szCs w:val="20"/>
          <w:color w:val="auto"/>
        </w:rPr>
      </w:pPr>
      <w:r>
        <w:rPr>
          <w:rFonts w:ascii="Times New Roman" w:cs="Times New Roman" w:eastAsia="Times New Roman" w:hAnsi="Times New Roman"/>
          <w:sz w:val="15"/>
          <w:szCs w:val="15"/>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55" w:lineRule="exact"/>
        <w:rPr>
          <w:sz w:val="20"/>
          <w:szCs w:val="20"/>
          <w:color w:val="auto"/>
        </w:rPr>
      </w:pPr>
    </w:p>
    <w:p>
      <w:pPr>
        <w:jc w:val="both"/>
        <w:ind w:left="1120" w:right="280" w:firstLine="362"/>
        <w:spacing w:after="0" w:line="287"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4" w:lineRule="exact"/>
        <w:rPr>
          <w:sz w:val="20"/>
          <w:szCs w:val="20"/>
          <w:color w:val="auto"/>
        </w:rPr>
      </w:pPr>
    </w:p>
    <w:p>
      <w:pPr>
        <w:ind w:left="1920" w:hanging="354"/>
        <w:spacing w:after="0"/>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as a going concern;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grow and manage growth profitably;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we may be unable to obtain the applicable regulatory approvals to execute on the cooperation agreement with DTR;</w:t>
      </w:r>
    </w:p>
    <w:p>
      <w:pPr>
        <w:spacing w:after="0" w:line="104" w:lineRule="exact"/>
        <w:rPr>
          <w:rFonts w:ascii="Times New Roman" w:cs="Times New Roman" w:eastAsia="Times New Roman" w:hAnsi="Times New Roman"/>
          <w:sz w:val="15"/>
          <w:szCs w:val="15"/>
          <w:color w:val="auto"/>
        </w:rPr>
      </w:pPr>
    </w:p>
    <w:p>
      <w:pPr>
        <w:ind w:left="1920" w:hanging="354"/>
        <w:spacing w:after="0" w:line="260" w:lineRule="auto"/>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regulatory environment for crypto currencies and digital stablecoin payments;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business strategy, including our adoption of the updated Investment Policy;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digital assets, including Bitcoin;</w:t>
      </w:r>
    </w:p>
    <w:p>
      <w:pPr>
        <w:spacing w:after="0" w:line="104" w:lineRule="exact"/>
        <w:rPr>
          <w:rFonts w:ascii="Times New Roman" w:cs="Times New Roman" w:eastAsia="Times New Roman" w:hAnsi="Times New Roman"/>
          <w:sz w:val="15"/>
          <w:szCs w:val="15"/>
          <w:color w:val="auto"/>
        </w:rPr>
      </w:pPr>
    </w:p>
    <w:p>
      <w:pPr>
        <w:ind w:left="1920" w:right="240" w:hanging="354"/>
        <w:spacing w:after="0" w:line="260" w:lineRule="auto"/>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fluctuation of our operating results, including because we may be required to account for our digital assets at fair value;</w:t>
      </w:r>
    </w:p>
    <w:p>
      <w:pPr>
        <w:spacing w:after="0" w:line="1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160"/>
          </w:cols>
          <w:pgMar w:left="300" w:top="400" w:right="1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time the price of our purchase of digital assets pursuant to our updated Investment Policy;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market value of digital assets on our ability to satisfy our financial obligations, including any debt financings;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unrealized fair value gains on our digital asset holdings subjecting us to the corporate alternative minimum tax;</w:t>
      </w:r>
    </w:p>
    <w:p>
      <w:pPr>
        <w:spacing w:after="0" w:line="104" w:lineRule="exact"/>
        <w:rPr>
          <w:rFonts w:ascii="Times New Roman" w:cs="Times New Roman" w:eastAsia="Times New Roman" w:hAnsi="Times New Roman"/>
          <w:sz w:val="15"/>
          <w:szCs w:val="15"/>
          <w:color w:val="auto"/>
        </w:rPr>
      </w:pPr>
    </w:p>
    <w:p>
      <w:pPr>
        <w:ind w:left="1920" w:right="79" w:hanging="354"/>
        <w:spacing w:after="0" w:line="287" w:lineRule="auto"/>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54"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by other Bitcoin treasury companies and the availability of spot-traded products for Bitcoin;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enhanced regulatory oversight as a result of our updated Investment Policy;</w:t>
      </w:r>
    </w:p>
    <w:p>
      <w:pPr>
        <w:spacing w:after="0" w:line="104" w:lineRule="exact"/>
        <w:rPr>
          <w:rFonts w:ascii="Times New Roman" w:cs="Times New Roman" w:eastAsia="Times New Roman" w:hAnsi="Times New Roman"/>
          <w:sz w:val="15"/>
          <w:szCs w:val="15"/>
          <w:color w:val="auto"/>
        </w:rPr>
      </w:pPr>
    </w:p>
    <w:p>
      <w:pPr>
        <w:ind w:left="1920" w:right="139" w:hanging="354"/>
        <w:spacing w:after="0" w:line="260"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concentration of our expected digital asset holdings relative to non-digital assets;</w:t>
      </w:r>
    </w:p>
    <w:p>
      <w:pPr>
        <w:spacing w:after="0" w:line="104" w:lineRule="exact"/>
        <w:rPr>
          <w:rFonts w:ascii="Times New Roman" w:cs="Times New Roman" w:eastAsia="Times New Roman" w:hAnsi="Times New Roman"/>
          <w:sz w:val="15"/>
          <w:szCs w:val="15"/>
          <w:color w:val="auto"/>
        </w:rPr>
      </w:pPr>
    </w:p>
    <w:p>
      <w:pPr>
        <w:ind w:left="1920" w:right="159"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1" w:lineRule="exact"/>
        <w:rPr>
          <w:rFonts w:ascii="Times New Roman" w:cs="Times New Roman" w:eastAsia="Times New Roman" w:hAnsi="Times New Roman"/>
          <w:sz w:val="15"/>
          <w:szCs w:val="15"/>
          <w:color w:val="auto"/>
        </w:rPr>
      </w:pPr>
    </w:p>
    <w:p>
      <w:pPr>
        <w:ind w:left="1920" w:right="399"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or a third-party service provider experiencing a security breach or cyber-attack where unauthorized parties obtain access to digital assets;</w:t>
      </w:r>
    </w:p>
    <w:p>
      <w:pPr>
        <w:spacing w:after="0" w:line="61" w:lineRule="exact"/>
        <w:rPr>
          <w:rFonts w:ascii="Times New Roman" w:cs="Times New Roman" w:eastAsia="Times New Roman" w:hAnsi="Times New Roman"/>
          <w:sz w:val="15"/>
          <w:szCs w:val="15"/>
          <w:color w:val="auto"/>
        </w:rPr>
      </w:pPr>
    </w:p>
    <w:p>
      <w:pPr>
        <w:ind w:left="1920" w:right="319"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access to or theft or data loss of our digital assets, which could be unrecoverable due to the immutable nature of blockchain transactions;</w:t>
      </w:r>
    </w:p>
    <w:p>
      <w:pPr>
        <w:spacing w:after="0" w:line="61" w:lineRule="exact"/>
        <w:rPr>
          <w:rFonts w:ascii="Times New Roman" w:cs="Times New Roman" w:eastAsia="Times New Roman" w:hAnsi="Times New Roman"/>
          <w:sz w:val="15"/>
          <w:szCs w:val="15"/>
          <w:color w:val="auto"/>
        </w:rPr>
      </w:pPr>
    </w:p>
    <w:p>
      <w:pPr>
        <w:ind w:left="1920" w:right="39" w:hanging="354"/>
        <w:spacing w:after="0" w:line="255"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75" w:lineRule="exact"/>
        <w:rPr>
          <w:rFonts w:ascii="Times New Roman" w:cs="Times New Roman" w:eastAsia="Times New Roman" w:hAnsi="Times New Roman"/>
          <w:sz w:val="15"/>
          <w:szCs w:val="15"/>
          <w:color w:val="auto"/>
        </w:rPr>
      </w:pPr>
    </w:p>
    <w:p>
      <w:pPr>
        <w:ind w:left="1920" w:right="79"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not being subject to the legal and regulatory protections applicable to investment companies such as mutual funds and exchange-traded funds, or to obligations applicable to investment advisers;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non-performance, breach of contract or other violations by counterparties assisting us in effecting our updated Investment Policy;</w:t>
      </w:r>
    </w:p>
    <w:p>
      <w:pPr>
        <w:spacing w:after="0" w:line="104" w:lineRule="exact"/>
        <w:rPr>
          <w:rFonts w:ascii="Times New Roman" w:cs="Times New Roman" w:eastAsia="Times New Roman" w:hAnsi="Times New Roman"/>
          <w:sz w:val="15"/>
          <w:szCs w:val="15"/>
          <w:color w:val="auto"/>
        </w:rPr>
      </w:pPr>
    </w:p>
    <w:p>
      <w:pPr>
        <w:ind w:left="1920" w:right="59"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capital requirements and sources and uses of cash, including funds to satisfy our liquidity needs and continued access to the line of credit provided by Intercontinental Exchange Holdings, Inc.;</w:t>
      </w:r>
    </w:p>
    <w:p>
      <w:pPr>
        <w:spacing w:after="0" w:line="61" w:lineRule="exact"/>
        <w:rPr>
          <w:rFonts w:ascii="Times New Roman" w:cs="Times New Roman" w:eastAsia="Times New Roman" w:hAnsi="Times New Roman"/>
          <w:sz w:val="15"/>
          <w:szCs w:val="15"/>
          <w:color w:val="auto"/>
        </w:rPr>
      </w:pPr>
    </w:p>
    <w:p>
      <w:pPr>
        <w:ind w:left="1920" w:right="379" w:hanging="354"/>
        <w:spacing w:after="0" w:line="27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in which we compete, including with respect to our competitive landscape, technology evolution or changes in applicable laws or regulations;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markets that we target;</w:t>
      </w:r>
    </w:p>
    <w:p>
      <w:pPr>
        <w:spacing w:after="0" w:line="104" w:lineRule="exact"/>
        <w:rPr>
          <w:rFonts w:ascii="Times New Roman" w:cs="Times New Roman" w:eastAsia="Times New Roman" w:hAnsi="Times New Roman"/>
          <w:sz w:val="15"/>
          <w:szCs w:val="15"/>
          <w:color w:val="auto"/>
        </w:rPr>
      </w:pPr>
    </w:p>
    <w:p>
      <w:pPr>
        <w:ind w:left="1920" w:right="199" w:hanging="354"/>
        <w:spacing w:after="0" w:line="310" w:lineRule="auto"/>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38"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we may be adversely affected by other macroeconomic, geopolitical, business, and/or competitive factors;</w:t>
      </w:r>
    </w:p>
    <w:p>
      <w:pPr>
        <w:spacing w:after="0" w:line="1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159"/>
          </w:cols>
          <w:pgMar w:left="300" w:top="40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hanging="354"/>
        <w:spacing w:after="0" w:line="273"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launch new services and products, including with our expected commercial partners, or to profitably expand into new markets and services;</w:t>
      </w:r>
    </w:p>
    <w:p>
      <w:pPr>
        <w:spacing w:after="0" w:line="61" w:lineRule="exact"/>
        <w:rPr>
          <w:rFonts w:ascii="Times New Roman" w:cs="Times New Roman" w:eastAsia="Times New Roman" w:hAnsi="Times New Roman"/>
          <w:sz w:val="15"/>
          <w:szCs w:val="15"/>
          <w:color w:val="auto"/>
        </w:rPr>
      </w:pPr>
    </w:p>
    <w:p>
      <w:pPr>
        <w:ind w:left="1920" w:right="20" w:hanging="354"/>
        <w:spacing w:after="0" w:line="273"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execute our growth strategies, including identifying and executing acquisitions and divestitures and our initiatives to add new clients;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reach definitive agreements with our expected commercial counterparties;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complete a strategic transaction of the Loyalty business;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with extensive government regulations, oversight, licensure and appraisals;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uncertain and evolving regulatory regime governing blockchain technologies, stablecoins, digital payments and crypto;</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effective internal controls and procedures;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exposure to any liability, protracted and costly litigation or reputational damage relating to our data security;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any goodwill or other intangible assets impairments on our operating results;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the listing of our securities on the New York Stock Exchange; and</w:t>
      </w:r>
    </w:p>
    <w:p>
      <w:pPr>
        <w:spacing w:after="0" w:line="102" w:lineRule="exact"/>
        <w:rPr>
          <w:rFonts w:ascii="Times New Roman" w:cs="Times New Roman" w:eastAsia="Times New Roman" w:hAnsi="Times New Roman"/>
          <w:sz w:val="15"/>
          <w:szCs w:val="15"/>
          <w:color w:val="auto"/>
        </w:rPr>
      </w:pPr>
    </w:p>
    <w:p>
      <w:pPr>
        <w:ind w:left="1920" w:right="180" w:hanging="354"/>
        <w:spacing w:after="0" w:line="276"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indicated in this prospectus, including those set forth under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and any risk factors described in any amendments or supplements to this prospectus and in the documents incorporated by reference herein.</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160"/>
          </w:cols>
          <w:pgMar w:left="300" w:top="400" w:right="1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84" w:lineRule="exact"/>
        <w:rPr>
          <w:sz w:val="20"/>
          <w:szCs w:val="20"/>
          <w:color w:val="auto"/>
        </w:rPr>
      </w:pPr>
    </w:p>
    <w:p>
      <w:pPr>
        <w:ind w:left="1120" w:right="59" w:firstLine="362"/>
        <w:spacing w:after="0" w:line="260" w:lineRule="auto"/>
        <w:rPr>
          <w:sz w:val="20"/>
          <w:szCs w:val="20"/>
          <w:color w:val="auto"/>
        </w:rPr>
      </w:pPr>
      <w:r>
        <w:rPr>
          <w:rFonts w:ascii="Times New Roman" w:cs="Times New Roman" w:eastAsia="Times New Roman" w:hAnsi="Times New Roman"/>
          <w:sz w:val="15"/>
          <w:szCs w:val="15"/>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w:t>
      </w: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84" w:lineRule="exact"/>
        <w:rPr>
          <w:sz w:val="20"/>
          <w:szCs w:val="20"/>
          <w:color w:val="auto"/>
        </w:rPr>
      </w:pPr>
    </w:p>
    <w:p>
      <w:pPr>
        <w:ind w:left="1120" w:right="399" w:firstLine="362"/>
        <w:spacing w:after="0" w:line="273" w:lineRule="auto"/>
        <w:rPr>
          <w:sz w:val="20"/>
          <w:szCs w:val="20"/>
          <w:color w:val="auto"/>
        </w:rPr>
      </w:pPr>
      <w:r>
        <w:rPr>
          <w:rFonts w:ascii="Times New Roman" w:cs="Times New Roman" w:eastAsia="Times New Roman" w:hAnsi="Times New Roman"/>
          <w:sz w:val="15"/>
          <w:szCs w:val="15"/>
          <w:color w:val="auto"/>
        </w:rPr>
        <w:t>The description of our capital stock is incorporated by reference to Exhibit 4.9 to our Annual Report on Form 10-K for the fiscal year ended December 31, 2024, filed with the SEC on March 20, 2025.</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159"/>
          </w:cols>
          <w:pgMar w:left="300" w:top="40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84" w:lineRule="exact"/>
        <w:rPr>
          <w:sz w:val="20"/>
          <w:szCs w:val="20"/>
          <w:color w:val="auto"/>
        </w:rPr>
      </w:pPr>
    </w:p>
    <w:p>
      <w:pPr>
        <w:ind w:left="1120" w:right="180" w:firstLine="362"/>
        <w:spacing w:after="0" w:line="255"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53" w:lineRule="exact"/>
        <w:rPr>
          <w:sz w:val="20"/>
          <w:szCs w:val="20"/>
          <w:color w:val="auto"/>
        </w:rPr>
      </w:pPr>
    </w:p>
    <w:p>
      <w:pPr>
        <w:jc w:val="both"/>
        <w:ind w:left="1120" w:firstLine="362"/>
        <w:spacing w:after="0" w:line="260" w:lineRule="auto"/>
        <w:rPr>
          <w:sz w:val="20"/>
          <w:szCs w:val="20"/>
          <w:color w:val="auto"/>
        </w:rPr>
      </w:pPr>
      <w:r>
        <w:rPr>
          <w:rFonts w:ascii="Times New Roman" w:cs="Times New Roman" w:eastAsia="Times New Roman" w:hAnsi="Times New Roman"/>
          <w:sz w:val="15"/>
          <w:szCs w:val="15"/>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9" w:lineRule="exact"/>
        <w:rPr>
          <w:sz w:val="20"/>
          <w:szCs w:val="20"/>
          <w:color w:val="auto"/>
        </w:rPr>
      </w:pPr>
    </w:p>
    <w:p>
      <w:pPr>
        <w:ind w:left="1120" w:right="200" w:firstLine="362"/>
        <w:spacing w:after="0" w:line="253" w:lineRule="auto"/>
        <w:rPr>
          <w:sz w:val="20"/>
          <w:szCs w:val="20"/>
          <w:color w:val="auto"/>
        </w:rPr>
      </w:pPr>
      <w:r>
        <w:rPr>
          <w:rFonts w:ascii="Times New Roman" w:cs="Times New Roman" w:eastAsia="Times New Roman" w:hAnsi="Times New Roman"/>
          <w:sz w:val="15"/>
          <w:szCs w:val="15"/>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left="1120" w:right="120" w:firstLine="362"/>
        <w:spacing w:after="0" w:line="260" w:lineRule="auto"/>
        <w:rPr>
          <w:sz w:val="20"/>
          <w:szCs w:val="20"/>
          <w:color w:val="auto"/>
        </w:rPr>
      </w:pPr>
      <w:r>
        <w:rPr>
          <w:rFonts w:ascii="Times New Roman" w:cs="Times New Roman" w:eastAsia="Times New Roman" w:hAnsi="Times New Roman"/>
          <w:sz w:val="15"/>
          <w:szCs w:val="15"/>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ranking of the debt securities (including the terms of any subordination provisions);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(expressed as a percentage of the principal amount) at which we will sell the debt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of the debt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principal of the securities of the series is payable;</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55"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5"/>
          <w:szCs w:val="15"/>
          <w:color w:val="auto"/>
        </w:rPr>
      </w:pPr>
    </w:p>
    <w:p>
      <w:pPr>
        <w:jc w:val="both"/>
        <w:ind w:left="1920" w:right="60" w:hanging="354"/>
        <w:spacing w:after="0" w:line="260"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5"/>
          <w:szCs w:val="15"/>
          <w:color w:val="auto"/>
        </w:rPr>
      </w:pPr>
    </w:p>
    <w:p>
      <w:pPr>
        <w:ind w:left="1920" w:right="580" w:hanging="354"/>
        <w:spacing w:after="0" w:line="273"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period or periods within which, the price or prices at which and the terms and conditions upon which we may redeem the debt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160"/>
          </w:cols>
          <w:pgMar w:left="300" w:top="400" w:right="1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right="39" w:hanging="354"/>
        <w:spacing w:after="0" w:line="260"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5"/>
          <w:szCs w:val="15"/>
          <w:color w:val="auto"/>
        </w:rPr>
      </w:pPr>
    </w:p>
    <w:p>
      <w:pPr>
        <w:ind w:left="1920" w:right="279" w:hanging="354"/>
        <w:spacing w:after="0" w:line="273"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and the price or prices at which we will repurchase debt securities at the option of the holders of debt securities and other detailed terms and provisions of these repurchase obligations;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the debt securities will be issued, if other than denominations of $1,000 and any integral multiple thereof;</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will be issued in the form of certificated debt securities or global debt securities;</w:t>
      </w:r>
    </w:p>
    <w:p>
      <w:pPr>
        <w:spacing w:after="0" w:line="104" w:lineRule="exact"/>
        <w:rPr>
          <w:rFonts w:ascii="Times New Roman" w:cs="Times New Roman" w:eastAsia="Times New Roman" w:hAnsi="Times New Roman"/>
          <w:sz w:val="15"/>
          <w:szCs w:val="15"/>
          <w:color w:val="auto"/>
        </w:rPr>
      </w:pPr>
    </w:p>
    <w:p>
      <w:pPr>
        <w:ind w:left="1920" w:right="479" w:hanging="354"/>
        <w:spacing w:after="0" w:line="273"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principal amount of the debt securities payable upon declaration of acceleration of the maturity date, if other than the principal amount;</w:t>
      </w:r>
    </w:p>
    <w:p>
      <w:pPr>
        <w:spacing w:after="0" w:line="61" w:lineRule="exact"/>
        <w:rPr>
          <w:rFonts w:ascii="Times New Roman" w:cs="Times New Roman" w:eastAsia="Times New Roman" w:hAnsi="Times New Roman"/>
          <w:sz w:val="15"/>
          <w:szCs w:val="15"/>
          <w:color w:val="auto"/>
        </w:rPr>
      </w:pPr>
    </w:p>
    <w:p>
      <w:pPr>
        <w:ind w:left="1920" w:right="219" w:hanging="354"/>
        <w:spacing w:after="0" w:line="273"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1" w:lineRule="exact"/>
        <w:rPr>
          <w:rFonts w:ascii="Times New Roman" w:cs="Times New Roman" w:eastAsia="Times New Roman" w:hAnsi="Times New Roman"/>
          <w:sz w:val="15"/>
          <w:szCs w:val="15"/>
          <w:color w:val="auto"/>
        </w:rPr>
      </w:pPr>
    </w:p>
    <w:p>
      <w:pPr>
        <w:ind w:left="1920" w:right="99" w:hanging="354"/>
        <w:spacing w:after="0" w:line="273"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the currency, currencies or currency units in which payment of principal of, premium and interest on the debt securities will be made;</w:t>
      </w:r>
    </w:p>
    <w:p>
      <w:pPr>
        <w:spacing w:after="0" w:line="61" w:lineRule="exact"/>
        <w:rPr>
          <w:rFonts w:ascii="Times New Roman" w:cs="Times New Roman" w:eastAsia="Times New Roman" w:hAnsi="Times New Roman"/>
          <w:sz w:val="15"/>
          <w:szCs w:val="15"/>
          <w:color w:val="auto"/>
        </w:rPr>
      </w:pPr>
    </w:p>
    <w:p>
      <w:pPr>
        <w:ind w:left="1920" w:right="119" w:hanging="354"/>
        <w:spacing w:after="0" w:line="260"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71" w:lineRule="exact"/>
        <w:rPr>
          <w:rFonts w:ascii="Times New Roman" w:cs="Times New Roman" w:eastAsia="Times New Roman" w:hAnsi="Times New Roman"/>
          <w:sz w:val="15"/>
          <w:szCs w:val="15"/>
          <w:color w:val="auto"/>
        </w:rPr>
      </w:pPr>
    </w:p>
    <w:p>
      <w:pPr>
        <w:jc w:val="both"/>
        <w:ind w:left="1920" w:right="59" w:hanging="354"/>
        <w:spacing w:after="0" w:line="260"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relating to any security provided for the debt securities;</w:t>
      </w:r>
    </w:p>
    <w:p>
      <w:pPr>
        <w:spacing w:after="0" w:line="104" w:lineRule="exact"/>
        <w:rPr>
          <w:rFonts w:ascii="Times New Roman" w:cs="Times New Roman" w:eastAsia="Times New Roman" w:hAnsi="Times New Roman"/>
          <w:sz w:val="15"/>
          <w:szCs w:val="15"/>
          <w:color w:val="auto"/>
        </w:rPr>
      </w:pPr>
    </w:p>
    <w:p>
      <w:pPr>
        <w:ind w:left="1920" w:right="99" w:hanging="354"/>
        <w:spacing w:after="0" w:line="310" w:lineRule="auto"/>
        <w:tabs>
          <w:tab w:leader="none" w:pos="19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38"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deletion of or change in the covenants described in this prospectus or in the indenture with respect to the debt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depositaries, interest rate calculation agents, exchange rate calculation agents or other agents with respect to the debt securities;</w:t>
      </w:r>
    </w:p>
    <w:p>
      <w:pPr>
        <w:spacing w:after="0" w:line="104" w:lineRule="exact"/>
        <w:rPr>
          <w:rFonts w:ascii="Times New Roman" w:cs="Times New Roman" w:eastAsia="Times New Roman" w:hAnsi="Times New Roman"/>
          <w:sz w:val="15"/>
          <w:szCs w:val="15"/>
          <w:color w:val="auto"/>
        </w:rPr>
      </w:pPr>
    </w:p>
    <w:p>
      <w:pPr>
        <w:ind w:left="1920" w:right="199" w:hanging="354"/>
        <w:spacing w:after="0" w:line="260"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71" w:lineRule="exact"/>
        <w:rPr>
          <w:rFonts w:ascii="Times New Roman" w:cs="Times New Roman" w:eastAsia="Times New Roman" w:hAnsi="Times New Roman"/>
          <w:sz w:val="15"/>
          <w:szCs w:val="15"/>
          <w:color w:val="auto"/>
        </w:rPr>
      </w:pPr>
    </w:p>
    <w:p>
      <w:pPr>
        <w:ind w:left="1920" w:right="199" w:hanging="354"/>
        <w:spacing w:after="0" w:line="273"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any of our direct or indirect subsidiaries will guarantee the debt securities of that series, including the terms of subordination, if any, of such guarantees.</w:t>
      </w:r>
    </w:p>
    <w:p>
      <w:pPr>
        <w:spacing w:after="0" w:line="140" w:lineRule="exact"/>
        <w:rPr>
          <w:sz w:val="20"/>
          <w:szCs w:val="20"/>
          <w:color w:val="auto"/>
        </w:rPr>
      </w:pPr>
    </w:p>
    <w:p>
      <w:pPr>
        <w:ind w:left="1120" w:right="79" w:firstLine="362"/>
        <w:spacing w:after="0" w:line="260" w:lineRule="auto"/>
        <w:rPr>
          <w:sz w:val="20"/>
          <w:szCs w:val="20"/>
          <w:color w:val="auto"/>
        </w:rPr>
      </w:pPr>
      <w:r>
        <w:rPr>
          <w:rFonts w:ascii="Times New Roman" w:cs="Times New Roman" w:eastAsia="Times New Roman" w:hAnsi="Times New Roman"/>
          <w:sz w:val="15"/>
          <w:szCs w:val="15"/>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49" w:lineRule="exact"/>
        <w:rPr>
          <w:sz w:val="20"/>
          <w:szCs w:val="20"/>
          <w:color w:val="auto"/>
        </w:rPr>
      </w:pPr>
    </w:p>
    <w:p>
      <w:pPr>
        <w:ind w:left="1120" w:right="219" w:firstLine="362"/>
        <w:spacing w:after="0" w:line="273" w:lineRule="auto"/>
        <w:rPr>
          <w:sz w:val="20"/>
          <w:szCs w:val="20"/>
          <w:color w:val="auto"/>
        </w:rPr>
      </w:pPr>
      <w:r>
        <w:rPr>
          <w:rFonts w:ascii="Times New Roman" w:cs="Times New Roman" w:eastAsia="Times New Roman" w:hAnsi="Times New Roman"/>
          <w:sz w:val="15"/>
          <w:szCs w:val="15"/>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159"/>
          </w:cols>
          <w:pgMar w:left="300" w:top="40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200"/>
        <w:spacing w:after="0" w:line="260" w:lineRule="auto"/>
        <w:rPr>
          <w:sz w:val="20"/>
          <w:szCs w:val="20"/>
          <w:color w:val="auto"/>
        </w:rPr>
      </w:pPr>
      <w:r>
        <w:rPr>
          <w:rFonts w:ascii="Times New Roman" w:cs="Times New Roman" w:eastAsia="Times New Roman" w:hAnsi="Times New Roman"/>
          <w:sz w:val="15"/>
          <w:szCs w:val="15"/>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Transfer and Exchange</w:t>
      </w:r>
    </w:p>
    <w:p>
      <w:pPr>
        <w:spacing w:after="0" w:line="95" w:lineRule="exact"/>
        <w:rPr>
          <w:sz w:val="20"/>
          <w:szCs w:val="20"/>
          <w:color w:val="auto"/>
        </w:rPr>
      </w:pPr>
    </w:p>
    <w:p>
      <w:pPr>
        <w:ind w:left="1120" w:firstLine="362"/>
        <w:spacing w:after="0" w:line="275"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a clearing agency registered under the Securities Exchange Act of 1934, as amended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4"/>
          <w:szCs w:val="14"/>
          <w:i w:val="1"/>
          <w:iCs w:val="1"/>
          <w:color w:val="auto"/>
        </w:rPr>
        <w:t>Global Debt Securities and Book-Entry System</w:t>
      </w:r>
      <w:r>
        <w:rPr>
          <w:rFonts w:ascii="Times New Roman" w:cs="Times New Roman" w:eastAsia="Times New Roman" w:hAnsi="Times New Roman"/>
          <w:sz w:val="14"/>
          <w:szCs w:val="14"/>
          <w:color w:val="auto"/>
        </w:rPr>
        <w:t>” below, book-entry debt securities will not be issuable in certificated form.</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Certificated Debt Securities</w:t>
      </w:r>
    </w:p>
    <w:p>
      <w:pPr>
        <w:spacing w:after="0" w:line="97" w:lineRule="exact"/>
        <w:rPr>
          <w:sz w:val="20"/>
          <w:szCs w:val="20"/>
          <w:color w:val="auto"/>
        </w:rPr>
      </w:pPr>
    </w:p>
    <w:p>
      <w:pPr>
        <w:jc w:val="both"/>
        <w:ind w:left="1120" w:right="60" w:firstLine="362"/>
        <w:spacing w:after="0" w:line="260" w:lineRule="auto"/>
        <w:rPr>
          <w:sz w:val="20"/>
          <w:szCs w:val="20"/>
          <w:color w:val="auto"/>
        </w:rPr>
      </w:pPr>
      <w:r>
        <w:rPr>
          <w:rFonts w:ascii="Times New Roman" w:cs="Times New Roman" w:eastAsia="Times New Roman" w:hAnsi="Times New Roman"/>
          <w:sz w:val="15"/>
          <w:szCs w:val="15"/>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49" w:lineRule="exact"/>
        <w:rPr>
          <w:sz w:val="20"/>
          <w:szCs w:val="20"/>
          <w:color w:val="auto"/>
        </w:rPr>
      </w:pPr>
    </w:p>
    <w:p>
      <w:pPr>
        <w:ind w:left="1120" w:right="80" w:firstLine="362"/>
        <w:spacing w:after="0" w:line="260" w:lineRule="auto"/>
        <w:rPr>
          <w:sz w:val="20"/>
          <w:szCs w:val="20"/>
          <w:color w:val="auto"/>
        </w:rPr>
      </w:pPr>
      <w:r>
        <w:rPr>
          <w:rFonts w:ascii="Times New Roman" w:cs="Times New Roman" w:eastAsia="Times New Roman" w:hAnsi="Times New Roman"/>
          <w:sz w:val="15"/>
          <w:szCs w:val="15"/>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Global Debt Securities and Book-Entry System</w:t>
      </w:r>
    </w:p>
    <w:p>
      <w:pPr>
        <w:spacing w:after="0" w:line="97" w:lineRule="exact"/>
        <w:rPr>
          <w:sz w:val="20"/>
          <w:szCs w:val="20"/>
          <w:color w:val="auto"/>
        </w:rPr>
      </w:pPr>
    </w:p>
    <w:p>
      <w:pPr>
        <w:ind w:left="1120" w:right="20" w:firstLine="362"/>
        <w:spacing w:after="0" w:line="273" w:lineRule="auto"/>
        <w:rPr>
          <w:sz w:val="20"/>
          <w:szCs w:val="20"/>
          <w:color w:val="auto"/>
        </w:rPr>
      </w:pPr>
      <w:r>
        <w:rPr>
          <w:rFonts w:ascii="Times New Roman" w:cs="Times New Roman" w:eastAsia="Times New Roman" w:hAnsi="Times New Roman"/>
          <w:sz w:val="15"/>
          <w:szCs w:val="15"/>
          <w:color w:val="auto"/>
        </w:rPr>
        <w:t>Each global debt security representing book-entry debt securities will be deposited with, or on behalf of, the depositary, and registered in the name of the depositary or a nominee of the depositary.</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will set forth in the applicable prospectus supplement any restrictive covenants applicable to any issue of debt securities.</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No Protection in the Event of a Change of Control</w:t>
      </w:r>
    </w:p>
    <w:p>
      <w:pPr>
        <w:spacing w:after="0" w:line="95" w:lineRule="exact"/>
        <w:rPr>
          <w:sz w:val="20"/>
          <w:szCs w:val="20"/>
          <w:color w:val="auto"/>
        </w:rPr>
      </w:pPr>
    </w:p>
    <w:p>
      <w:pPr>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Consolidation, Merger and Sale of Assets</w:t>
      </w:r>
    </w:p>
    <w:p>
      <w:pPr>
        <w:spacing w:after="0" w:line="95" w:lineRule="exact"/>
        <w:rPr>
          <w:sz w:val="20"/>
          <w:szCs w:val="20"/>
          <w:color w:val="auto"/>
        </w:rPr>
      </w:pPr>
    </w:p>
    <w:p>
      <w:pPr>
        <w:ind w:left="1120" w:right="160" w:firstLine="362"/>
        <w:spacing w:after="0" w:line="273" w:lineRule="auto"/>
        <w:rPr>
          <w:sz w:val="20"/>
          <w:szCs w:val="20"/>
          <w:color w:val="auto"/>
        </w:rPr>
      </w:pPr>
      <w:r>
        <w:rPr>
          <w:rFonts w:ascii="Times New Roman" w:cs="Times New Roman" w:eastAsia="Times New Roman" w:hAnsi="Times New Roman"/>
          <w:sz w:val="15"/>
          <w:szCs w:val="15"/>
          <w:color w:val="auto"/>
        </w:rPr>
        <w:t>We may not consolidate with or merge with or into, or convey, transfer or lease all or substantially all of our properties and assets to any person, which we refer to as a successor person, unless:</w:t>
      </w:r>
    </w:p>
    <w:p>
      <w:pPr>
        <w:spacing w:after="0" w:line="62" w:lineRule="exact"/>
        <w:rPr>
          <w:sz w:val="20"/>
          <w:szCs w:val="20"/>
          <w:color w:val="auto"/>
        </w:rPr>
      </w:pPr>
    </w:p>
    <w:p>
      <w:pPr>
        <w:ind w:left="1920" w:right="60" w:hanging="354"/>
        <w:spacing w:after="0" w:line="273"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160"/>
          </w:cols>
          <w:pgMar w:left="300" w:top="400" w:right="1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jc w:val="both"/>
        <w:ind w:left="1480" w:right="1080" w:firstLine="86"/>
        <w:spacing w:after="0" w:line="574" w:lineRule="auto"/>
        <w:tabs>
          <w:tab w:leader="none" w:pos="19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“Event of Default” means with respect to any series of debt securities, any of the following:</w:t>
      </w:r>
    </w:p>
    <w:p>
      <w:pPr>
        <w:spacing w:after="0" w:line="105" w:lineRule="exact"/>
        <w:rPr>
          <w:sz w:val="20"/>
          <w:szCs w:val="20"/>
          <w:color w:val="auto"/>
        </w:rPr>
      </w:pPr>
    </w:p>
    <w:p>
      <w:pPr>
        <w:ind w:left="1920" w:right="140" w:hanging="354"/>
        <w:spacing w:after="0" w:line="260" w:lineRule="auto"/>
        <w:tabs>
          <w:tab w:leader="none" w:pos="19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principal of any security of that series at its maturity;</w:t>
      </w:r>
    </w:p>
    <w:p>
      <w:pPr>
        <w:spacing w:after="0" w:line="104" w:lineRule="exact"/>
        <w:rPr>
          <w:rFonts w:ascii="Times New Roman" w:cs="Times New Roman" w:eastAsia="Times New Roman" w:hAnsi="Times New Roman"/>
          <w:sz w:val="15"/>
          <w:szCs w:val="15"/>
          <w:color w:val="auto"/>
        </w:rPr>
      </w:pPr>
    </w:p>
    <w:p>
      <w:pPr>
        <w:ind w:left="1920" w:right="80" w:hanging="354"/>
        <w:spacing w:after="0" w:line="255" w:lineRule="auto"/>
        <w:tabs>
          <w:tab w:leader="none" w:pos="19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75"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voluntary or involuntary events of bankruptcy, insolvency or reorganization of us;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w:t>
      </w:r>
    </w:p>
    <w:p>
      <w:pPr>
        <w:spacing w:after="0" w:line="194" w:lineRule="exact"/>
        <w:rPr>
          <w:sz w:val="20"/>
          <w:szCs w:val="20"/>
          <w:color w:val="auto"/>
        </w:rPr>
      </w:pPr>
    </w:p>
    <w:p>
      <w:pPr>
        <w:ind w:left="1120" w:right="60" w:firstLine="362"/>
        <w:spacing w:after="0" w:line="287"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32" w:lineRule="exact"/>
        <w:rPr>
          <w:sz w:val="20"/>
          <w:szCs w:val="20"/>
          <w:color w:val="auto"/>
        </w:rPr>
      </w:pPr>
    </w:p>
    <w:p>
      <w:pPr>
        <w:ind w:left="1120" w:right="80" w:firstLine="362"/>
        <w:spacing w:after="0" w:line="260" w:lineRule="auto"/>
        <w:rPr>
          <w:sz w:val="20"/>
          <w:szCs w:val="20"/>
          <w:color w:val="auto"/>
        </w:rPr>
      </w:pPr>
      <w:r>
        <w:rPr>
          <w:rFonts w:ascii="Times New Roman" w:cs="Times New Roman" w:eastAsia="Times New Roman" w:hAnsi="Times New Roman"/>
          <w:sz w:val="15"/>
          <w:szCs w:val="15"/>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49" w:lineRule="exact"/>
        <w:rPr>
          <w:sz w:val="20"/>
          <w:szCs w:val="20"/>
          <w:color w:val="auto"/>
        </w:rPr>
      </w:pPr>
    </w:p>
    <w:p>
      <w:pPr>
        <w:ind w:left="1120" w:firstLine="362"/>
        <w:spacing w:after="0" w:line="268"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160"/>
          </w:cols>
          <w:pgMar w:left="300" w:top="400" w:right="1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119" w:firstLine="362"/>
        <w:spacing w:after="0" w:line="253" w:lineRule="auto"/>
        <w:rPr>
          <w:sz w:val="20"/>
          <w:szCs w:val="20"/>
          <w:color w:val="auto"/>
        </w:rPr>
      </w:pPr>
      <w:r>
        <w:rPr>
          <w:rFonts w:ascii="Times New Roman" w:cs="Times New Roman" w:eastAsia="Times New Roman" w:hAnsi="Times New Roman"/>
          <w:sz w:val="15"/>
          <w:szCs w:val="15"/>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55" w:lineRule="exact"/>
        <w:rPr>
          <w:sz w:val="20"/>
          <w:szCs w:val="20"/>
          <w:color w:val="auto"/>
        </w:rPr>
      </w:pPr>
    </w:p>
    <w:p>
      <w:pPr>
        <w:ind w:left="1120" w:right="139" w:firstLine="362"/>
        <w:spacing w:after="0" w:line="273" w:lineRule="auto"/>
        <w:rPr>
          <w:sz w:val="20"/>
          <w:szCs w:val="20"/>
          <w:color w:val="auto"/>
        </w:rPr>
      </w:pPr>
      <w:r>
        <w:rPr>
          <w:rFonts w:ascii="Times New Roman" w:cs="Times New Roman" w:eastAsia="Times New Roman" w:hAnsi="Times New Roman"/>
          <w:sz w:val="15"/>
          <w:szCs w:val="15"/>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2" w:lineRule="exact"/>
        <w:rPr>
          <w:sz w:val="20"/>
          <w:szCs w:val="20"/>
          <w:color w:val="auto"/>
        </w:rPr>
      </w:pPr>
    </w:p>
    <w:p>
      <w:pPr>
        <w:ind w:left="1920" w:right="119" w:hanging="354"/>
        <w:spacing w:after="0" w:line="273" w:lineRule="auto"/>
        <w:tabs>
          <w:tab w:leader="none" w:pos="19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holder has previously given to the trustee written notice of a continuing Event of Default with respect to debt securities of that series; and</w:t>
      </w:r>
    </w:p>
    <w:p>
      <w:pPr>
        <w:spacing w:after="0" w:line="61" w:lineRule="exact"/>
        <w:rPr>
          <w:rFonts w:ascii="Times New Roman" w:cs="Times New Roman" w:eastAsia="Times New Roman" w:hAnsi="Times New Roman"/>
          <w:sz w:val="15"/>
          <w:szCs w:val="15"/>
          <w:color w:val="auto"/>
        </w:rPr>
      </w:pPr>
    </w:p>
    <w:p>
      <w:pPr>
        <w:ind w:left="1920" w:right="39" w:hanging="354"/>
        <w:spacing w:after="0" w:line="255" w:lineRule="auto"/>
        <w:tabs>
          <w:tab w:leader="none" w:pos="19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53" w:lineRule="exact"/>
        <w:rPr>
          <w:sz w:val="20"/>
          <w:szCs w:val="20"/>
          <w:color w:val="auto"/>
        </w:rPr>
      </w:pPr>
    </w:p>
    <w:p>
      <w:pPr>
        <w:ind w:left="1120" w:right="159" w:firstLine="362"/>
        <w:spacing w:after="0" w:line="260" w:lineRule="auto"/>
        <w:rPr>
          <w:sz w:val="20"/>
          <w:szCs w:val="20"/>
          <w:color w:val="auto"/>
        </w:rPr>
      </w:pPr>
      <w:r>
        <w:rPr>
          <w:rFonts w:ascii="Times New Roman" w:cs="Times New Roman" w:eastAsia="Times New Roman" w:hAnsi="Times New Roman"/>
          <w:sz w:val="15"/>
          <w:szCs w:val="15"/>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49" w:lineRule="exact"/>
        <w:rPr>
          <w:sz w:val="20"/>
          <w:szCs w:val="20"/>
          <w:color w:val="auto"/>
        </w:rPr>
      </w:pPr>
    </w:p>
    <w:p>
      <w:pPr>
        <w:ind w:left="1120" w:right="19" w:firstLine="362"/>
        <w:spacing w:after="0" w:line="251" w:lineRule="auto"/>
        <w:rPr>
          <w:sz w:val="20"/>
          <w:szCs w:val="20"/>
          <w:color w:val="auto"/>
        </w:rPr>
      </w:pPr>
      <w:r>
        <w:rPr>
          <w:rFonts w:ascii="Times New Roman" w:cs="Times New Roman" w:eastAsia="Times New Roman" w:hAnsi="Times New Roman"/>
          <w:sz w:val="15"/>
          <w:szCs w:val="15"/>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Modification and Waiver</w:t>
      </w:r>
    </w:p>
    <w:p>
      <w:pPr>
        <w:spacing w:after="0" w:line="95" w:lineRule="exact"/>
        <w:rPr>
          <w:sz w:val="20"/>
          <w:szCs w:val="20"/>
          <w:color w:val="auto"/>
        </w:rPr>
      </w:pPr>
    </w:p>
    <w:p>
      <w:pPr>
        <w:ind w:left="1120" w:right="199" w:firstLine="362"/>
        <w:spacing w:after="0" w:line="273" w:lineRule="auto"/>
        <w:rPr>
          <w:sz w:val="20"/>
          <w:szCs w:val="20"/>
          <w:color w:val="auto"/>
        </w:rPr>
      </w:pPr>
      <w:r>
        <w:rPr>
          <w:rFonts w:ascii="Times New Roman" w:cs="Times New Roman" w:eastAsia="Times New Roman" w:hAnsi="Times New Roman"/>
          <w:sz w:val="15"/>
          <w:szCs w:val="15"/>
          <w:color w:val="auto"/>
        </w:rPr>
        <w:t>We and the trustee may modify, amend or supplement the indenture or the debt securities of any series without the consent of any holder of any debt security:</w:t>
      </w:r>
    </w:p>
    <w:p>
      <w:pPr>
        <w:spacing w:after="0" w:line="62" w:lineRule="exact"/>
        <w:rPr>
          <w:sz w:val="20"/>
          <w:szCs w:val="20"/>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w:t>
      </w:r>
    </w:p>
    <w:p>
      <w:pPr>
        <w:spacing w:after="0" w:line="102"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covenants in the indenture described above under the heading “</w:t>
      </w:r>
      <w:r>
        <w:rPr>
          <w:rFonts w:ascii="Times New Roman" w:cs="Times New Roman" w:eastAsia="Times New Roman" w:hAnsi="Times New Roman"/>
          <w:sz w:val="15"/>
          <w:szCs w:val="15"/>
          <w:i w:val="1"/>
          <w:iCs w:val="1"/>
          <w:color w:val="auto"/>
        </w:rPr>
        <w:t>Consolidation, Merger and Sale of Assets</w:t>
      </w:r>
      <w:r>
        <w:rPr>
          <w:rFonts w:ascii="Times New Roman" w:cs="Times New Roman" w:eastAsia="Times New Roman" w:hAnsi="Times New Roman"/>
          <w:sz w:val="15"/>
          <w:szCs w:val="15"/>
          <w:color w:val="auto"/>
        </w:rPr>
        <w:t>”;</w:t>
      </w:r>
    </w:p>
    <w:p>
      <w:pPr>
        <w:spacing w:after="0" w:line="106"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securities in addition to or in place of certificated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with respect to debt securities of any series or secure debt securities of any series;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of our rights or powers under the indenture;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covenants or events of default for the benefit of the holders of debt securities of any series;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the applicable procedures of the applicable depositary;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 of debt securities;</w:t>
      </w:r>
    </w:p>
    <w:p>
      <w:pPr>
        <w:spacing w:after="0" w:line="104" w:lineRule="exact"/>
        <w:rPr>
          <w:rFonts w:ascii="Times New Roman" w:cs="Times New Roman" w:eastAsia="Times New Roman" w:hAnsi="Times New Roman"/>
          <w:sz w:val="15"/>
          <w:szCs w:val="15"/>
          <w:color w:val="auto"/>
        </w:rPr>
      </w:pPr>
    </w:p>
    <w:p>
      <w:pPr>
        <w:ind w:left="5580" w:right="19" w:hanging="4014"/>
        <w:spacing w:after="0" w:line="442" w:lineRule="auto"/>
        <w:tabs>
          <w:tab w:leader="none" w:pos="193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debt securities of any series as permitted by the indenture; 15</w:t>
      </w:r>
    </w:p>
    <w:p>
      <w:pPr>
        <w:sectPr>
          <w:pgSz w:w="11900" w:h="16838" w:orient="portrait"/>
          <w:cols w:equalWidth="0" w:num="1">
            <w:col w:w="10159"/>
          </w:cols>
          <w:pgMar w:left="300" w:top="40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right="620" w:hanging="354"/>
        <w:spacing w:after="0" w:line="273" w:lineRule="auto"/>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requirements of the SEC in order to effect or maintain the qualification of the indenture under the Trust Indenture Act.</w:t>
      </w:r>
    </w:p>
    <w:p>
      <w:pPr>
        <w:spacing w:after="0" w:line="182" w:lineRule="exact"/>
        <w:rPr>
          <w:sz w:val="20"/>
          <w:szCs w:val="20"/>
          <w:color w:val="auto"/>
        </w:rPr>
      </w:pPr>
    </w:p>
    <w:p>
      <w:pPr>
        <w:jc w:val="both"/>
        <w:ind w:left="1120" w:right="260" w:firstLine="362"/>
        <w:spacing w:after="0" w:line="260" w:lineRule="auto"/>
        <w:rPr>
          <w:sz w:val="20"/>
          <w:szCs w:val="20"/>
          <w:color w:val="auto"/>
        </w:rPr>
      </w:pPr>
      <w:r>
        <w:rPr>
          <w:rFonts w:ascii="Times New Roman" w:cs="Times New Roman" w:eastAsia="Times New Roman" w:hAnsi="Times New Roman"/>
          <w:sz w:val="15"/>
          <w:szCs w:val="15"/>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1" w:lineRule="exact"/>
        <w:rPr>
          <w:sz w:val="20"/>
          <w:szCs w:val="20"/>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amount of debt securities whose holders must consent to an amendment, supplement or waiver;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rate of or extend the time for payment of interest (including default interest) on any debt security;</w:t>
      </w:r>
    </w:p>
    <w:p>
      <w:pPr>
        <w:spacing w:after="0" w:line="104" w:lineRule="exact"/>
        <w:rPr>
          <w:rFonts w:ascii="Times New Roman" w:cs="Times New Roman" w:eastAsia="Times New Roman" w:hAnsi="Times New Roman"/>
          <w:sz w:val="15"/>
          <w:szCs w:val="15"/>
          <w:color w:val="auto"/>
        </w:rPr>
      </w:pPr>
    </w:p>
    <w:p>
      <w:pPr>
        <w:ind w:left="1920" w:right="20" w:hanging="354"/>
        <w:spacing w:after="0" w:line="273" w:lineRule="auto"/>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discount securities payable upon acceleration of maturity;</w:t>
      </w:r>
    </w:p>
    <w:p>
      <w:pPr>
        <w:spacing w:after="0" w:line="104" w:lineRule="exact"/>
        <w:rPr>
          <w:rFonts w:ascii="Times New Roman" w:cs="Times New Roman" w:eastAsia="Times New Roman" w:hAnsi="Times New Roman"/>
          <w:sz w:val="15"/>
          <w:szCs w:val="15"/>
          <w:color w:val="auto"/>
        </w:rPr>
      </w:pPr>
    </w:p>
    <w:p>
      <w:pPr>
        <w:ind w:left="1920" w:right="80" w:hanging="354"/>
        <w:spacing w:after="0" w:line="260" w:lineRule="auto"/>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the principal of or premium or interest on any debt security payable in currency other than that stated in the debt security;</w:t>
      </w:r>
    </w:p>
    <w:p>
      <w:pPr>
        <w:spacing w:after="0" w:line="104" w:lineRule="exact"/>
        <w:rPr>
          <w:rFonts w:ascii="Times New Roman" w:cs="Times New Roman" w:eastAsia="Times New Roman" w:hAnsi="Times New Roman"/>
          <w:sz w:val="15"/>
          <w:szCs w:val="15"/>
          <w:color w:val="auto"/>
        </w:rPr>
      </w:pPr>
    </w:p>
    <w:p>
      <w:pPr>
        <w:ind w:left="1920" w:hanging="354"/>
        <w:spacing w:after="0" w:line="260" w:lineRule="auto"/>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redemption payment with respect to any debt security.</w:t>
      </w:r>
    </w:p>
    <w:p>
      <w:pPr>
        <w:spacing w:after="0" w:line="182" w:lineRule="exact"/>
        <w:rPr>
          <w:sz w:val="20"/>
          <w:szCs w:val="20"/>
          <w:color w:val="auto"/>
        </w:rPr>
      </w:pPr>
    </w:p>
    <w:p>
      <w:pPr>
        <w:ind w:left="1120" w:right="60" w:firstLine="362"/>
        <w:spacing w:after="0" w:line="252" w:lineRule="auto"/>
        <w:rPr>
          <w:sz w:val="20"/>
          <w:szCs w:val="20"/>
          <w:color w:val="auto"/>
        </w:rPr>
      </w:pPr>
      <w:r>
        <w:rPr>
          <w:rFonts w:ascii="Times New Roman" w:cs="Times New Roman" w:eastAsia="Times New Roman" w:hAnsi="Times New Roman"/>
          <w:sz w:val="15"/>
          <w:szCs w:val="15"/>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Defeasance of Debt Securities and Certain Covenants in Certain Circumstances</w:t>
      </w:r>
    </w:p>
    <w:p>
      <w:pPr>
        <w:spacing w:after="0" w:line="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i w:val="1"/>
          <w:iCs w:val="1"/>
          <w:color w:val="auto"/>
        </w:rPr>
        <w:t>Legal Defeasance</w:t>
      </w:r>
    </w:p>
    <w:p>
      <w:pPr>
        <w:spacing w:after="0" w:line="95" w:lineRule="exact"/>
        <w:rPr>
          <w:sz w:val="20"/>
          <w:szCs w:val="20"/>
          <w:color w:val="auto"/>
        </w:rPr>
      </w:pPr>
    </w:p>
    <w:p>
      <w:pPr>
        <w:ind w:left="1120" w:right="20" w:firstLine="362"/>
        <w:spacing w:after="0" w:line="255" w:lineRule="auto"/>
        <w:rPr>
          <w:sz w:val="20"/>
          <w:szCs w:val="20"/>
          <w:color w:val="auto"/>
        </w:rPr>
      </w:pPr>
      <w:r>
        <w:rPr>
          <w:rFonts w:ascii="Times New Roman" w:cs="Times New Roman" w:eastAsia="Times New Roman" w:hAnsi="Times New Roman"/>
          <w:sz w:val="15"/>
          <w:szCs w:val="15"/>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160"/>
          </w:cols>
          <w:pgMar w:left="300" w:top="400" w:right="1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139"/>
        <w:spacing w:after="0" w:line="255" w:lineRule="auto"/>
        <w:rPr>
          <w:sz w:val="20"/>
          <w:szCs w:val="20"/>
          <w:color w:val="auto"/>
        </w:rPr>
      </w:pPr>
      <w:r>
        <w:rPr>
          <w:rFonts w:ascii="Times New Roman" w:cs="Times New Roman" w:eastAsia="Times New Roman" w:hAnsi="Times New Roman"/>
          <w:sz w:val="15"/>
          <w:szCs w:val="15"/>
          <w:color w:val="auto"/>
        </w:rPr>
        <w:t>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53" w:lineRule="exact"/>
        <w:rPr>
          <w:sz w:val="20"/>
          <w:szCs w:val="20"/>
          <w:color w:val="auto"/>
        </w:rPr>
      </w:pPr>
    </w:p>
    <w:p>
      <w:pPr>
        <w:ind w:left="1120" w:right="99" w:firstLine="362"/>
        <w:spacing w:after="0" w:line="252" w:lineRule="auto"/>
        <w:rPr>
          <w:sz w:val="20"/>
          <w:szCs w:val="20"/>
          <w:color w:val="auto"/>
        </w:rPr>
      </w:pPr>
      <w:r>
        <w:rPr>
          <w:rFonts w:ascii="Times New Roman" w:cs="Times New Roman" w:eastAsia="Times New Roman" w:hAnsi="Times New Roman"/>
          <w:sz w:val="15"/>
          <w:szCs w:val="15"/>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i w:val="1"/>
          <w:iCs w:val="1"/>
          <w:color w:val="auto"/>
        </w:rPr>
        <w:t>Defeasance of Certain Covenants</w:t>
      </w:r>
    </w:p>
    <w:p>
      <w:pPr>
        <w:spacing w:after="0" w:line="95" w:lineRule="exact"/>
        <w:rPr>
          <w:sz w:val="20"/>
          <w:szCs w:val="20"/>
          <w:color w:val="auto"/>
        </w:rPr>
      </w:pPr>
    </w:p>
    <w:p>
      <w:pPr>
        <w:ind w:left="1120" w:right="399" w:firstLine="362"/>
        <w:spacing w:after="0" w:line="273" w:lineRule="auto"/>
        <w:rPr>
          <w:sz w:val="20"/>
          <w:szCs w:val="20"/>
          <w:color w:val="auto"/>
        </w:rPr>
      </w:pPr>
      <w:r>
        <w:rPr>
          <w:rFonts w:ascii="Times New Roman" w:cs="Times New Roman" w:eastAsia="Times New Roman" w:hAnsi="Times New Roman"/>
          <w:sz w:val="15"/>
          <w:szCs w:val="15"/>
          <w:color w:val="auto"/>
        </w:rPr>
        <w:t>The indenture provides that, unless otherwise provided by the terms of the applicable series of debt securities, upon compliance with certain conditions:</w:t>
      </w:r>
    </w:p>
    <w:p>
      <w:pPr>
        <w:spacing w:after="0" w:line="60" w:lineRule="exact"/>
        <w:rPr>
          <w:sz w:val="20"/>
          <w:szCs w:val="20"/>
          <w:color w:val="auto"/>
        </w:rPr>
      </w:pPr>
    </w:p>
    <w:p>
      <w:pPr>
        <w:ind w:left="1920" w:right="179" w:hanging="354"/>
        <w:spacing w:after="0" w:line="261" w:lineRule="auto"/>
        <w:tabs>
          <w:tab w:leader="none" w:pos="19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omit to comply with the covenant described under the heading “</w:t>
      </w:r>
      <w:r>
        <w:rPr>
          <w:rFonts w:ascii="Times New Roman" w:cs="Times New Roman" w:eastAsia="Times New Roman" w:hAnsi="Times New Roman"/>
          <w:sz w:val="15"/>
          <w:szCs w:val="15"/>
          <w:i w:val="1"/>
          <w:iCs w:val="1"/>
          <w:color w:val="auto"/>
        </w:rPr>
        <w:t>Consolidation, Merger and Sale of Assets</w:t>
      </w:r>
      <w:r>
        <w:rPr>
          <w:rFonts w:ascii="Times New Roman" w:cs="Times New Roman" w:eastAsia="Times New Roman" w:hAnsi="Times New Roman"/>
          <w:sz w:val="15"/>
          <w:szCs w:val="15"/>
          <w:color w:val="auto"/>
        </w:rPr>
        <w:t>” and certain other covenants set forth in the indenture, as well as any additional covenants which may be set forth in the applicable prospectus supplement; and</w:t>
      </w:r>
    </w:p>
    <w:p>
      <w:pPr>
        <w:spacing w:after="0" w:line="70" w:lineRule="exact"/>
        <w:rPr>
          <w:rFonts w:ascii="Times New Roman" w:cs="Times New Roman" w:eastAsia="Times New Roman" w:hAnsi="Times New Roman"/>
          <w:sz w:val="15"/>
          <w:szCs w:val="15"/>
          <w:color w:val="auto"/>
        </w:rPr>
      </w:pPr>
    </w:p>
    <w:p>
      <w:pPr>
        <w:ind w:left="1920" w:right="79" w:hanging="354"/>
        <w:spacing w:after="0" w:line="273" w:lineRule="auto"/>
        <w:tabs>
          <w:tab w:leader="none" w:pos="19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omission to comply with those covenants will not constitute a Default or an Event of Default with respect to the debt securities of that series.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refer to this as covenant defeasance. The conditions include:</w:t>
      </w:r>
    </w:p>
    <w:p>
      <w:pPr>
        <w:spacing w:after="0" w:line="105" w:lineRule="exact"/>
        <w:rPr>
          <w:sz w:val="20"/>
          <w:szCs w:val="20"/>
          <w:color w:val="auto"/>
        </w:rPr>
      </w:pPr>
    </w:p>
    <w:p>
      <w:pPr>
        <w:ind w:left="1920" w:right="79" w:hanging="354"/>
        <w:spacing w:after="0" w:line="252"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76" w:lineRule="exact"/>
        <w:rPr>
          <w:rFonts w:ascii="Times New Roman" w:cs="Times New Roman" w:eastAsia="Times New Roman" w:hAnsi="Times New Roman"/>
          <w:sz w:val="15"/>
          <w:szCs w:val="15"/>
          <w:color w:val="auto"/>
        </w:rPr>
      </w:pPr>
    </w:p>
    <w:p>
      <w:pPr>
        <w:ind w:left="1920" w:right="5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the indenture or any other agreement to which we are a party;</w:t>
      </w:r>
    </w:p>
    <w:p>
      <w:pPr>
        <w:spacing w:after="0" w:line="61" w:lineRule="exact"/>
        <w:rPr>
          <w:rFonts w:ascii="Times New Roman" w:cs="Times New Roman" w:eastAsia="Times New Roman" w:hAnsi="Times New Roman"/>
          <w:sz w:val="15"/>
          <w:szCs w:val="15"/>
          <w:color w:val="auto"/>
        </w:rPr>
      </w:pPr>
    </w:p>
    <w:p>
      <w:pPr>
        <w:ind w:left="1920" w:right="239"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applicable series of debt securities shall have occurred or is continuing on the date of such deposit; and</w:t>
      </w:r>
    </w:p>
    <w:p>
      <w:pPr>
        <w:spacing w:after="0" w:line="61" w:lineRule="exact"/>
        <w:rPr>
          <w:rFonts w:ascii="Times New Roman" w:cs="Times New Roman" w:eastAsia="Times New Roman" w:hAnsi="Times New Roman"/>
          <w:sz w:val="15"/>
          <w:szCs w:val="15"/>
          <w:color w:val="auto"/>
        </w:rPr>
      </w:pPr>
    </w:p>
    <w:p>
      <w:pPr>
        <w:ind w:left="1920" w:right="39" w:hanging="354"/>
        <w:spacing w:after="0" w:line="252"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No Personal Liability of Directors, Officers, Employees or Stockholders</w:t>
      </w:r>
    </w:p>
    <w:p>
      <w:pPr>
        <w:spacing w:after="0" w:line="95" w:lineRule="exact"/>
        <w:rPr>
          <w:sz w:val="20"/>
          <w:szCs w:val="20"/>
          <w:color w:val="auto"/>
        </w:rPr>
      </w:pPr>
    </w:p>
    <w:p>
      <w:pPr>
        <w:ind w:left="1120" w:right="119" w:firstLine="362"/>
        <w:spacing w:after="0" w:line="273" w:lineRule="auto"/>
        <w:rPr>
          <w:sz w:val="20"/>
          <w:szCs w:val="20"/>
          <w:color w:val="auto"/>
        </w:rPr>
      </w:pPr>
      <w:r>
        <w:rPr>
          <w:rFonts w:ascii="Times New Roman" w:cs="Times New Roman" w:eastAsia="Times New Roman" w:hAnsi="Times New Roman"/>
          <w:sz w:val="15"/>
          <w:szCs w:val="15"/>
          <w:color w:val="auto"/>
        </w:rPr>
        <w:t>None of our past, present or future directors, officers, employees or stockholders, as such, will have any liability for any of our obligations under the debt securities or the indenture or for any claim based on, or in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159"/>
          </w:cols>
          <w:pgMar w:left="300" w:top="400"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219"/>
        <w:spacing w:after="0" w:line="260" w:lineRule="auto"/>
        <w:rPr>
          <w:sz w:val="20"/>
          <w:szCs w:val="20"/>
          <w:color w:val="auto"/>
        </w:rPr>
      </w:pPr>
      <w:r>
        <w:rPr>
          <w:rFonts w:ascii="Times New Roman" w:cs="Times New Roman" w:eastAsia="Times New Roman" w:hAnsi="Times New Roman"/>
          <w:sz w:val="15"/>
          <w:szCs w:val="15"/>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95" w:lineRule="exact"/>
        <w:rPr>
          <w:sz w:val="20"/>
          <w:szCs w:val="20"/>
          <w:color w:val="auto"/>
        </w:rPr>
      </w:pPr>
    </w:p>
    <w:p>
      <w:pPr>
        <w:ind w:left="1120" w:right="459" w:firstLine="362"/>
        <w:spacing w:after="0" w:line="273" w:lineRule="auto"/>
        <w:rPr>
          <w:sz w:val="20"/>
          <w:szCs w:val="20"/>
          <w:color w:val="auto"/>
        </w:rPr>
      </w:pPr>
      <w:r>
        <w:rPr>
          <w:rFonts w:ascii="Times New Roman" w:cs="Times New Roman" w:eastAsia="Times New Roman" w:hAnsi="Times New Roman"/>
          <w:sz w:val="15"/>
          <w:szCs w:val="15"/>
          <w:color w:val="auto"/>
        </w:rPr>
        <w:t>The indenture and the debt securities, including any claim or controversy arising out of or relating to the indenture or the securities, will be governed by the laws of the State of New York.</w:t>
      </w:r>
    </w:p>
    <w:p>
      <w:pPr>
        <w:spacing w:after="0" w:line="140" w:lineRule="exact"/>
        <w:rPr>
          <w:sz w:val="20"/>
          <w:szCs w:val="20"/>
          <w:color w:val="auto"/>
        </w:rPr>
      </w:pPr>
    </w:p>
    <w:p>
      <w:pPr>
        <w:ind w:left="1120" w:right="59" w:firstLine="362"/>
        <w:spacing w:after="0" w:line="260" w:lineRule="auto"/>
        <w:rPr>
          <w:sz w:val="20"/>
          <w:szCs w:val="20"/>
          <w:color w:val="auto"/>
        </w:rPr>
      </w:pPr>
      <w:r>
        <w:rPr>
          <w:rFonts w:ascii="Times New Roman" w:cs="Times New Roman" w:eastAsia="Times New Roman" w:hAnsi="Times New Roman"/>
          <w:sz w:val="15"/>
          <w:szCs w:val="15"/>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49" w:lineRule="exact"/>
        <w:rPr>
          <w:sz w:val="20"/>
          <w:szCs w:val="20"/>
          <w:color w:val="auto"/>
        </w:rPr>
      </w:pPr>
    </w:p>
    <w:p>
      <w:pPr>
        <w:ind w:left="1120" w:right="59" w:firstLine="362"/>
        <w:spacing w:after="0" w:line="250" w:lineRule="auto"/>
        <w:rPr>
          <w:sz w:val="20"/>
          <w:szCs w:val="20"/>
          <w:color w:val="auto"/>
        </w:rPr>
      </w:pPr>
      <w:r>
        <w:rPr>
          <w:rFonts w:ascii="Times New Roman" w:cs="Times New Roman" w:eastAsia="Times New Roman" w:hAnsi="Times New Roman"/>
          <w:sz w:val="15"/>
          <w:szCs w:val="15"/>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159"/>
          </w:cols>
          <w:pgMar w:left="300" w:top="40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84" w:lineRule="exact"/>
        <w:rPr>
          <w:sz w:val="20"/>
          <w:szCs w:val="20"/>
          <w:color w:val="auto"/>
        </w:rPr>
      </w:pPr>
    </w:p>
    <w:p>
      <w:pPr>
        <w:jc w:val="both"/>
        <w:ind w:left="1120" w:right="100" w:firstLine="362"/>
        <w:spacing w:after="0" w:line="253" w:lineRule="auto"/>
        <w:rPr>
          <w:sz w:val="20"/>
          <w:szCs w:val="20"/>
          <w:color w:val="auto"/>
        </w:rPr>
      </w:pPr>
      <w:r>
        <w:rPr>
          <w:rFonts w:ascii="Times New Roman" w:cs="Times New Roman" w:eastAsia="Times New Roman" w:hAnsi="Times New Roman"/>
          <w:sz w:val="15"/>
          <w:szCs w:val="15"/>
          <w:color w:val="auto"/>
        </w:rPr>
        <w:t>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77" w:lineRule="exact"/>
        <w:rPr>
          <w:sz w:val="20"/>
          <w:szCs w:val="20"/>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specific designation and aggregate number of, and the offering price at which we will issue, the warrants;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currency units in which the offering price, if any, and the exercise price are payable;</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are to be sold separately or with other securities as parts of units;</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material U.S. federal income tax consequences;</w:t>
      </w:r>
    </w:p>
    <w:p>
      <w:pPr>
        <w:spacing w:after="0" w:line="104" w:lineRule="exact"/>
        <w:rPr>
          <w:rFonts w:ascii="Times New Roman" w:cs="Times New Roman" w:eastAsia="Times New Roman" w:hAnsi="Times New Roman"/>
          <w:sz w:val="15"/>
          <w:szCs w:val="15"/>
          <w:color w:val="auto"/>
        </w:rPr>
      </w:pPr>
    </w:p>
    <w:p>
      <w:pPr>
        <w:ind w:left="1920" w:right="240" w:hanging="354"/>
        <w:spacing w:after="0" w:line="273"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warrant agent for the warrants and of any other depositaries, execution or paying agents, transfer agents, registrars or other agents;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listing, if any, of the warrants or any securities purchasable upon exercise of the warrants on any securities exchange;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any equity securities purchasable upon exercise of the warrants;</w:t>
      </w:r>
    </w:p>
    <w:p>
      <w:pPr>
        <w:spacing w:after="0" w:line="104" w:lineRule="exact"/>
        <w:rPr>
          <w:rFonts w:ascii="Times New Roman" w:cs="Times New Roman" w:eastAsia="Times New Roman" w:hAnsi="Times New Roman"/>
          <w:sz w:val="15"/>
          <w:szCs w:val="15"/>
          <w:color w:val="auto"/>
        </w:rPr>
      </w:pPr>
    </w:p>
    <w:p>
      <w:pPr>
        <w:ind w:left="1920" w:right="560" w:hanging="354"/>
        <w:spacing w:after="0" w:line="273"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aggregate principal amount, currency and terms of any debt securities that may be purchased upon exercise of the warrants;</w:t>
      </w:r>
    </w:p>
    <w:p>
      <w:pPr>
        <w:spacing w:after="0" w:line="61" w:lineRule="exact"/>
        <w:rPr>
          <w:rFonts w:ascii="Times New Roman" w:cs="Times New Roman" w:eastAsia="Times New Roman" w:hAnsi="Times New Roman"/>
          <w:sz w:val="15"/>
          <w:szCs w:val="15"/>
          <w:color w:val="auto"/>
        </w:rPr>
      </w:pPr>
    </w:p>
    <w:p>
      <w:pPr>
        <w:ind w:left="1920" w:hanging="354"/>
        <w:spacing w:after="0" w:line="273"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debt securities, preferred stock or Class A Common Stock with which the warrants are issued and the number of warrants issued with each security;</w:t>
      </w:r>
    </w:p>
    <w:p>
      <w:pPr>
        <w:spacing w:after="0" w:line="61"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from and after which any warrants issued as part of a unit and the related debt securities, preferred stock or Class A Common Stock will be separately transferable;</w:t>
      </w:r>
    </w:p>
    <w:p>
      <w:pPr>
        <w:spacing w:after="0" w:line="61" w:lineRule="exact"/>
        <w:rPr>
          <w:rFonts w:ascii="Times New Roman" w:cs="Times New Roman" w:eastAsia="Times New Roman" w:hAnsi="Times New Roman"/>
          <w:sz w:val="15"/>
          <w:szCs w:val="15"/>
          <w:color w:val="auto"/>
        </w:rPr>
      </w:pPr>
    </w:p>
    <w:p>
      <w:pPr>
        <w:ind w:left="1920" w:right="60" w:hanging="354"/>
        <w:spacing w:after="0" w:line="273"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preferred stock or the number of shares of Class A Common Stock purchasable upon exercise of a warrant and the price at which those shares may be purchased;</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minimum or maximum amount of the warrants that may be exercised at any one time;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antidilution provisions, and other provisions for changes to or adjustment in the exercise price, of the warrants,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or call provisions;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terms of the warrants, including terms, procedures and limitations relating to the exchange or exercise of the warrants.</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160"/>
          </w:cols>
          <w:pgMar w:left="300" w:top="400" w:right="1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DESCRIPTION OF UNITS</w:t>
      </w:r>
    </w:p>
    <w:p>
      <w:pPr>
        <w:spacing w:after="0" w:line="184" w:lineRule="exact"/>
        <w:rPr>
          <w:sz w:val="20"/>
          <w:szCs w:val="20"/>
          <w:color w:val="auto"/>
        </w:rPr>
      </w:pPr>
    </w:p>
    <w:p>
      <w:pPr>
        <w:ind w:left="1120" w:right="300" w:firstLine="362"/>
        <w:spacing w:after="0" w:line="255" w:lineRule="auto"/>
        <w:rPr>
          <w:sz w:val="20"/>
          <w:szCs w:val="20"/>
          <w:color w:val="auto"/>
        </w:rPr>
      </w:pPr>
      <w:r>
        <w:rPr>
          <w:rFonts w:ascii="Times New Roman" w:cs="Times New Roman" w:eastAsia="Times New Roman" w:hAnsi="Times New Roman"/>
          <w:sz w:val="15"/>
          <w:szCs w:val="15"/>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53" w:lineRule="exact"/>
        <w:rPr>
          <w:sz w:val="20"/>
          <w:szCs w:val="20"/>
          <w:color w:val="auto"/>
        </w:rPr>
      </w:pPr>
    </w:p>
    <w:p>
      <w:pPr>
        <w:ind w:left="1120" w:right="60" w:firstLine="362"/>
        <w:spacing w:after="0" w:line="252" w:lineRule="auto"/>
        <w:rPr>
          <w:sz w:val="20"/>
          <w:szCs w:val="20"/>
          <w:color w:val="auto"/>
        </w:rPr>
      </w:pPr>
      <w:r>
        <w:rPr>
          <w:rFonts w:ascii="Times New Roman" w:cs="Times New Roman" w:eastAsia="Times New Roman" w:hAnsi="Times New Roman"/>
          <w:sz w:val="15"/>
          <w:szCs w:val="15"/>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1120" w:firstLine="362"/>
        <w:spacing w:after="0" w:line="273" w:lineRule="auto"/>
        <w:rPr>
          <w:sz w:val="20"/>
          <w:szCs w:val="20"/>
          <w:color w:val="auto"/>
        </w:rPr>
      </w:pPr>
      <w:r>
        <w:rPr>
          <w:rFonts w:ascii="Times New Roman" w:cs="Times New Roman" w:eastAsia="Times New Roman" w:hAnsi="Times New Roman"/>
          <w:sz w:val="15"/>
          <w:szCs w:val="15"/>
          <w:color w:val="auto"/>
        </w:rPr>
        <w:t>The prospectus supplement relating to any particular issuance of units will describe the terms of those units, including, to the extent applicable, the following:</w:t>
      </w:r>
    </w:p>
    <w:p>
      <w:pPr>
        <w:spacing w:after="0" w:line="62" w:lineRule="exact"/>
        <w:rPr>
          <w:sz w:val="20"/>
          <w:szCs w:val="20"/>
          <w:color w:val="auto"/>
        </w:rPr>
      </w:pPr>
    </w:p>
    <w:p>
      <w:pPr>
        <w:ind w:left="1920" w:right="400" w:hanging="354"/>
        <w:spacing w:after="0" w:line="273"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the securities comprising the units, including whether and under what circumstances those securities may be held or transferred separately;</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 for the issuance, payment, settlement, transfer or exchange of the units or of the securities comprising the units;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units will be issued in fully registered or global form.</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160"/>
          </w:cols>
          <w:pgMar w:left="300" w:top="400" w:right="1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may sell securities:</w:t>
      </w:r>
    </w:p>
    <w:p>
      <w:pPr>
        <w:spacing w:after="0" w:line="105" w:lineRule="exact"/>
        <w:rPr>
          <w:sz w:val="20"/>
          <w:szCs w:val="20"/>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underwriters;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dealers;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agents;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to purchasers; or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combination of any of these methods of sale.</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In addition, we may issue the securities as a dividend or distribution or in a subscription rights offering to our existing securityholders.</w:t>
      </w:r>
    </w:p>
    <w:p>
      <w:pPr>
        <w:spacing w:after="0" w:line="182" w:lineRule="exact"/>
        <w:rPr>
          <w:sz w:val="20"/>
          <w:szCs w:val="20"/>
          <w:color w:val="auto"/>
        </w:rPr>
      </w:pPr>
    </w:p>
    <w:p>
      <w:pPr>
        <w:ind w:left="1120" w:right="59" w:firstLine="362"/>
        <w:spacing w:after="0" w:line="253" w:lineRule="auto"/>
        <w:rPr>
          <w:sz w:val="20"/>
          <w:szCs w:val="20"/>
          <w:color w:val="auto"/>
        </w:rPr>
      </w:pPr>
      <w:r>
        <w:rPr>
          <w:rFonts w:ascii="Times New Roman" w:cs="Times New Roman" w:eastAsia="Times New Roman" w:hAnsi="Times New Roman"/>
          <w:sz w:val="15"/>
          <w:szCs w:val="15"/>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distribution of the securities may be effected from time to time in one or more transactions:</w:t>
      </w:r>
    </w:p>
    <w:p>
      <w:pPr>
        <w:spacing w:after="0" w:line="105" w:lineRule="exact"/>
        <w:rPr>
          <w:sz w:val="20"/>
          <w:szCs w:val="20"/>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that may be changed from time to time;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 or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Each prospectus supplement will describe the method of distribution of the securities and any applicable restrictions.</w:t>
      </w:r>
    </w:p>
    <w:p>
      <w:pPr>
        <w:spacing w:after="0" w:line="182" w:lineRule="exact"/>
        <w:rPr>
          <w:sz w:val="20"/>
          <w:szCs w:val="20"/>
          <w:color w:val="auto"/>
        </w:rPr>
      </w:pPr>
    </w:p>
    <w:p>
      <w:pPr>
        <w:ind w:left="1120" w:right="19" w:firstLine="362"/>
        <w:spacing w:after="0" w:line="273" w:lineRule="auto"/>
        <w:rPr>
          <w:sz w:val="20"/>
          <w:szCs w:val="20"/>
          <w:color w:val="auto"/>
        </w:rPr>
      </w:pPr>
      <w:r>
        <w:rPr>
          <w:rFonts w:ascii="Times New Roman" w:cs="Times New Roman" w:eastAsia="Times New Roman" w:hAnsi="Times New Roman"/>
          <w:sz w:val="15"/>
          <w:szCs w:val="15"/>
          <w:color w:val="auto"/>
        </w:rPr>
        <w:t>The prospectus supplement with respect to the securities of a particular series will describe the terms of the offering of the securities, including the following:</w:t>
      </w:r>
    </w:p>
    <w:p>
      <w:pPr>
        <w:spacing w:after="0" w:line="62" w:lineRule="exact"/>
        <w:rPr>
          <w:sz w:val="20"/>
          <w:szCs w:val="20"/>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agent or any underwriters;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 offering or purchase price;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names of any selling securityholders;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paid to the agent or underwriters;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items constituting underwriting compensation;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paid to dealers;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exchanges on which the securities will be listed.</w:t>
      </w:r>
    </w:p>
    <w:p>
      <w:pPr>
        <w:spacing w:after="0" w:line="182" w:lineRule="exact"/>
        <w:rPr>
          <w:sz w:val="20"/>
          <w:szCs w:val="20"/>
          <w:color w:val="auto"/>
        </w:rPr>
      </w:pPr>
    </w:p>
    <w:p>
      <w:pPr>
        <w:ind w:left="1120" w:right="279" w:firstLine="362"/>
        <w:spacing w:after="0" w:line="260" w:lineRule="auto"/>
        <w:rPr>
          <w:sz w:val="20"/>
          <w:szCs w:val="20"/>
          <w:color w:val="auto"/>
        </w:rPr>
      </w:pPr>
      <w:r>
        <w:rPr>
          <w:rFonts w:ascii="Times New Roman" w:cs="Times New Roman" w:eastAsia="Times New Roman" w:hAnsi="Times New Roman"/>
          <w:sz w:val="15"/>
          <w:szCs w:val="15"/>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159"/>
          </w:cols>
          <w:pgMar w:left="300" w:top="40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460" w:firstLine="362"/>
        <w:spacing w:after="0" w:line="273" w:lineRule="auto"/>
        <w:rPr>
          <w:sz w:val="20"/>
          <w:szCs w:val="20"/>
          <w:color w:val="auto"/>
        </w:rPr>
      </w:pPr>
      <w:r>
        <w:rPr>
          <w:rFonts w:ascii="Times New Roman" w:cs="Times New Roman" w:eastAsia="Times New Roman" w:hAnsi="Times New Roman"/>
          <w:sz w:val="15"/>
          <w:szCs w:val="15"/>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1120" w:firstLine="362"/>
        <w:spacing w:after="0" w:line="273" w:lineRule="auto"/>
        <w:rPr>
          <w:sz w:val="20"/>
          <w:szCs w:val="20"/>
          <w:color w:val="auto"/>
        </w:rPr>
      </w:pPr>
      <w:r>
        <w:rPr>
          <w:rFonts w:ascii="Times New Roman" w:cs="Times New Roman" w:eastAsia="Times New Roman" w:hAnsi="Times New Roman"/>
          <w:sz w:val="15"/>
          <w:szCs w:val="15"/>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40" w:lineRule="exact"/>
        <w:rPr>
          <w:sz w:val="20"/>
          <w:szCs w:val="20"/>
          <w:color w:val="auto"/>
        </w:rPr>
      </w:pPr>
    </w:p>
    <w:p>
      <w:pPr>
        <w:ind w:left="1120" w:right="200" w:firstLine="362"/>
        <w:spacing w:after="0" w:line="273"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5" w:lineRule="exact"/>
        <w:rPr>
          <w:sz w:val="20"/>
          <w:szCs w:val="20"/>
          <w:color w:val="auto"/>
        </w:rPr>
      </w:pPr>
    </w:p>
    <w:p>
      <w:pPr>
        <w:ind w:left="1920" w:right="120" w:hanging="354"/>
        <w:spacing w:after="0" w:line="273" w:lineRule="auto"/>
        <w:tabs>
          <w:tab w:leader="none" w:pos="19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by an institution of the securities covered under that contract shall not at the time of delivery be prohibited under the laws of the jurisdiction to which that institution is subject; and</w:t>
      </w:r>
    </w:p>
    <w:p>
      <w:pPr>
        <w:spacing w:after="0" w:line="61" w:lineRule="exact"/>
        <w:rPr>
          <w:rFonts w:ascii="Times New Roman" w:cs="Times New Roman" w:eastAsia="Times New Roman" w:hAnsi="Times New Roman"/>
          <w:sz w:val="15"/>
          <w:szCs w:val="15"/>
          <w:color w:val="auto"/>
        </w:rPr>
      </w:pPr>
    </w:p>
    <w:p>
      <w:pPr>
        <w:ind w:left="1920" w:right="160" w:hanging="354"/>
        <w:spacing w:after="0" w:line="273" w:lineRule="auto"/>
        <w:tabs>
          <w:tab w:leader="none" w:pos="19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also being sold to underwriters acting as principals for their own account, the underwriters shall have purchased such securities not sold for delayed delivery.</w:t>
      </w:r>
    </w:p>
    <w:p>
      <w:pPr>
        <w:spacing w:after="0" w:line="140" w:lineRule="exact"/>
        <w:rPr>
          <w:sz w:val="20"/>
          <w:szCs w:val="20"/>
          <w:color w:val="auto"/>
        </w:rPr>
      </w:pPr>
    </w:p>
    <w:p>
      <w:pPr>
        <w:ind w:left="1120" w:right="120" w:firstLine="362"/>
        <w:spacing w:after="0" w:line="273" w:lineRule="auto"/>
        <w:rPr>
          <w:sz w:val="20"/>
          <w:szCs w:val="20"/>
          <w:color w:val="auto"/>
        </w:rPr>
      </w:pPr>
      <w:r>
        <w:rPr>
          <w:rFonts w:ascii="Times New Roman" w:cs="Times New Roman" w:eastAsia="Times New Roman" w:hAnsi="Times New Roman"/>
          <w:sz w:val="15"/>
          <w:szCs w:val="15"/>
          <w:color w:val="auto"/>
        </w:rPr>
        <w:t>The underwriters and other persons acting as agents will not have any responsibility in respect of the validity or performance of delayed delivery contracts.</w:t>
      </w:r>
    </w:p>
    <w:p>
      <w:pPr>
        <w:spacing w:after="0" w:line="140" w:lineRule="exact"/>
        <w:rPr>
          <w:sz w:val="20"/>
          <w:szCs w:val="20"/>
          <w:color w:val="auto"/>
        </w:rPr>
      </w:pPr>
    </w:p>
    <w:p>
      <w:pPr>
        <w:ind w:left="1120" w:right="60" w:firstLine="362"/>
        <w:spacing w:after="0" w:line="260" w:lineRule="auto"/>
        <w:rPr>
          <w:sz w:val="20"/>
          <w:szCs w:val="20"/>
          <w:color w:val="auto"/>
        </w:rPr>
      </w:pPr>
      <w:r>
        <w:rPr>
          <w:rFonts w:ascii="Times New Roman" w:cs="Times New Roman" w:eastAsia="Times New Roman" w:hAnsi="Times New Roman"/>
          <w:sz w:val="15"/>
          <w:szCs w:val="15"/>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49" w:lineRule="exact"/>
        <w:rPr>
          <w:sz w:val="20"/>
          <w:szCs w:val="20"/>
          <w:color w:val="auto"/>
        </w:rPr>
      </w:pPr>
    </w:p>
    <w:p>
      <w:pPr>
        <w:ind w:left="1120" w:firstLine="362"/>
        <w:spacing w:after="0" w:line="270"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47" w:lineRule="exact"/>
        <w:rPr>
          <w:sz w:val="20"/>
          <w:szCs w:val="20"/>
          <w:color w:val="auto"/>
        </w:rPr>
      </w:pPr>
    </w:p>
    <w:p>
      <w:pPr>
        <w:ind w:left="1120" w:firstLine="362"/>
        <w:spacing w:after="0" w:line="255" w:lineRule="auto"/>
        <w:rPr>
          <w:sz w:val="20"/>
          <w:szCs w:val="20"/>
          <w:color w:val="auto"/>
        </w:rPr>
      </w:pPr>
      <w:r>
        <w:rPr>
          <w:rFonts w:ascii="Times New Roman" w:cs="Times New Roman" w:eastAsia="Times New Roman" w:hAnsi="Times New Roman"/>
          <w:sz w:val="15"/>
          <w:szCs w:val="15"/>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before the original issue date for your securities, you may be required to make alternative settlement arrangements to prevent a failed settlement.</w:t>
      </w:r>
    </w:p>
    <w:p>
      <w:pPr>
        <w:spacing w:after="0" w:line="153" w:lineRule="exact"/>
        <w:rPr>
          <w:sz w:val="20"/>
          <w:szCs w:val="20"/>
          <w:color w:val="auto"/>
        </w:rPr>
      </w:pPr>
    </w:p>
    <w:p>
      <w:pPr>
        <w:ind w:left="1120" w:right="120" w:firstLine="362"/>
        <w:spacing w:after="0" w:line="273" w:lineRule="auto"/>
        <w:rPr>
          <w:sz w:val="20"/>
          <w:szCs w:val="20"/>
          <w:color w:val="auto"/>
        </w:rPr>
      </w:pPr>
      <w:r>
        <w:rPr>
          <w:rFonts w:ascii="Times New Roman" w:cs="Times New Roman" w:eastAsia="Times New Roman" w:hAnsi="Times New Roman"/>
          <w:sz w:val="15"/>
          <w:szCs w:val="15"/>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160"/>
          </w:cols>
          <w:pgMar w:left="300" w:top="400" w:right="1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VALIDITY OF THE SECURITIES</w:t>
      </w:r>
    </w:p>
    <w:p>
      <w:pPr>
        <w:spacing w:after="0" w:line="184" w:lineRule="exact"/>
        <w:rPr>
          <w:sz w:val="20"/>
          <w:szCs w:val="20"/>
          <w:color w:val="auto"/>
        </w:rPr>
      </w:pPr>
    </w:p>
    <w:p>
      <w:pPr>
        <w:ind w:left="1120" w:right="339" w:firstLine="362"/>
        <w:spacing w:after="0" w:line="273" w:lineRule="auto"/>
        <w:rPr>
          <w:sz w:val="20"/>
          <w:szCs w:val="20"/>
          <w:color w:val="auto"/>
        </w:rPr>
      </w:pPr>
      <w:r>
        <w:rPr>
          <w:rFonts w:ascii="Times New Roman" w:cs="Times New Roman" w:eastAsia="Times New Roman" w:hAnsi="Times New Roman"/>
          <w:sz w:val="15"/>
          <w:szCs w:val="15"/>
          <w:color w:val="auto"/>
        </w:rPr>
        <w:t>The validity of the securities offered hereby will be passed upon for us by Sullivan &amp; Cromwell LLP, New York, New York. Additional legal matters may be passed on for us, or any underwriters, dealers or agents by counsel we will name in the applicable prospectus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159"/>
          </w:cols>
          <w:pgMar w:left="300" w:top="400"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4" w:lineRule="exact"/>
        <w:rPr>
          <w:sz w:val="20"/>
          <w:szCs w:val="20"/>
          <w:color w:val="auto"/>
        </w:rPr>
      </w:pPr>
    </w:p>
    <w:p>
      <w:pPr>
        <w:jc w:val="both"/>
        <w:ind w:left="1120" w:right="379" w:firstLine="362"/>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32" w:lineRule="exact"/>
        <w:rPr>
          <w:sz w:val="20"/>
          <w:szCs w:val="20"/>
          <w:color w:val="auto"/>
        </w:rPr>
      </w:pPr>
    </w:p>
    <w:p>
      <w:pPr>
        <w:ind w:left="1120" w:right="119" w:firstLine="362"/>
        <w:spacing w:after="0" w:line="252" w:lineRule="auto"/>
        <w:rPr>
          <w:sz w:val="20"/>
          <w:szCs w:val="20"/>
          <w:color w:val="auto"/>
        </w:rPr>
      </w:pPr>
      <w:r>
        <w:rPr>
          <w:rFonts w:ascii="Times New Roman" w:cs="Times New Roman" w:eastAsia="Times New Roman" w:hAnsi="Times New Roman"/>
          <w:sz w:val="15"/>
          <w:szCs w:val="15"/>
          <w:color w:val="auto"/>
        </w:rPr>
        <w:t>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159"/>
          </w:cols>
          <w:pgMar w:left="300" w:top="400"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84" w:lineRule="exact"/>
        <w:rPr>
          <w:sz w:val="20"/>
          <w:szCs w:val="20"/>
          <w:color w:val="auto"/>
        </w:rPr>
      </w:pPr>
    </w:p>
    <w:p>
      <w:pPr>
        <w:ind w:left="1120" w:right="239" w:firstLine="362"/>
        <w:spacing w:after="0" w:line="260" w:lineRule="auto"/>
        <w:rPr>
          <w:sz w:val="20"/>
          <w:szCs w:val="20"/>
          <w:color w:val="auto"/>
        </w:rPr>
      </w:pPr>
      <w:r>
        <w:rPr>
          <w:rFonts w:ascii="Times New Roman" w:cs="Times New Roman" w:eastAsia="Times New Roman" w:hAnsi="Times New Roman"/>
          <w:sz w:val="15"/>
          <w:szCs w:val="15"/>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Copies of certain information filed by us with the SEC are also available on our website at </w:t>
      </w:r>
      <w:r>
        <w:rPr>
          <w:rFonts w:ascii="Times New Roman" w:cs="Times New Roman" w:eastAsia="Times New Roman" w:hAnsi="Times New Roman"/>
          <w:sz w:val="15"/>
          <w:szCs w:val="15"/>
          <w:i w:val="1"/>
          <w:iCs w:val="1"/>
          <w:color w:val="auto"/>
        </w:rPr>
        <w:t>investors.bakkt.com</w:t>
      </w:r>
      <w:r>
        <w:rPr>
          <w:rFonts w:ascii="Times New Roman" w:cs="Times New Roman" w:eastAsia="Times New Roman" w:hAnsi="Times New Roman"/>
          <w:sz w:val="15"/>
          <w:szCs w:val="15"/>
          <w:color w:val="auto"/>
        </w:rPr>
        <w:t>. Information accessible on or through our website is not a part of this prospectus.</w:t>
      </w:r>
    </w:p>
    <w:p>
      <w:pPr>
        <w:spacing w:after="0" w:line="149" w:lineRule="exact"/>
        <w:rPr>
          <w:sz w:val="20"/>
          <w:szCs w:val="20"/>
          <w:color w:val="auto"/>
        </w:rPr>
      </w:pPr>
    </w:p>
    <w:p>
      <w:pPr>
        <w:ind w:left="1120" w:right="19" w:firstLine="362"/>
        <w:spacing w:after="0" w:line="251" w:lineRule="auto"/>
        <w:rPr>
          <w:sz w:val="20"/>
          <w:szCs w:val="20"/>
          <w:color w:val="auto"/>
        </w:rPr>
      </w:pPr>
      <w:r>
        <w:rPr>
          <w:rFonts w:ascii="Times New Roman" w:cs="Times New Roman" w:eastAsia="Times New Roman" w:hAnsi="Times New Roman"/>
          <w:sz w:val="15"/>
          <w:szCs w:val="15"/>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159"/>
          </w:cols>
          <w:pgMar w:left="300" w:top="40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84" w:lineRule="exact"/>
        <w:rPr>
          <w:sz w:val="20"/>
          <w:szCs w:val="20"/>
          <w:color w:val="auto"/>
        </w:rPr>
      </w:pPr>
    </w:p>
    <w:p>
      <w:pPr>
        <w:ind w:left="1120" w:right="239" w:firstLine="362"/>
        <w:spacing w:after="0" w:line="273" w:lineRule="auto"/>
        <w:rPr>
          <w:sz w:val="20"/>
          <w:szCs w:val="20"/>
          <w:color w:val="auto"/>
        </w:rPr>
      </w:pPr>
      <w:r>
        <w:rPr>
          <w:rFonts w:ascii="Times New Roman" w:cs="Times New Roman" w:eastAsia="Times New Roman" w:hAnsi="Times New Roman"/>
          <w:sz w:val="15"/>
          <w:szCs w:val="15"/>
          <w:color w:val="auto"/>
        </w:rPr>
        <w:t>The SEC allows us to incorporate by reference much of the information that we file with the SEC, which means that we can disclose important information to you by referring you to those publicly available documents.</w:t>
      </w:r>
    </w:p>
    <w:p>
      <w:pPr>
        <w:spacing w:after="0" w:line="140" w:lineRule="exact"/>
        <w:rPr>
          <w:sz w:val="20"/>
          <w:szCs w:val="20"/>
          <w:color w:val="auto"/>
        </w:rPr>
      </w:pPr>
    </w:p>
    <w:p>
      <w:pPr>
        <w:ind w:left="1120" w:right="139" w:firstLine="362"/>
        <w:spacing w:after="0" w:line="270" w:lineRule="auto"/>
        <w:rPr>
          <w:sz w:val="20"/>
          <w:szCs w:val="20"/>
          <w:color w:val="auto"/>
        </w:rPr>
      </w:pPr>
      <w:r>
        <w:rPr>
          <w:rFonts w:ascii="Times New Roman" w:cs="Times New Roman" w:eastAsia="Times New Roman" w:hAnsi="Times New Roman"/>
          <w:sz w:val="14"/>
          <w:szCs w:val="14"/>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69" w:lineRule="exact"/>
        <w:rPr>
          <w:sz w:val="20"/>
          <w:szCs w:val="20"/>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40">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2024, filed with the SEC on March 20, 2025 (our “Annual Report”);</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w:t>
      </w:r>
      <w:hyperlink r:id="rId43">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quarter ended March 31, 2025, filed with the SEC on May 12, 2025;</w:t>
      </w:r>
    </w:p>
    <w:p>
      <w:pPr>
        <w:spacing w:after="0" w:line="104" w:lineRule="exact"/>
        <w:rPr>
          <w:rFonts w:ascii="Times New Roman" w:cs="Times New Roman" w:eastAsia="Times New Roman" w:hAnsi="Times New Roman"/>
          <w:sz w:val="15"/>
          <w:szCs w:val="15"/>
          <w:color w:val="auto"/>
        </w:rPr>
      </w:pPr>
    </w:p>
    <w:p>
      <w:pPr>
        <w:ind w:left="1920" w:right="119" w:hanging="354"/>
        <w:spacing w:after="0" w:line="273" w:lineRule="auto"/>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portions of our </w:t>
      </w:r>
      <w:hyperlink r:id="rId106">
        <w:r>
          <w:rPr>
            <w:rFonts w:ascii="Times New Roman" w:cs="Times New Roman" w:eastAsia="Times New Roman" w:hAnsi="Times New Roman"/>
            <w:sz w:val="15"/>
            <w:szCs w:val="15"/>
            <w:u w:val="single" w:color="auto"/>
            <w:color w:val="0000EE"/>
          </w:rPr>
          <w:t>Definitive Proxy Statement</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on Schedule 14A, filed with the SEC on April 28, 2025, that are incorporated by reference into our Annual Report;</w:t>
      </w:r>
    </w:p>
    <w:p>
      <w:pPr>
        <w:spacing w:after="0" w:line="61" w:lineRule="exact"/>
        <w:rPr>
          <w:rFonts w:ascii="Times New Roman" w:cs="Times New Roman" w:eastAsia="Times New Roman" w:hAnsi="Times New Roman"/>
          <w:sz w:val="15"/>
          <w:szCs w:val="15"/>
          <w:color w:val="auto"/>
        </w:rPr>
      </w:pPr>
    </w:p>
    <w:p>
      <w:pPr>
        <w:jc w:val="both"/>
        <w:ind w:left="1920" w:right="119" w:hanging="354"/>
        <w:spacing w:after="0" w:line="260" w:lineRule="auto"/>
        <w:tabs>
          <w:tab w:leader="none" w:pos="1920" w:val="left"/>
        </w:tabs>
        <w:numPr>
          <w:ilvl w:val="0"/>
          <w:numId w:val="44"/>
        </w:numPr>
        <w:rPr>
          <w:rFonts w:ascii="Times New Roman" w:cs="Times New Roman" w:eastAsia="Times New Roman" w:hAnsi="Times New Roman"/>
          <w:sz w:val="15"/>
          <w:szCs w:val="15"/>
          <w:color w:val="0000EE"/>
        </w:rPr>
      </w:pPr>
      <w:hyperlink r:id="rId50">
        <w:r>
          <w:rPr>
            <w:rFonts w:ascii="Times New Roman" w:cs="Times New Roman" w:eastAsia="Times New Roman" w:hAnsi="Times New Roman"/>
            <w:sz w:val="15"/>
            <w:szCs w:val="15"/>
            <w:color w:val="auto"/>
          </w:rPr>
          <w:t xml:space="preserve">our Current Reports on Form 8-K, filed with the SEC on </w:t>
        </w:r>
        <w:r>
          <w:rPr>
            <w:rFonts w:ascii="Times New Roman" w:cs="Times New Roman" w:eastAsia="Times New Roman" w:hAnsi="Times New Roman"/>
            <w:sz w:val="15"/>
            <w:szCs w:val="15"/>
            <w:u w:val="single" w:color="auto"/>
            <w:color w:val="0000EE"/>
          </w:rPr>
          <w:t>March 17,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March 20,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March 31,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April 22,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June 10,</w:t>
        </w:r>
      </w:hyperlink>
      <w:r>
        <w:rPr>
          <w:rFonts w:ascii="Times New Roman" w:cs="Times New Roman" w:eastAsia="Times New Roman" w:hAnsi="Times New Roman"/>
          <w:sz w:val="15"/>
          <w:szCs w:val="15"/>
          <w:color w:val="auto"/>
        </w:rPr>
        <w:t xml:space="preserve"> </w:t>
      </w:r>
      <w:hyperlink r:id="rId107">
        <w:r>
          <w:rPr>
            <w:rFonts w:ascii="Times New Roman" w:cs="Times New Roman" w:eastAsia="Times New Roman" w:hAnsi="Times New Roman"/>
            <w:sz w:val="15"/>
            <w:szCs w:val="15"/>
            <w:u w:val="single" w:color="auto"/>
            <w:color w:val="0000EE"/>
          </w:rPr>
          <w:t>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10, 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13, 2025</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20, 2025</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 our Current Report on Form 8-K/A filed with the Commission on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March 20,</w:t>
        </w:r>
      </w:hyperlink>
      <w:r>
        <w:rPr>
          <w:rFonts w:ascii="Times New Roman" w:cs="Times New Roman" w:eastAsia="Times New Roman" w:hAnsi="Times New Roman"/>
          <w:sz w:val="15"/>
          <w:szCs w:val="15"/>
          <w:color w:val="0000EE"/>
        </w:rPr>
        <w:t xml:space="preserve"> </w:t>
      </w:r>
      <w:hyperlink r:id="rId107">
        <w:r>
          <w:rPr>
            <w:rFonts w:ascii="Times New Roman" w:cs="Times New Roman" w:eastAsia="Times New Roman" w:hAnsi="Times New Roman"/>
            <w:sz w:val="15"/>
            <w:szCs w:val="15"/>
            <w:u w:val="single" w:color="auto"/>
            <w:color w:val="0000EE"/>
          </w:rPr>
          <w:t>2025</w:t>
        </w:r>
        <w:r>
          <w:rPr>
            <w:rFonts w:ascii="Times New Roman" w:cs="Times New Roman" w:eastAsia="Times New Roman" w:hAnsi="Times New Roman"/>
            <w:sz w:val="15"/>
            <w:szCs w:val="15"/>
            <w:color w:val="000000"/>
          </w:rPr>
          <w:t>; and</w:t>
        </w:r>
      </w:hyperlink>
    </w:p>
    <w:p>
      <w:pPr>
        <w:spacing w:after="0" w:line="71" w:lineRule="exact"/>
        <w:rPr>
          <w:rFonts w:ascii="Times New Roman" w:cs="Times New Roman" w:eastAsia="Times New Roman" w:hAnsi="Times New Roman"/>
          <w:sz w:val="15"/>
          <w:szCs w:val="15"/>
          <w:color w:val="0000EE"/>
        </w:rPr>
      </w:pPr>
    </w:p>
    <w:p>
      <w:pPr>
        <w:ind w:left="1920" w:right="39" w:hanging="354"/>
        <w:spacing w:after="0" w:line="273" w:lineRule="auto"/>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securities contained in the Registration Statement on </w:t>
      </w:r>
      <w:hyperlink r:id="rId108">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relating thereto, filed on October 15, 2021, including any amendment or report filed for the purpose of updating such description.</w:t>
      </w:r>
    </w:p>
    <w:p>
      <w:pPr>
        <w:spacing w:after="0" w:line="140" w:lineRule="exact"/>
        <w:rPr>
          <w:rFonts w:ascii="Times New Roman" w:cs="Times New Roman" w:eastAsia="Times New Roman" w:hAnsi="Times New Roman"/>
          <w:sz w:val="15"/>
          <w:szCs w:val="15"/>
          <w:color w:val="0000EE"/>
        </w:rPr>
      </w:pPr>
    </w:p>
    <w:p>
      <w:pPr>
        <w:ind w:left="1480"/>
        <w:spacing w:after="0"/>
        <w:rPr>
          <w:sz w:val="20"/>
          <w:szCs w:val="20"/>
          <w:color w:val="auto"/>
        </w:rPr>
      </w:pPr>
      <w:r>
        <w:rPr>
          <w:rFonts w:ascii="Times New Roman" w:cs="Times New Roman" w:eastAsia="Times New Roman" w:hAnsi="Times New Roman"/>
          <w:sz w:val="15"/>
          <w:szCs w:val="15"/>
          <w:color w:val="auto"/>
        </w:rPr>
        <w:t>You may request a copy of these filings, at no cost, by writing or telephoning us at the following address:</w:t>
      </w:r>
    </w:p>
    <w:p>
      <w:pPr>
        <w:spacing w:after="0" w:line="357" w:lineRule="exact"/>
        <w:rPr>
          <w:rFonts w:ascii="Times New Roman" w:cs="Times New Roman" w:eastAsia="Times New Roman" w:hAnsi="Times New Roman"/>
          <w:sz w:val="15"/>
          <w:szCs w:val="15"/>
          <w:color w:val="0000EE"/>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10000 Avalon Boulevard, Suite 1000</w:t>
      </w:r>
    </w:p>
    <w:p>
      <w:pPr>
        <w:spacing w:after="0" w:line="21" w:lineRule="exact"/>
        <w:rPr>
          <w:rFonts w:ascii="Times New Roman" w:cs="Times New Roman" w:eastAsia="Times New Roman" w:hAnsi="Times New Roman"/>
          <w:sz w:val="15"/>
          <w:szCs w:val="15"/>
          <w:color w:val="0000EE"/>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Alpharetta, Georgia 30009</w:t>
      </w:r>
    </w:p>
    <w:p>
      <w:pPr>
        <w:spacing w:after="0" w:line="5" w:lineRule="exact"/>
        <w:rPr>
          <w:rFonts w:ascii="Times New Roman" w:cs="Times New Roman" w:eastAsia="Times New Roman" w:hAnsi="Times New Roman"/>
          <w:sz w:val="15"/>
          <w:szCs w:val="15"/>
          <w:color w:val="0000EE"/>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(678) 534-5849</w:t>
      </w:r>
    </w:p>
    <w:p>
      <w:pPr>
        <w:spacing w:after="0" w:line="168" w:lineRule="exact"/>
        <w:rPr>
          <w:rFonts w:ascii="Times New Roman" w:cs="Times New Roman" w:eastAsia="Times New Roman" w:hAnsi="Times New Roman"/>
          <w:sz w:val="15"/>
          <w:szCs w:val="15"/>
          <w:color w:val="0000EE"/>
        </w:rPr>
      </w:pPr>
    </w:p>
    <w:p>
      <w:pPr>
        <w:ind w:left="1120" w:right="199" w:firstLine="362"/>
        <w:spacing w:after="0" w:line="273" w:lineRule="auto"/>
        <w:rPr>
          <w:sz w:val="20"/>
          <w:szCs w:val="20"/>
          <w:color w:val="auto"/>
        </w:rPr>
      </w:pPr>
      <w:r>
        <w:rPr>
          <w:rFonts w:ascii="Times New Roman" w:cs="Times New Roman" w:eastAsia="Times New Roman" w:hAnsi="Times New Roman"/>
          <w:sz w:val="15"/>
          <w:szCs w:val="15"/>
          <w:color w:val="auto"/>
        </w:rPr>
        <w:t>Exhibits to the filings will not be sent, however, unless those exhibits have specifically been incorporated by reference in this prospectus or any accompanying prospectus supplement.</w:t>
      </w:r>
    </w:p>
    <w:p>
      <w:pPr>
        <w:spacing w:after="0" w:line="84" w:lineRule="exact"/>
        <w:rPr>
          <w:rFonts w:ascii="Times New Roman" w:cs="Times New Roman" w:eastAsia="Times New Roman" w:hAnsi="Times New Roman"/>
          <w:sz w:val="15"/>
          <w:szCs w:val="15"/>
          <w:color w:val="0000EE"/>
        </w:rPr>
      </w:pPr>
    </w:p>
    <w:p>
      <w:pPr>
        <w:ind w:left="558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159"/>
          </w:cols>
          <w:pgMar w:left="300" w:top="400"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203835</wp:posOffset>
            </wp:positionV>
            <wp:extent cx="574230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5742305" cy="1397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246380</wp:posOffset>
            </wp:positionV>
            <wp:extent cx="574230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5742305" cy="698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534670</wp:posOffset>
            </wp:positionV>
            <wp:extent cx="1189355" cy="3308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1189355" cy="330835"/>
                    </a:xfrm>
                    <a:prstGeom prst="rect">
                      <a:avLst/>
                    </a:prstGeom>
                    <a:noFill/>
                  </pic:spPr>
                </pic:pic>
              </a:graphicData>
            </a:graphic>
          </wp:anchor>
        </w:drawing>
      </w:r>
    </w:p>
    <w:p>
      <w:pPr>
        <w:sectPr>
          <w:pgSz w:w="11900" w:h="16838" w:orient="portrait"/>
          <w:cols w:equalWidth="0" w:num="1">
            <w:col w:w="10159"/>
          </w:cols>
          <w:pgMar w:left="300" w:top="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Bakkt, Inc.</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3,024,799 Shares of Class A Common Stock</w:t>
      </w:r>
    </w:p>
    <w:p>
      <w:pPr>
        <w:spacing w:after="0" w:line="1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Pre-Funded Warrants to Purchase 2,475,201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1381125</wp:posOffset>
            </wp:positionV>
            <wp:extent cx="12033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327660</wp:posOffset>
            </wp:positionV>
            <wp:extent cx="12033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Placement Agent</w:t>
      </w:r>
    </w:p>
    <w:p>
      <w:pPr>
        <w:spacing w:after="0" w:line="8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b w:val="1"/>
          <w:bCs w:val="1"/>
          <w:color w:val="auto"/>
        </w:rPr>
        <w:t>Cohen &amp; Company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339090</wp:posOffset>
            </wp:positionV>
            <wp:extent cx="12033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5"/>
          <w:szCs w:val="15"/>
          <w:b w:val="1"/>
          <w:bCs w:val="1"/>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351155</wp:posOffset>
            </wp:positionV>
            <wp:extent cx="574230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5742305" cy="698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407670</wp:posOffset>
            </wp:positionV>
            <wp:extent cx="574230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5742305" cy="13970"/>
                    </a:xfrm>
                    <a:prstGeom prst="rect">
                      <a:avLst/>
                    </a:prstGeom>
                    <a:noFill/>
                  </pic:spPr>
                </pic:pic>
              </a:graphicData>
            </a:graphic>
          </wp:anchor>
        </w:drawing>
      </w:r>
    </w:p>
    <w:p>
      <w:pPr>
        <w:sectPr>
          <w:pgSz w:w="11900" w:h="16838" w:orient="portrait"/>
          <w:cols w:equalWidth="0" w:num="1">
            <w:col w:w="10159"/>
          </w:cols>
          <w:pgMar w:left="300" w:top="400" w:right="1440" w:bottom="1440" w:gutter="0" w:footer="0" w:header="0"/>
          <w:type w:val="continuous"/>
        </w:sectPr>
      </w:pPr>
    </w:p>
    <w:bookmarkStart w:id="56" w:name="page57"/>
    <w:bookmarkEnd w:id="56"/>
    <w:p>
      <w:pPr>
        <w:ind w:left="3380"/>
        <w:spacing w:after="0"/>
        <w:rPr>
          <w:sz w:val="20"/>
          <w:szCs w:val="20"/>
          <w:color w:val="auto"/>
        </w:rPr>
      </w:pPr>
      <w:r>
        <w:rPr>
          <w:rFonts w:ascii="Arial" w:cs="Arial" w:eastAsia="Arial" w:hAnsi="Arial"/>
          <w:sz w:val="30"/>
          <w:szCs w:val="30"/>
          <w:b w:val="1"/>
          <w:bCs w:val="1"/>
          <w:color w:val="auto"/>
        </w:rPr>
        <w:t>Calculation of Filing Fee Tables</w:t>
      </w:r>
    </w:p>
    <w:p>
      <w:pPr>
        <w:spacing w:after="0" w:line="176" w:lineRule="exact"/>
        <w:rPr>
          <w:sz w:val="20"/>
          <w:szCs w:val="20"/>
          <w:color w:val="auto"/>
        </w:rPr>
      </w:pPr>
    </w:p>
    <w:p>
      <w:pPr>
        <w:ind w:left="5340"/>
        <w:spacing w:after="0"/>
        <w:rPr>
          <w:sz w:val="20"/>
          <w:szCs w:val="20"/>
          <w:color w:val="auto"/>
        </w:rPr>
      </w:pPr>
      <w:r>
        <w:rPr>
          <w:rFonts w:ascii="Arial" w:cs="Arial" w:eastAsia="Arial" w:hAnsi="Arial"/>
          <w:sz w:val="30"/>
          <w:szCs w:val="30"/>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30"/>
          <w:szCs w:val="30"/>
          <w:b w:val="1"/>
          <w:bCs w:val="1"/>
          <w:color w:val="auto"/>
        </w:rPr>
        <w:t>Bakkt, Inc.</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9"/>
          </w:tcPr>
          <w:p>
            <w:pPr>
              <w:spacing w:after="0"/>
              <w:rPr>
                <w:sz w:val="20"/>
                <w:szCs w:val="20"/>
                <w:color w:val="auto"/>
              </w:rPr>
            </w:pPr>
            <w:r>
              <w:rPr>
                <w:rFonts w:ascii="Arial" w:cs="Arial" w:eastAsia="Arial" w:hAnsi="Arial"/>
                <w:sz w:val="18"/>
                <w:szCs w:val="18"/>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Filing Fee</w:t>
            </w: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Previously</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720" w:type="dxa"/>
            <w:vAlign w:val="bottom"/>
            <w:gridSpan w:val="3"/>
            <w:vMerge w:val="restart"/>
            <w:shd w:val="clear" w:color="auto" w:fill="9ADAF6"/>
          </w:tcPr>
          <w:p>
            <w:pPr>
              <w:jc w:val="center"/>
              <w:ind w:right="173"/>
              <w:spacing w:after="0"/>
              <w:rPr>
                <w:sz w:val="20"/>
                <w:szCs w:val="20"/>
                <w:color w:val="auto"/>
              </w:rPr>
            </w:pPr>
            <w:r>
              <w:rPr>
                <w:rFonts w:ascii="Arial" w:cs="Arial" w:eastAsia="Arial" w:hAnsi="Arial"/>
                <w:sz w:val="18"/>
                <w:szCs w:val="18"/>
                <w:b w:val="1"/>
                <w:bCs w:val="1"/>
                <w:color w:val="auto"/>
                <w:w w:val="96"/>
              </w:rPr>
              <w:t>Fee</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5"/>
            <w:vMerge w:val="restart"/>
            <w:shd w:val="clear" w:color="auto" w:fill="9ADAF6"/>
          </w:tcPr>
          <w:p>
            <w:pPr>
              <w:ind w:left="20"/>
              <w:spacing w:after="0"/>
              <w:rPr>
                <w:sz w:val="20"/>
                <w:szCs w:val="20"/>
                <w:color w:val="auto"/>
              </w:rPr>
            </w:pPr>
            <w:r>
              <w:rPr>
                <w:rFonts w:ascii="Arial" w:cs="Arial" w:eastAsia="Arial" w:hAnsi="Arial"/>
                <w:sz w:val="18"/>
                <w:szCs w:val="18"/>
                <w:b w:val="1"/>
                <w:bCs w:val="1"/>
                <w:color w:val="auto"/>
                <w:w w:val="98"/>
              </w:rPr>
              <w:t>Proposed</w:t>
            </w: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Carry</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820" w:type="dxa"/>
            <w:vAlign w:val="bottom"/>
            <w:tcBorders>
              <w:right w:val="single" w:sz="8" w:color="auto"/>
            </w:tcBorders>
            <w:gridSpan w:val="4"/>
            <w:shd w:val="clear" w:color="auto" w:fill="9ADAF6"/>
          </w:tcPr>
          <w:p>
            <w:pPr>
              <w:jc w:val="center"/>
              <w:ind w:right="240"/>
              <w:spacing w:after="0" w:line="200" w:lineRule="exact"/>
              <w:rPr>
                <w:sz w:val="20"/>
                <w:szCs w:val="20"/>
                <w:color w:val="auto"/>
              </w:rPr>
            </w:pPr>
            <w:r>
              <w:rPr>
                <w:rFonts w:ascii="Arial" w:cs="Arial" w:eastAsia="Arial" w:hAnsi="Arial"/>
                <w:sz w:val="18"/>
                <w:szCs w:val="18"/>
                <w:b w:val="1"/>
                <w:bCs w:val="1"/>
                <w:color w:val="auto"/>
                <w:w w:val="98"/>
              </w:rPr>
              <w:t>Paid in</w:t>
            </w: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20" w:type="dxa"/>
            <w:vAlign w:val="bottom"/>
            <w:gridSpan w:val="3"/>
            <w:vMerge w:val="continue"/>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6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5"/>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5"/>
            <w:shd w:val="clear" w:color="auto" w:fill="9ADAF6"/>
          </w:tcPr>
          <w:p>
            <w:pPr>
              <w:jc w:val="right"/>
              <w:ind w:right="40"/>
              <w:spacing w:after="0" w:line="178" w:lineRule="exact"/>
              <w:rPr>
                <w:sz w:val="20"/>
                <w:szCs w:val="20"/>
                <w:color w:val="auto"/>
              </w:rPr>
            </w:pPr>
            <w:r>
              <w:rPr>
                <w:rFonts w:ascii="Arial" w:cs="Arial" w:eastAsia="Arial" w:hAnsi="Arial"/>
                <w:sz w:val="18"/>
                <w:szCs w:val="18"/>
                <w:b w:val="1"/>
                <w:bCs w:val="1"/>
                <w:color w:val="auto"/>
              </w:rPr>
              <w:t>Maximum</w:t>
            </w:r>
          </w:p>
        </w:tc>
        <w:tc>
          <w:tcPr>
            <w:tcW w:w="80" w:type="dxa"/>
            <w:vAlign w:val="bottom"/>
            <w:tcBorders>
              <w:left w:val="single" w:sz="8" w:color="9ADAF6"/>
            </w:tcBorders>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gridSpan w:val="3"/>
            <w:shd w:val="clear" w:color="auto" w:fill="9ADAF6"/>
          </w:tcPr>
          <w:p>
            <w:pPr>
              <w:jc w:val="center"/>
              <w:ind w:left="51"/>
              <w:spacing w:after="0" w:line="178" w:lineRule="exact"/>
              <w:rPr>
                <w:sz w:val="20"/>
                <w:szCs w:val="20"/>
                <w:color w:val="auto"/>
              </w:rPr>
            </w:pPr>
            <w:r>
              <w:rPr>
                <w:rFonts w:ascii="Arial" w:cs="Arial" w:eastAsia="Arial" w:hAnsi="Arial"/>
                <w:sz w:val="18"/>
                <w:szCs w:val="18"/>
                <w:b w:val="1"/>
                <w:bCs w:val="1"/>
                <w:color w:val="auto"/>
                <w:w w:val="97"/>
              </w:rPr>
              <w:t>Carry</w:t>
            </w: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7"/>
              </w:rPr>
              <w:t>Carry</w:t>
            </w:r>
          </w:p>
        </w:tc>
        <w:tc>
          <w:tcPr>
            <w:tcW w:w="4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right w:val="single" w:sz="8" w:color="auto"/>
            </w:tcBorders>
            <w:gridSpan w:val="5"/>
            <w:shd w:val="clear" w:color="auto" w:fill="9ADAF6"/>
          </w:tcPr>
          <w:p>
            <w:pPr>
              <w:jc w:val="center"/>
              <w:ind w:right="40"/>
              <w:spacing w:after="0" w:line="178" w:lineRule="exact"/>
              <w:rPr>
                <w:sz w:val="20"/>
                <w:szCs w:val="20"/>
                <w:color w:val="auto"/>
              </w:rPr>
            </w:pPr>
            <w:r>
              <w:rPr>
                <w:rFonts w:ascii="Arial" w:cs="Arial" w:eastAsia="Arial" w:hAnsi="Arial"/>
                <w:sz w:val="18"/>
                <w:szCs w:val="18"/>
                <w:b w:val="1"/>
                <w:bCs w:val="1"/>
                <w:color w:val="auto"/>
                <w:w w:val="98"/>
              </w:rPr>
              <w:t>Connection</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shd w:val="clear" w:color="auto" w:fill="9ADAF6"/>
          </w:tcPr>
          <w:p>
            <w:pPr>
              <w:ind w:left="20"/>
              <w:spacing w:after="0" w:line="200" w:lineRule="exact"/>
              <w:rPr>
                <w:sz w:val="20"/>
                <w:szCs w:val="20"/>
                <w:color w:val="auto"/>
              </w:rPr>
            </w:pPr>
            <w:r>
              <w:rPr>
                <w:rFonts w:ascii="Arial" w:cs="Arial" w:eastAsia="Arial" w:hAnsi="Arial"/>
                <w:sz w:val="18"/>
                <w:szCs w:val="18"/>
                <w:b w:val="1"/>
                <w:bCs w:val="1"/>
                <w:color w:val="auto"/>
                <w:w w:val="98"/>
              </w:rPr>
              <w:t>Security</w:t>
            </w:r>
          </w:p>
        </w:tc>
        <w:tc>
          <w:tcPr>
            <w:tcW w:w="80" w:type="dxa"/>
            <w:vAlign w:val="bottom"/>
            <w:tcBorders>
              <w:right w:val="single" w:sz="8" w:color="9ADAF6"/>
            </w:tcBorders>
          </w:tcPr>
          <w:p>
            <w:pPr>
              <w:spacing w:after="0"/>
              <w:rPr>
                <w:sz w:val="17"/>
                <w:szCs w:val="17"/>
                <w:color w:val="auto"/>
              </w:rPr>
            </w:pPr>
          </w:p>
        </w:tc>
        <w:tc>
          <w:tcPr>
            <w:tcW w:w="680" w:type="dxa"/>
            <w:vAlign w:val="bottom"/>
            <w:gridSpan w:val="2"/>
            <w:shd w:val="clear" w:color="auto" w:fill="9ADAF6"/>
          </w:tcPr>
          <w:p>
            <w:pPr>
              <w:spacing w:after="0" w:line="200" w:lineRule="exact"/>
              <w:rPr>
                <w:sz w:val="20"/>
                <w:szCs w:val="20"/>
                <w:color w:val="auto"/>
              </w:rPr>
            </w:pPr>
            <w:r>
              <w:rPr>
                <w:rFonts w:ascii="Arial" w:cs="Arial" w:eastAsia="Arial" w:hAnsi="Arial"/>
                <w:sz w:val="18"/>
                <w:szCs w:val="18"/>
                <w:b w:val="1"/>
                <w:bCs w:val="1"/>
                <w:color w:val="auto"/>
                <w:w w:val="92"/>
              </w:rPr>
              <w:t>Security</w:t>
            </w:r>
          </w:p>
        </w:tc>
        <w:tc>
          <w:tcPr>
            <w:tcW w:w="20" w:type="dxa"/>
            <w:vAlign w:val="bottom"/>
          </w:tcPr>
          <w:p>
            <w:pPr>
              <w:spacing w:after="0"/>
              <w:rPr>
                <w:sz w:val="17"/>
                <w:szCs w:val="17"/>
                <w:color w:val="auto"/>
              </w:rPr>
            </w:pPr>
          </w:p>
        </w:tc>
        <w:tc>
          <w:tcPr>
            <w:tcW w:w="980" w:type="dxa"/>
            <w:vAlign w:val="bottom"/>
            <w:gridSpan w:val="5"/>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Calculation</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900" w:type="dxa"/>
            <w:vAlign w:val="bottom"/>
            <w:gridSpan w:val="3"/>
            <w:shd w:val="clear" w:color="auto" w:fill="9ADAF6"/>
          </w:tcPr>
          <w:p>
            <w:pPr>
              <w:jc w:val="right"/>
              <w:ind w:right="31"/>
              <w:spacing w:after="0" w:line="200" w:lineRule="exact"/>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7"/>
                <w:szCs w:val="17"/>
                <w:color w:val="auto"/>
              </w:rPr>
            </w:pPr>
          </w:p>
        </w:tc>
        <w:tc>
          <w:tcPr>
            <w:tcW w:w="860" w:type="dxa"/>
            <w:vAlign w:val="bottom"/>
            <w:gridSpan w:val="5"/>
            <w:shd w:val="clear" w:color="auto" w:fill="9ADAF6"/>
          </w:tcPr>
          <w:p>
            <w:pPr>
              <w:ind w:left="20"/>
              <w:spacing w:after="0" w:line="200" w:lineRule="exact"/>
              <w:rPr>
                <w:sz w:val="20"/>
                <w:szCs w:val="20"/>
                <w:color w:val="auto"/>
              </w:rPr>
            </w:pPr>
            <w:r>
              <w:rPr>
                <w:rFonts w:ascii="Arial" w:cs="Arial" w:eastAsia="Arial" w:hAnsi="Arial"/>
                <w:sz w:val="18"/>
                <w:szCs w:val="18"/>
                <w:b w:val="1"/>
                <w:bCs w:val="1"/>
                <w:color w:val="auto"/>
                <w:w w:val="98"/>
              </w:rPr>
              <w:t>Maximum</w:t>
            </w:r>
          </w:p>
        </w:tc>
        <w:tc>
          <w:tcPr>
            <w:tcW w:w="20" w:type="dxa"/>
            <w:vAlign w:val="bottom"/>
          </w:tcPr>
          <w:p>
            <w:pPr>
              <w:spacing w:after="0"/>
              <w:rPr>
                <w:sz w:val="17"/>
                <w:szCs w:val="17"/>
                <w:color w:val="auto"/>
              </w:rPr>
            </w:pPr>
          </w:p>
        </w:tc>
        <w:tc>
          <w:tcPr>
            <w:tcW w:w="900" w:type="dxa"/>
            <w:vAlign w:val="bottom"/>
            <w:gridSpan w:val="5"/>
            <w:shd w:val="clear" w:color="auto" w:fill="9ADAF6"/>
          </w:tcPr>
          <w:p>
            <w:pPr>
              <w:jc w:val="right"/>
              <w:ind w:right="20"/>
              <w:spacing w:after="0" w:line="200" w:lineRule="exact"/>
              <w:rPr>
                <w:sz w:val="20"/>
                <w:szCs w:val="20"/>
                <w:color w:val="auto"/>
              </w:rPr>
            </w:pPr>
            <w:r>
              <w:rPr>
                <w:rFonts w:ascii="Arial" w:cs="Arial" w:eastAsia="Arial" w:hAnsi="Arial"/>
                <w:sz w:val="18"/>
                <w:szCs w:val="18"/>
                <w:b w:val="1"/>
                <w:bCs w:val="1"/>
                <w:color w:val="auto"/>
                <w:w w:val="96"/>
              </w:rPr>
              <w:t>Aggregate</w:t>
            </w:r>
          </w:p>
        </w:tc>
        <w:tc>
          <w:tcPr>
            <w:tcW w:w="440" w:type="dxa"/>
            <w:vAlign w:val="bottom"/>
            <w:tcBorders>
              <w:left w:val="single" w:sz="8" w:color="9ADAF6"/>
            </w:tcBorders>
            <w:gridSpan w:val="2"/>
            <w:shd w:val="clear" w:color="auto" w:fill="9ADAF6"/>
          </w:tcPr>
          <w:p>
            <w:pPr>
              <w:ind w:left="80"/>
              <w:spacing w:after="0" w:line="200"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10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Amount of</w:t>
            </w:r>
          </w:p>
        </w:tc>
        <w:tc>
          <w:tcPr>
            <w:tcW w:w="20" w:type="dxa"/>
            <w:vAlign w:val="bottom"/>
          </w:tcPr>
          <w:p>
            <w:pPr>
              <w:spacing w:after="0"/>
              <w:rPr>
                <w:sz w:val="17"/>
                <w:szCs w:val="17"/>
                <w:color w:val="auto"/>
              </w:rPr>
            </w:pPr>
          </w:p>
        </w:tc>
        <w:tc>
          <w:tcPr>
            <w:tcW w:w="74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780" w:type="dxa"/>
            <w:vAlign w:val="bottom"/>
            <w:tcBorders>
              <w:right w:val="single" w:sz="8" w:color="auto"/>
            </w:tcBorders>
            <w:gridSpan w:val="3"/>
            <w:shd w:val="clear" w:color="auto" w:fill="9ADAF6"/>
          </w:tcPr>
          <w:p>
            <w:pPr>
              <w:jc w:val="center"/>
              <w:ind w:right="260"/>
              <w:spacing w:after="0" w:line="200" w:lineRule="exact"/>
              <w:rPr>
                <w:sz w:val="20"/>
                <w:szCs w:val="20"/>
                <w:color w:val="auto"/>
              </w:rPr>
            </w:pPr>
            <w:r>
              <w:rPr>
                <w:rFonts w:ascii="Arial" w:cs="Arial" w:eastAsia="Arial" w:hAnsi="Arial"/>
                <w:sz w:val="18"/>
                <w:szCs w:val="18"/>
                <w:b w:val="1"/>
                <w:bCs w:val="1"/>
                <w:color w:val="auto"/>
                <w:w w:val="99"/>
              </w:rPr>
              <w:t>with</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shd w:val="clear" w:color="auto" w:fill="9ADAF6"/>
          </w:tcPr>
          <w:p>
            <w:pPr>
              <w:ind w:left="180"/>
              <w:spacing w:after="0" w:line="200" w:lineRule="exact"/>
              <w:rPr>
                <w:sz w:val="20"/>
                <w:szCs w:val="20"/>
                <w:color w:val="auto"/>
              </w:rPr>
            </w:pPr>
            <w:r>
              <w:rPr>
                <w:rFonts w:ascii="Arial" w:cs="Arial" w:eastAsia="Arial" w:hAnsi="Arial"/>
                <w:sz w:val="18"/>
                <w:szCs w:val="18"/>
                <w:b w:val="1"/>
                <w:bCs w:val="1"/>
                <w:color w:val="auto"/>
              </w:rPr>
              <w:t>Type</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Class</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40" w:type="dxa"/>
            <w:vAlign w:val="bottom"/>
            <w:gridSpan w:val="4"/>
            <w:shd w:val="clear" w:color="auto" w:fill="9ADAF6"/>
          </w:tcPr>
          <w:p>
            <w:pPr>
              <w:jc w:val="center"/>
              <w:ind w:right="53"/>
              <w:spacing w:after="0" w:line="200" w:lineRule="exact"/>
              <w:rPr>
                <w:sz w:val="20"/>
                <w:szCs w:val="20"/>
                <w:color w:val="auto"/>
              </w:rPr>
            </w:pPr>
            <w:r>
              <w:rPr>
                <w:rFonts w:ascii="Arial" w:cs="Arial" w:eastAsia="Arial" w:hAnsi="Arial"/>
                <w:sz w:val="18"/>
                <w:szCs w:val="18"/>
                <w:b w:val="1"/>
                <w:bCs w:val="1"/>
                <w:color w:val="auto"/>
                <w:w w:val="99"/>
              </w:rPr>
              <w:t>or Carry</w:t>
            </w:r>
          </w:p>
        </w:tc>
        <w:tc>
          <w:tcPr>
            <w:tcW w:w="40" w:type="dxa"/>
            <w:vAlign w:val="bottom"/>
            <w:tcBorders>
              <w:right w:val="single" w:sz="8" w:color="9ADAF6"/>
            </w:tcBorders>
          </w:tcPr>
          <w:p>
            <w:pPr>
              <w:spacing w:after="0"/>
              <w:rPr>
                <w:sz w:val="17"/>
                <w:szCs w:val="17"/>
                <w:color w:val="auto"/>
              </w:rPr>
            </w:pPr>
          </w:p>
        </w:tc>
        <w:tc>
          <w:tcPr>
            <w:tcW w:w="920" w:type="dxa"/>
            <w:vAlign w:val="bottom"/>
            <w:gridSpan w:val="4"/>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6"/>
              </w:rPr>
              <w:t>Registered</w:t>
            </w:r>
          </w:p>
        </w:tc>
        <w:tc>
          <w:tcPr>
            <w:tcW w:w="20" w:type="dxa"/>
            <w:vAlign w:val="bottom"/>
          </w:tcPr>
          <w:p>
            <w:pPr>
              <w:spacing w:after="0"/>
              <w:rPr>
                <w:sz w:val="17"/>
                <w:szCs w:val="17"/>
                <w:color w:val="auto"/>
              </w:rPr>
            </w:pPr>
          </w:p>
        </w:tc>
        <w:tc>
          <w:tcPr>
            <w:tcW w:w="860" w:type="dxa"/>
            <w:vAlign w:val="bottom"/>
            <w:gridSpan w:val="5"/>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w:t>
            </w:r>
          </w:p>
        </w:tc>
        <w:tc>
          <w:tcPr>
            <w:tcW w:w="20" w:type="dxa"/>
            <w:vAlign w:val="bottom"/>
          </w:tcPr>
          <w:p>
            <w:pPr>
              <w:spacing w:after="0"/>
              <w:rPr>
                <w:sz w:val="17"/>
                <w:szCs w:val="17"/>
                <w:color w:val="auto"/>
              </w:rPr>
            </w:pPr>
          </w:p>
        </w:tc>
        <w:tc>
          <w:tcPr>
            <w:tcW w:w="900" w:type="dxa"/>
            <w:vAlign w:val="bottom"/>
            <w:gridSpan w:val="5"/>
            <w:shd w:val="clear" w:color="auto" w:fill="9ADAF6"/>
          </w:tcPr>
          <w:p>
            <w:pPr>
              <w:jc w:val="right"/>
              <w:ind w:right="100"/>
              <w:spacing w:after="0" w:line="200" w:lineRule="exact"/>
              <w:rPr>
                <w:sz w:val="20"/>
                <w:szCs w:val="20"/>
                <w:color w:val="auto"/>
              </w:rPr>
            </w:pPr>
            <w:r>
              <w:rPr>
                <w:rFonts w:ascii="Arial" w:cs="Arial" w:eastAsia="Arial" w:hAnsi="Arial"/>
                <w:sz w:val="18"/>
                <w:szCs w:val="18"/>
                <w:b w:val="1"/>
                <w:bCs w:val="1"/>
                <w:color w:val="auto"/>
              </w:rPr>
              <w:t>Offering</w:t>
            </w:r>
          </w:p>
        </w:tc>
        <w:tc>
          <w:tcPr>
            <w:tcW w:w="440" w:type="dxa"/>
            <w:vAlign w:val="bottom"/>
            <w:tcBorders>
              <w:left w:val="single" w:sz="8" w:color="9ADAF6"/>
            </w:tcBorders>
            <w:gridSpan w:val="2"/>
            <w:shd w:val="clear" w:color="auto" w:fill="9ADAF6"/>
          </w:tcPr>
          <w:p>
            <w:pPr>
              <w:ind w:left="40"/>
              <w:spacing w:after="0" w:line="200" w:lineRule="exact"/>
              <w:rPr>
                <w:sz w:val="20"/>
                <w:szCs w:val="20"/>
                <w:color w:val="auto"/>
              </w:rPr>
            </w:pPr>
            <w:r>
              <w:rPr>
                <w:rFonts w:ascii="Arial" w:cs="Arial" w:eastAsia="Arial" w:hAnsi="Arial"/>
                <w:sz w:val="18"/>
                <w:szCs w:val="18"/>
                <w:b w:val="1"/>
                <w:bCs w:val="1"/>
                <w:color w:val="auto"/>
                <w:w w:val="97"/>
              </w:rPr>
              <w:t>Rate</w:t>
            </w:r>
          </w:p>
        </w:tc>
        <w:tc>
          <w:tcPr>
            <w:tcW w:w="20" w:type="dxa"/>
            <w:vAlign w:val="bottom"/>
          </w:tcPr>
          <w:p>
            <w:pPr>
              <w:spacing w:after="0"/>
              <w:rPr>
                <w:sz w:val="17"/>
                <w:szCs w:val="17"/>
                <w:color w:val="auto"/>
              </w:rPr>
            </w:pPr>
          </w:p>
        </w:tc>
        <w:tc>
          <w:tcPr>
            <w:tcW w:w="1060" w:type="dxa"/>
            <w:vAlign w:val="bottom"/>
            <w:gridSpan w:val="4"/>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7"/>
              </w:rPr>
              <w:t>Registration</w:t>
            </w:r>
          </w:p>
        </w:tc>
        <w:tc>
          <w:tcPr>
            <w:tcW w:w="20" w:type="dxa"/>
            <w:vAlign w:val="bottom"/>
          </w:tcPr>
          <w:p>
            <w:pPr>
              <w:spacing w:after="0"/>
              <w:rPr>
                <w:sz w:val="17"/>
                <w:szCs w:val="17"/>
                <w:color w:val="auto"/>
              </w:rPr>
            </w:pPr>
          </w:p>
        </w:tc>
        <w:tc>
          <w:tcPr>
            <w:tcW w:w="600" w:type="dxa"/>
            <w:vAlign w:val="bottom"/>
            <w:tcBorders>
              <w:right w:val="single" w:sz="8" w:color="9ADAF6"/>
            </w:tcBorders>
            <w:gridSpan w:val="3"/>
            <w:shd w:val="clear" w:color="auto" w:fill="9ADAF6"/>
          </w:tcPr>
          <w:p>
            <w:pPr>
              <w:jc w:val="center"/>
              <w:ind w:left="51"/>
              <w:spacing w:after="0" w:line="200" w:lineRule="exact"/>
              <w:rPr>
                <w:sz w:val="20"/>
                <w:szCs w:val="20"/>
                <w:color w:val="auto"/>
              </w:rPr>
            </w:pPr>
            <w:r>
              <w:rPr>
                <w:rFonts w:ascii="Arial" w:cs="Arial" w:eastAsia="Arial" w:hAnsi="Arial"/>
                <w:sz w:val="18"/>
                <w:szCs w:val="18"/>
                <w:b w:val="1"/>
                <w:bCs w:val="1"/>
                <w:color w:val="auto"/>
              </w:rPr>
              <w:t>Form</w:t>
            </w: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File</w:t>
            </w: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Initial</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820" w:type="dxa"/>
            <w:vAlign w:val="bottom"/>
            <w:tcBorders>
              <w:right w:val="single" w:sz="8" w:color="auto"/>
            </w:tcBorders>
            <w:gridSpan w:val="4"/>
            <w:shd w:val="clear" w:color="auto" w:fill="9ADAF6"/>
          </w:tcPr>
          <w:p>
            <w:pPr>
              <w:jc w:val="center"/>
              <w:ind w:right="220"/>
              <w:spacing w:after="0" w:line="200" w:lineRule="exact"/>
              <w:rPr>
                <w:sz w:val="20"/>
                <w:szCs w:val="20"/>
                <w:color w:val="auto"/>
              </w:rPr>
            </w:pPr>
            <w:r>
              <w:rPr>
                <w:rFonts w:ascii="Arial" w:cs="Arial" w:eastAsia="Arial" w:hAnsi="Arial"/>
                <w:sz w:val="18"/>
                <w:szCs w:val="18"/>
                <w:b w:val="1"/>
                <w:bCs w:val="1"/>
                <w:color w:val="auto"/>
                <w:w w:val="98"/>
              </w:rPr>
              <w:t>Unsold</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40" w:type="dxa"/>
            <w:vAlign w:val="bottom"/>
            <w:gridSpan w:val="4"/>
            <w:shd w:val="clear" w:color="auto" w:fill="9ADAF6"/>
          </w:tcPr>
          <w:p>
            <w:pPr>
              <w:jc w:val="center"/>
              <w:ind w:right="53"/>
              <w:spacing w:after="0" w:line="200" w:lineRule="exact"/>
              <w:rPr>
                <w:sz w:val="20"/>
                <w:szCs w:val="20"/>
                <w:color w:val="auto"/>
              </w:rPr>
            </w:pPr>
            <w:r>
              <w:rPr>
                <w:rFonts w:ascii="Arial" w:cs="Arial" w:eastAsia="Arial" w:hAnsi="Arial"/>
                <w:sz w:val="18"/>
                <w:szCs w:val="18"/>
                <w:b w:val="1"/>
                <w:bCs w:val="1"/>
                <w:color w:val="auto"/>
                <w:w w:val="98"/>
              </w:rPr>
              <w:t>Forward</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5"/>
            <w:shd w:val="clear" w:color="auto" w:fill="9ADAF6"/>
          </w:tcPr>
          <w:p>
            <w:pPr>
              <w:ind w:left="40"/>
              <w:spacing w:after="0" w:line="200" w:lineRule="exact"/>
              <w:rPr>
                <w:sz w:val="20"/>
                <w:szCs w:val="20"/>
                <w:color w:val="auto"/>
              </w:rPr>
            </w:pPr>
            <w:r>
              <w:rPr>
                <w:rFonts w:ascii="Arial" w:cs="Arial" w:eastAsia="Arial" w:hAnsi="Arial"/>
                <w:sz w:val="18"/>
                <w:szCs w:val="18"/>
                <w:b w:val="1"/>
                <w:bCs w:val="1"/>
                <w:color w:val="auto"/>
              </w:rPr>
              <w:t>Price Per</w:t>
            </w: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80" w:type="dxa"/>
            <w:vAlign w:val="bottom"/>
            <w:gridSpan w:val="4"/>
            <w:shd w:val="clear" w:color="auto" w:fill="9ADAF6"/>
          </w:tcPr>
          <w:p>
            <w:pPr>
              <w:jc w:val="right"/>
              <w:ind w:right="240"/>
              <w:spacing w:after="0" w:line="200" w:lineRule="exact"/>
              <w:rPr>
                <w:sz w:val="20"/>
                <w:szCs w:val="20"/>
                <w:color w:val="auto"/>
              </w:rPr>
            </w:pPr>
            <w:r>
              <w:rPr>
                <w:rFonts w:ascii="Arial" w:cs="Arial" w:eastAsia="Arial" w:hAnsi="Arial"/>
                <w:sz w:val="18"/>
                <w:szCs w:val="18"/>
                <w:b w:val="1"/>
                <w:bCs w:val="1"/>
                <w:color w:val="auto"/>
                <w:w w:val="95"/>
              </w:rPr>
              <w:t>Price</w:t>
            </w:r>
          </w:p>
        </w:tc>
        <w:tc>
          <w:tcPr>
            <w:tcW w:w="80" w:type="dxa"/>
            <w:vAlign w:val="bottom"/>
            <w:tcBorders>
              <w:left w:val="single" w:sz="8" w:color="9ADAF6"/>
            </w:tcBorders>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600" w:type="dxa"/>
            <w:vAlign w:val="bottom"/>
            <w:tcBorders>
              <w:right w:val="single" w:sz="8" w:color="9ADAF6"/>
            </w:tcBorders>
            <w:gridSpan w:val="3"/>
            <w:shd w:val="clear" w:color="auto" w:fill="9ADAF6"/>
          </w:tcPr>
          <w:p>
            <w:pPr>
              <w:jc w:val="center"/>
              <w:ind w:left="31"/>
              <w:spacing w:after="0" w:line="200" w:lineRule="exact"/>
              <w:rPr>
                <w:sz w:val="20"/>
                <w:szCs w:val="20"/>
                <w:color w:val="auto"/>
              </w:rPr>
            </w:pPr>
            <w:r>
              <w:rPr>
                <w:rFonts w:ascii="Arial" w:cs="Arial" w:eastAsia="Arial" w:hAnsi="Arial"/>
                <w:sz w:val="18"/>
                <w:szCs w:val="18"/>
                <w:b w:val="1"/>
                <w:bCs w:val="1"/>
                <w:color w:val="auto"/>
                <w:w w:val="95"/>
              </w:rPr>
              <w:t>Type</w:t>
            </w: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Number</w:t>
            </w:r>
          </w:p>
        </w:tc>
        <w:tc>
          <w:tcPr>
            <w:tcW w:w="40" w:type="dxa"/>
            <w:vAlign w:val="bottom"/>
          </w:tcPr>
          <w:p>
            <w:pPr>
              <w:spacing w:after="0"/>
              <w:rPr>
                <w:sz w:val="17"/>
                <w:szCs w:val="17"/>
                <w:color w:val="auto"/>
              </w:rPr>
            </w:pPr>
          </w:p>
        </w:tc>
        <w:tc>
          <w:tcPr>
            <w:tcW w:w="760" w:type="dxa"/>
            <w:vAlign w:val="bottom"/>
            <w:gridSpan w:val="2"/>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Effective</w:t>
            </w:r>
          </w:p>
        </w:tc>
        <w:tc>
          <w:tcPr>
            <w:tcW w:w="20" w:type="dxa"/>
            <w:vAlign w:val="bottom"/>
          </w:tcPr>
          <w:p>
            <w:pPr>
              <w:spacing w:after="0"/>
              <w:rPr>
                <w:sz w:val="17"/>
                <w:szCs w:val="17"/>
                <w:color w:val="auto"/>
              </w:rPr>
            </w:pPr>
          </w:p>
        </w:tc>
        <w:tc>
          <w:tcPr>
            <w:tcW w:w="1020" w:type="dxa"/>
            <w:vAlign w:val="bottom"/>
            <w:tcBorders>
              <w:right w:val="single" w:sz="8" w:color="auto"/>
            </w:tcBorders>
            <w:gridSpan w:val="5"/>
            <w:shd w:val="clear" w:color="auto" w:fill="9ADAF6"/>
          </w:tcPr>
          <w:p>
            <w:pPr>
              <w:jc w:val="center"/>
              <w:ind w:right="20"/>
              <w:spacing w:after="0" w:line="200" w:lineRule="exact"/>
              <w:rPr>
                <w:sz w:val="20"/>
                <w:szCs w:val="20"/>
                <w:color w:val="auto"/>
              </w:rPr>
            </w:pPr>
            <w:r>
              <w:rPr>
                <w:rFonts w:ascii="Arial" w:cs="Arial" w:eastAsia="Arial" w:hAnsi="Arial"/>
                <w:sz w:val="18"/>
                <w:szCs w:val="18"/>
                <w:b w:val="1"/>
                <w:bCs w:val="1"/>
                <w:color w:val="auto"/>
                <w:w w:val="97"/>
              </w:rPr>
              <w:t>Securities</w:t>
            </w: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r>
              <w:rPr>
                <w:rFonts w:ascii="Arial" w:cs="Arial" w:eastAsia="Arial" w:hAnsi="Arial"/>
                <w:sz w:val="18"/>
                <w:szCs w:val="18"/>
                <w:b w:val="1"/>
                <w:bCs w:val="1"/>
                <w:color w:val="auto"/>
              </w:rPr>
              <w:t>Rule</w:t>
            </w: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1940" w:type="dxa"/>
            <w:vAlign w:val="bottom"/>
            <w:gridSpan w:val="14"/>
            <w:shd w:val="clear" w:color="auto" w:fill="9ADAF6"/>
          </w:tcPr>
          <w:p>
            <w:pPr>
              <w:spacing w:after="0"/>
              <w:rPr>
                <w:sz w:val="20"/>
                <w:szCs w:val="20"/>
                <w:color w:val="auto"/>
              </w:rPr>
            </w:pPr>
            <w:r>
              <w:rPr>
                <w:rFonts w:ascii="Arial" w:cs="Arial" w:eastAsia="Arial" w:hAnsi="Arial"/>
                <w:sz w:val="18"/>
                <w:szCs w:val="18"/>
                <w:b w:val="1"/>
                <w:bCs w:val="1"/>
                <w:color w:val="auto"/>
              </w:rPr>
              <w:t>Unit</w:t>
            </w: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1940" w:type="dxa"/>
            <w:vAlign w:val="bottom"/>
            <w:gridSpan w:val="11"/>
            <w:shd w:val="clear" w:color="auto" w:fill="9ADAF6"/>
          </w:tcPr>
          <w:p>
            <w:pPr>
              <w:spacing w:after="0"/>
              <w:rPr>
                <w:sz w:val="20"/>
                <w:szCs w:val="20"/>
                <w:color w:val="auto"/>
              </w:rPr>
            </w:pPr>
            <w:r>
              <w:rPr>
                <w:rFonts w:ascii="Arial" w:cs="Arial" w:eastAsia="Arial" w:hAnsi="Arial"/>
                <w:sz w:val="18"/>
                <w:szCs w:val="18"/>
                <w:b w:val="1"/>
                <w:bCs w:val="1"/>
                <w:color w:val="auto"/>
              </w:rPr>
              <w:t>Date</w:t>
            </w:r>
          </w:p>
        </w:tc>
        <w:tc>
          <w:tcPr>
            <w:tcW w:w="780" w:type="dxa"/>
            <w:vAlign w:val="bottom"/>
            <w:tcBorders>
              <w:right w:val="single" w:sz="8" w:color="auto"/>
            </w:tcBorders>
            <w:gridSpan w:val="3"/>
            <w:vMerge w:val="restart"/>
            <w:shd w:val="clear" w:color="auto" w:fill="9ADAF6"/>
          </w:tcPr>
          <w:p>
            <w:pPr>
              <w:jc w:val="center"/>
              <w:ind w:right="280"/>
              <w:spacing w:after="0"/>
              <w:rPr>
                <w:sz w:val="20"/>
                <w:szCs w:val="20"/>
                <w:color w:val="auto"/>
              </w:rPr>
            </w:pPr>
            <w:r>
              <w:rPr>
                <w:rFonts w:ascii="Arial" w:cs="Arial" w:eastAsia="Arial" w:hAnsi="Arial"/>
                <w:sz w:val="18"/>
                <w:szCs w:val="18"/>
                <w:b w:val="1"/>
                <w:bCs w:val="1"/>
                <w:color w:val="auto"/>
                <w:w w:val="97"/>
              </w:rPr>
              <w:t>to be</w:t>
            </w:r>
          </w:p>
        </w:tc>
        <w:tc>
          <w:tcPr>
            <w:tcW w:w="0" w:type="dxa"/>
            <w:vAlign w:val="bottom"/>
          </w:tcPr>
          <w:p>
            <w:pPr>
              <w:spacing w:after="0"/>
              <w:rPr>
                <w:sz w:val="1"/>
                <w:szCs w:val="1"/>
                <w:color w:val="auto"/>
              </w:rPr>
            </w:pPr>
          </w:p>
        </w:tc>
      </w:tr>
      <w:tr>
        <w:trPr>
          <w:trHeight w:val="21"/>
        </w:trPr>
        <w:tc>
          <w:tcPr>
            <w:tcW w:w="2060" w:type="dxa"/>
            <w:vAlign w:val="bottom"/>
            <w:tcBorders>
              <w:left w:val="single" w:sz="8" w:color="auto"/>
              <w:right w:val="single" w:sz="8" w:color="9ADAF6"/>
            </w:tcBorders>
            <w:gridSpan w:val="13"/>
          </w:tcPr>
          <w:p>
            <w:pPr>
              <w:spacing w:after="0" w:line="20" w:lineRule="exact"/>
              <w:rPr>
                <w:sz w:val="1"/>
                <w:szCs w:val="1"/>
                <w:color w:val="auto"/>
              </w:rPr>
            </w:pPr>
          </w:p>
        </w:tc>
        <w:tc>
          <w:tcPr>
            <w:tcW w:w="1720" w:type="dxa"/>
            <w:vAlign w:val="bottom"/>
            <w:tcBorders>
              <w:right w:val="single" w:sz="8" w:color="9ADAF6"/>
            </w:tcBorders>
            <w:gridSpan w:val="9"/>
            <w:shd w:val="clear" w:color="auto" w:fill="9ADAF6"/>
          </w:tcPr>
          <w:p>
            <w:pPr>
              <w:spacing w:after="0" w:line="20" w:lineRule="exact"/>
              <w:rPr>
                <w:sz w:val="1"/>
                <w:szCs w:val="1"/>
                <w:color w:val="auto"/>
              </w:rPr>
            </w:pPr>
          </w:p>
        </w:tc>
        <w:tc>
          <w:tcPr>
            <w:tcW w:w="780" w:type="dxa"/>
            <w:vAlign w:val="bottom"/>
            <w:tcBorders>
              <w:right w:val="single" w:sz="8" w:color="9ADAF6"/>
            </w:tcBorders>
            <w:gridSpan w:val="2"/>
            <w:shd w:val="clear" w:color="auto" w:fill="9ADAF6"/>
          </w:tcPr>
          <w:p>
            <w:pPr>
              <w:spacing w:after="0" w:line="20" w:lineRule="exact"/>
              <w:rPr>
                <w:sz w:val="1"/>
                <w:szCs w:val="1"/>
                <w:color w:val="auto"/>
              </w:rPr>
            </w:pPr>
          </w:p>
        </w:tc>
        <w:tc>
          <w:tcPr>
            <w:tcW w:w="620" w:type="dxa"/>
            <w:vAlign w:val="bottom"/>
            <w:tcBorders>
              <w:right w:val="single" w:sz="8" w:color="9ADAF6"/>
            </w:tcBorders>
            <w:gridSpan w:val="6"/>
            <w:shd w:val="clear" w:color="auto" w:fill="9ADAF6"/>
          </w:tcPr>
          <w:p>
            <w:pPr>
              <w:spacing w:after="0" w:line="20" w:lineRule="exact"/>
              <w:rPr>
                <w:sz w:val="1"/>
                <w:szCs w:val="1"/>
                <w:color w:val="auto"/>
              </w:rPr>
            </w:pPr>
          </w:p>
        </w:tc>
        <w:tc>
          <w:tcPr>
            <w:tcW w:w="1320" w:type="dxa"/>
            <w:vAlign w:val="bottom"/>
            <w:gridSpan w:val="8"/>
            <w:shd w:val="clear" w:color="auto" w:fill="9ADAF6"/>
          </w:tcPr>
          <w:p>
            <w:pPr>
              <w:spacing w:after="0" w:line="20" w:lineRule="exact"/>
              <w:rPr>
                <w:sz w:val="1"/>
                <w:szCs w:val="1"/>
                <w:color w:val="auto"/>
              </w:rPr>
            </w:pPr>
          </w:p>
        </w:tc>
        <w:tc>
          <w:tcPr>
            <w:tcW w:w="2040" w:type="dxa"/>
            <w:vAlign w:val="bottom"/>
            <w:tcBorders>
              <w:left w:val="single" w:sz="8" w:color="9ADAF6"/>
            </w:tcBorders>
            <w:gridSpan w:val="10"/>
            <w:shd w:val="clear" w:color="auto" w:fill="9ADAF6"/>
          </w:tcPr>
          <w:p>
            <w:pPr>
              <w:spacing w:after="0" w:line="20" w:lineRule="exact"/>
              <w:rPr>
                <w:sz w:val="1"/>
                <w:szCs w:val="1"/>
                <w:color w:val="auto"/>
              </w:rPr>
            </w:pPr>
          </w:p>
        </w:tc>
        <w:tc>
          <w:tcPr>
            <w:tcW w:w="100" w:type="dxa"/>
            <w:vAlign w:val="bottom"/>
            <w:tcBorders>
              <w:left w:val="single" w:sz="8" w:color="9ADAF6"/>
              <w:right w:val="single" w:sz="8" w:color="9ADAF6"/>
            </w:tcBorders>
            <w:shd w:val="clear" w:color="auto" w:fill="9ADAF6"/>
          </w:tcPr>
          <w:p>
            <w:pPr>
              <w:spacing w:after="0" w:line="20" w:lineRule="exact"/>
              <w:rPr>
                <w:sz w:val="1"/>
                <w:szCs w:val="1"/>
                <w:color w:val="auto"/>
              </w:rPr>
            </w:pPr>
          </w:p>
        </w:tc>
        <w:tc>
          <w:tcPr>
            <w:tcW w:w="1940" w:type="dxa"/>
            <w:vAlign w:val="bottom"/>
            <w:gridSpan w:val="11"/>
            <w:shd w:val="clear" w:color="auto" w:fill="9ADAF6"/>
          </w:tcPr>
          <w:p>
            <w:pPr>
              <w:spacing w:after="0" w:line="20" w:lineRule="exact"/>
              <w:rPr>
                <w:sz w:val="1"/>
                <w:szCs w:val="1"/>
                <w:color w:val="auto"/>
              </w:rPr>
            </w:pPr>
          </w:p>
        </w:tc>
        <w:tc>
          <w:tcPr>
            <w:tcW w:w="780" w:type="dxa"/>
            <w:vAlign w:val="bottom"/>
            <w:tcBorders>
              <w:right w:val="single" w:sz="8" w:color="auto"/>
            </w:tcBorders>
            <w:gridSpan w:val="3"/>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Carried</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9ADAF6"/>
            </w:tcBorders>
            <w:gridSpan w:val="13"/>
          </w:tcPr>
          <w:p>
            <w:pPr>
              <w:spacing w:after="0"/>
              <w:rPr>
                <w:sz w:val="20"/>
                <w:szCs w:val="20"/>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p>
        </w:tc>
        <w:tc>
          <w:tcPr>
            <w:tcW w:w="780" w:type="dxa"/>
            <w:vAlign w:val="bottom"/>
            <w:tcBorders>
              <w:right w:val="single" w:sz="8" w:color="9ADAF6"/>
            </w:tcBorders>
            <w:gridSpan w:val="2"/>
            <w:shd w:val="clear" w:color="auto" w:fill="9ADAF6"/>
          </w:tcPr>
          <w:p>
            <w:pPr>
              <w:spacing w:after="0"/>
              <w:rPr>
                <w:sz w:val="20"/>
                <w:szCs w:val="20"/>
                <w:color w:val="auto"/>
              </w:rPr>
            </w:pPr>
          </w:p>
        </w:tc>
        <w:tc>
          <w:tcPr>
            <w:tcW w:w="620" w:type="dxa"/>
            <w:vAlign w:val="bottom"/>
            <w:tcBorders>
              <w:right w:val="single" w:sz="8" w:color="9ADAF6"/>
            </w:tcBorders>
            <w:gridSpan w:val="6"/>
            <w:shd w:val="clear" w:color="auto" w:fill="9ADAF6"/>
          </w:tcPr>
          <w:p>
            <w:pPr>
              <w:spacing w:after="0"/>
              <w:rPr>
                <w:sz w:val="20"/>
                <w:szCs w:val="20"/>
                <w:color w:val="auto"/>
              </w:rPr>
            </w:pPr>
          </w:p>
        </w:tc>
        <w:tc>
          <w:tcPr>
            <w:tcW w:w="1320" w:type="dxa"/>
            <w:vAlign w:val="bottom"/>
            <w:gridSpan w:val="8"/>
            <w:shd w:val="clear" w:color="auto" w:fill="9ADAF6"/>
          </w:tcPr>
          <w:p>
            <w:pPr>
              <w:spacing w:after="0"/>
              <w:rPr>
                <w:sz w:val="20"/>
                <w:szCs w:val="20"/>
                <w:color w:val="auto"/>
              </w:rPr>
            </w:pPr>
          </w:p>
        </w:tc>
        <w:tc>
          <w:tcPr>
            <w:tcW w:w="2040" w:type="dxa"/>
            <w:vAlign w:val="bottom"/>
            <w:tcBorders>
              <w:left w:val="single" w:sz="8" w:color="9ADAF6"/>
            </w:tcBorders>
            <w:gridSpan w:val="10"/>
            <w:shd w:val="clear" w:color="auto" w:fill="9ADAF6"/>
          </w:tcPr>
          <w:p>
            <w:pPr>
              <w:spacing w:after="0"/>
              <w:rPr>
                <w:sz w:val="20"/>
                <w:szCs w:val="20"/>
                <w:color w:val="auto"/>
              </w:rPr>
            </w:pPr>
          </w:p>
        </w:tc>
        <w:tc>
          <w:tcPr>
            <w:tcW w:w="100" w:type="dxa"/>
            <w:vAlign w:val="bottom"/>
            <w:tcBorders>
              <w:left w:val="single" w:sz="8" w:color="9ADAF6"/>
              <w:right w:val="single" w:sz="8" w:color="9ADAF6"/>
            </w:tcBorders>
            <w:shd w:val="clear" w:color="auto" w:fill="9ADAF6"/>
          </w:tcPr>
          <w:p>
            <w:pPr>
              <w:spacing w:after="0"/>
              <w:rPr>
                <w:sz w:val="20"/>
                <w:szCs w:val="20"/>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Forward</w:t>
            </w: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gridSpan w:val="17"/>
          </w:tcPr>
          <w:p>
            <w:pPr>
              <w:ind w:left="700"/>
              <w:spacing w:after="0"/>
              <w:rPr>
                <w:sz w:val="20"/>
                <w:szCs w:val="20"/>
                <w:color w:val="auto"/>
              </w:rPr>
            </w:pPr>
            <w:r>
              <w:rPr>
                <w:rFonts w:ascii="Arial" w:cs="Arial" w:eastAsia="Arial" w:hAnsi="Arial"/>
                <w:sz w:val="18"/>
                <w:szCs w:val="18"/>
                <w:b w:val="1"/>
                <w:bCs w:val="1"/>
                <w:color w:val="auto"/>
              </w:rPr>
              <w:t>Newly Registered Securities</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rPr>
              <w:t>Fees to</w:t>
            </w:r>
          </w:p>
        </w:tc>
        <w:tc>
          <w:tcPr>
            <w:tcW w:w="20" w:type="dxa"/>
            <w:vAlign w:val="bottom"/>
          </w:tcPr>
          <w:p>
            <w:pPr>
              <w:spacing w:after="0"/>
              <w:rPr>
                <w:sz w:val="16"/>
                <w:szCs w:val="16"/>
                <w:color w:val="auto"/>
              </w:rPr>
            </w:pPr>
          </w:p>
        </w:tc>
        <w:tc>
          <w:tcPr>
            <w:tcW w:w="32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4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680" w:type="dxa"/>
            <w:vAlign w:val="bottom"/>
            <w:gridSpan w:val="2"/>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720" w:type="dxa"/>
            <w:vAlign w:val="bottom"/>
            <w:gridSpan w:val="3"/>
            <w:vMerge w:val="restart"/>
            <w:shd w:val="clear" w:color="auto" w:fill="E7E7E2"/>
          </w:tcPr>
          <w:p>
            <w:pPr>
              <w:jc w:val="center"/>
              <w:ind w:right="173"/>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900" w:type="dxa"/>
            <w:vAlign w:val="bottom"/>
            <w:gridSpan w:val="3"/>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tcBorders>
              <w:righ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ind w:left="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6"/>
                <w:szCs w:val="16"/>
                <w:color w:val="auto"/>
              </w:rPr>
            </w:pPr>
          </w:p>
        </w:tc>
        <w:tc>
          <w:tcPr>
            <w:tcW w:w="360" w:type="dxa"/>
            <w:vAlign w:val="bottom"/>
            <w:vMerge w:val="restart"/>
            <w:shd w:val="clear" w:color="auto" w:fill="E7E7E2"/>
          </w:tcPr>
          <w:p>
            <w:pPr>
              <w:ind w:left="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ind w:left="51"/>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780" w:type="dxa"/>
            <w:vAlign w:val="bottom"/>
            <w:tcBorders>
              <w:right w:val="single" w:sz="8" w:color="auto"/>
            </w:tcBorders>
            <w:gridSpan w:val="3"/>
            <w:vMerge w:val="restart"/>
            <w:shd w:val="clear" w:color="auto" w:fill="E7E7E2"/>
          </w:tcPr>
          <w:p>
            <w:pPr>
              <w:ind w:left="4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be Paid</w:t>
            </w:r>
          </w:p>
        </w:tc>
        <w:tc>
          <w:tcPr>
            <w:tcW w:w="20" w:type="dxa"/>
            <w:vAlign w:val="bottom"/>
          </w:tcPr>
          <w:p>
            <w:pPr>
              <w:spacing w:after="0"/>
              <w:rPr>
                <w:sz w:val="11"/>
                <w:szCs w:val="11"/>
                <w:color w:val="auto"/>
              </w:rPr>
            </w:pPr>
          </w:p>
        </w:tc>
        <w:tc>
          <w:tcPr>
            <w:tcW w:w="3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280" w:type="dxa"/>
            <w:vAlign w:val="bottom"/>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8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72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280" w:type="dxa"/>
            <w:vAlign w:val="bottom"/>
            <w:tcBorders>
              <w:right w:val="single" w:sz="8" w:color="E7E7E2"/>
            </w:tcBorders>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780" w:type="dxa"/>
            <w:vAlign w:val="bottom"/>
            <w:tcBorders>
              <w:right w:val="single" w:sz="8" w:color="auto"/>
            </w:tcBorders>
            <w:gridSpan w:val="3"/>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shd w:val="clear" w:color="auto" w:fill="E7E7E2"/>
          </w:tcPr>
          <w:p>
            <w:pPr>
              <w:spacing w:after="0"/>
              <w:rPr>
                <w:sz w:val="8"/>
                <w:szCs w:val="8"/>
                <w:color w:val="auto"/>
              </w:rPr>
            </w:pPr>
          </w:p>
        </w:tc>
        <w:tc>
          <w:tcPr>
            <w:tcW w:w="620" w:type="dxa"/>
            <w:vAlign w:val="bottom"/>
            <w:tcBorders>
              <w:right w:val="single" w:sz="8" w:color="E7E7E2"/>
            </w:tcBorders>
            <w:gridSpan w:val="6"/>
            <w:shd w:val="clear" w:color="auto" w:fill="E7E7E2"/>
          </w:tcPr>
          <w:p>
            <w:pPr>
              <w:spacing w:after="0"/>
              <w:rPr>
                <w:sz w:val="8"/>
                <w:szCs w:val="8"/>
                <w:color w:val="auto"/>
              </w:rPr>
            </w:pPr>
          </w:p>
        </w:tc>
        <w:tc>
          <w:tcPr>
            <w:tcW w:w="1320" w:type="dxa"/>
            <w:vAlign w:val="bottom"/>
            <w:gridSpan w:val="8"/>
            <w:shd w:val="clear" w:color="auto" w:fill="E7E7E2"/>
          </w:tcPr>
          <w:p>
            <w:pPr>
              <w:spacing w:after="0"/>
              <w:rPr>
                <w:sz w:val="8"/>
                <w:szCs w:val="8"/>
                <w:color w:val="auto"/>
              </w:rPr>
            </w:pPr>
          </w:p>
        </w:tc>
        <w:tc>
          <w:tcPr>
            <w:tcW w:w="2040" w:type="dxa"/>
            <w:vAlign w:val="bottom"/>
            <w:tcBorders>
              <w:left w:val="single" w:sz="8" w:color="E7E7E2"/>
            </w:tcBorders>
            <w:gridSpan w:val="10"/>
            <w:shd w:val="clear" w:color="auto" w:fill="E7E7E2"/>
          </w:tcPr>
          <w:p>
            <w:pPr>
              <w:spacing w:after="0"/>
              <w:rPr>
                <w:sz w:val="8"/>
                <w:szCs w:val="8"/>
                <w:color w:val="auto"/>
              </w:rPr>
            </w:pPr>
          </w:p>
        </w:tc>
        <w:tc>
          <w:tcPr>
            <w:tcW w:w="100" w:type="dxa"/>
            <w:vAlign w:val="bottom"/>
            <w:tcBorders>
              <w:left w:val="single" w:sz="8" w:color="E7E7E2"/>
              <w:right w:val="single" w:sz="8" w:color="E7E7E2"/>
            </w:tcBorders>
            <w:shd w:val="clear" w:color="auto" w:fill="E7E7E2"/>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Fees</w:t>
            </w:r>
          </w:p>
        </w:tc>
        <w:tc>
          <w:tcPr>
            <w:tcW w:w="1720" w:type="dxa"/>
            <w:vAlign w:val="bottom"/>
            <w:tcBorders>
              <w:right w:val="single" w:sz="8" w:color="E7E7E2"/>
            </w:tcBorders>
            <w:gridSpan w:val="9"/>
            <w:shd w:val="clear" w:color="auto" w:fill="E7E7E2"/>
          </w:tcPr>
          <w:p>
            <w:pPr>
              <w:spacing w:after="0"/>
              <w:rPr>
                <w:sz w:val="16"/>
                <w:szCs w:val="16"/>
                <w:color w:val="auto"/>
              </w:rPr>
            </w:pPr>
          </w:p>
        </w:tc>
        <w:tc>
          <w:tcPr>
            <w:tcW w:w="780" w:type="dxa"/>
            <w:vAlign w:val="bottom"/>
            <w:tcBorders>
              <w:right w:val="single" w:sz="8" w:color="E7E7E2"/>
            </w:tcBorders>
            <w:gridSpan w:val="2"/>
            <w:shd w:val="clear" w:color="auto" w:fill="E7E7E2"/>
          </w:tcPr>
          <w:p>
            <w:pPr>
              <w:spacing w:after="0"/>
              <w:rPr>
                <w:sz w:val="16"/>
                <w:szCs w:val="16"/>
                <w:color w:val="auto"/>
              </w:rPr>
            </w:pPr>
          </w:p>
        </w:tc>
        <w:tc>
          <w:tcPr>
            <w:tcW w:w="620" w:type="dxa"/>
            <w:vAlign w:val="bottom"/>
            <w:tcBorders>
              <w:right w:val="single" w:sz="8" w:color="E7E7E2"/>
            </w:tcBorders>
            <w:gridSpan w:val="6"/>
            <w:shd w:val="clear" w:color="auto" w:fill="E7E7E2"/>
          </w:tcPr>
          <w:p>
            <w:pPr>
              <w:spacing w:after="0"/>
              <w:rPr>
                <w:sz w:val="16"/>
                <w:szCs w:val="16"/>
                <w:color w:val="auto"/>
              </w:rPr>
            </w:pPr>
          </w:p>
        </w:tc>
        <w:tc>
          <w:tcPr>
            <w:tcW w:w="1320" w:type="dxa"/>
            <w:vAlign w:val="bottom"/>
            <w:gridSpan w:val="8"/>
            <w:shd w:val="clear" w:color="auto" w:fill="E7E7E2"/>
          </w:tcPr>
          <w:p>
            <w:pPr>
              <w:spacing w:after="0"/>
              <w:rPr>
                <w:sz w:val="16"/>
                <w:szCs w:val="16"/>
                <w:color w:val="auto"/>
              </w:rPr>
            </w:pPr>
          </w:p>
        </w:tc>
        <w:tc>
          <w:tcPr>
            <w:tcW w:w="2040" w:type="dxa"/>
            <w:vAlign w:val="bottom"/>
            <w:tcBorders>
              <w:left w:val="single" w:sz="8" w:color="E7E7E2"/>
            </w:tcBorders>
            <w:gridSpan w:val="10"/>
            <w:shd w:val="clear" w:color="auto" w:fill="E7E7E2"/>
          </w:tcPr>
          <w:p>
            <w:pPr>
              <w:spacing w:after="0"/>
              <w:rPr>
                <w:sz w:val="16"/>
                <w:szCs w:val="16"/>
                <w:color w:val="auto"/>
              </w:rPr>
            </w:pPr>
          </w:p>
        </w:tc>
        <w:tc>
          <w:tcPr>
            <w:tcW w:w="100" w:type="dxa"/>
            <w:vAlign w:val="bottom"/>
            <w:tcBorders>
              <w:left w:val="single" w:sz="8" w:color="E7E7E2"/>
              <w:right w:val="single" w:sz="8" w:color="E7E7E2"/>
            </w:tcBorders>
            <w:shd w:val="clear" w:color="auto" w:fill="E7E7E2"/>
          </w:tcPr>
          <w:p>
            <w:pPr>
              <w:spacing w:after="0"/>
              <w:rPr>
                <w:sz w:val="16"/>
                <w:szCs w:val="16"/>
                <w:color w:val="auto"/>
              </w:rPr>
            </w:pPr>
          </w:p>
        </w:tc>
        <w:tc>
          <w:tcPr>
            <w:tcW w:w="2720" w:type="dxa"/>
            <w:vAlign w:val="bottom"/>
            <w:tcBorders>
              <w:right w:val="single" w:sz="8" w:color="auto"/>
            </w:tcBorders>
            <w:gridSpan w:val="14"/>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6"/>
              </w:rPr>
              <w:t>Previously</w:t>
            </w:r>
          </w:p>
        </w:tc>
        <w:tc>
          <w:tcPr>
            <w:tcW w:w="20" w:type="dxa"/>
            <w:vAlign w:val="bottom"/>
          </w:tcPr>
          <w:p>
            <w:pPr>
              <w:spacing w:after="0"/>
              <w:rPr>
                <w:sz w:val="17"/>
                <w:szCs w:val="17"/>
                <w:color w:val="auto"/>
              </w:rPr>
            </w:pPr>
          </w:p>
        </w:tc>
        <w:tc>
          <w:tcPr>
            <w:tcW w:w="32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4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680" w:type="dxa"/>
            <w:vAlign w:val="bottom"/>
            <w:gridSpan w:val="2"/>
            <w:shd w:val="clear" w:color="auto" w:fill="E7E7E2"/>
          </w:tcPr>
          <w:p>
            <w:pPr>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720" w:type="dxa"/>
            <w:vAlign w:val="bottom"/>
            <w:gridSpan w:val="3"/>
            <w:shd w:val="clear" w:color="auto" w:fill="E7E7E2"/>
          </w:tcPr>
          <w:p>
            <w:pPr>
              <w:jc w:val="center"/>
              <w:ind w:right="173"/>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gridSpan w:val="3"/>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shd w:val="clear" w:color="auto" w:fill="E7E7E2"/>
          </w:tcPr>
          <w:p>
            <w:pPr>
              <w:ind w:left="6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spacing w:after="0"/>
              <w:rPr>
                <w:sz w:val="17"/>
                <w:szCs w:val="17"/>
                <w:color w:val="auto"/>
              </w:rPr>
            </w:pPr>
          </w:p>
        </w:tc>
        <w:tc>
          <w:tcPr>
            <w:tcW w:w="340" w:type="dxa"/>
            <w:vAlign w:val="bottom"/>
            <w:gridSpan w:val="2"/>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7"/>
                <w:szCs w:val="17"/>
                <w:color w:val="auto"/>
              </w:rPr>
            </w:pPr>
          </w:p>
        </w:tc>
        <w:tc>
          <w:tcPr>
            <w:tcW w:w="360" w:type="dxa"/>
            <w:vAlign w:val="bottom"/>
            <w:shd w:val="clear" w:color="auto" w:fill="E7E7E2"/>
          </w:tcPr>
          <w:p>
            <w:pPr>
              <w:ind w:left="4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tcBorders>
              <w:right w:val="single" w:sz="8" w:color="E7E7E2"/>
            </w:tcBorders>
            <w:gridSpan w:val="3"/>
            <w:shd w:val="clear" w:color="auto" w:fill="E7E7E2"/>
          </w:tcPr>
          <w:p>
            <w:pPr>
              <w:jc w:val="center"/>
              <w:ind w:left="51"/>
              <w:spacing w:after="0" w:line="200" w:lineRule="exact"/>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780" w:type="dxa"/>
            <w:vAlign w:val="bottom"/>
            <w:tcBorders>
              <w:right w:val="single" w:sz="8" w:color="auto"/>
            </w:tcBorders>
            <w:gridSpan w:val="3"/>
            <w:shd w:val="clear" w:color="auto" w:fill="E7E7E2"/>
          </w:tcPr>
          <w:p>
            <w:pPr>
              <w:ind w:left="440"/>
              <w:spacing w:after="0" w:line="200"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Paid</w:t>
            </w:r>
          </w:p>
        </w:tc>
        <w:tc>
          <w:tcPr>
            <w:tcW w:w="1720" w:type="dxa"/>
            <w:vAlign w:val="bottom"/>
            <w:tcBorders>
              <w:right w:val="single" w:sz="8" w:color="E7E7E2"/>
            </w:tcBorders>
            <w:gridSpan w:val="9"/>
            <w:shd w:val="clear" w:color="auto" w:fill="E7E7E2"/>
          </w:tcPr>
          <w:p>
            <w:pPr>
              <w:spacing w:after="0"/>
              <w:rPr>
                <w:sz w:val="20"/>
                <w:szCs w:val="20"/>
                <w:color w:val="auto"/>
              </w:rPr>
            </w:pPr>
          </w:p>
        </w:tc>
        <w:tc>
          <w:tcPr>
            <w:tcW w:w="780" w:type="dxa"/>
            <w:vAlign w:val="bottom"/>
            <w:tcBorders>
              <w:right w:val="single" w:sz="8" w:color="E7E7E2"/>
            </w:tcBorders>
            <w:gridSpan w:val="2"/>
            <w:shd w:val="clear" w:color="auto" w:fill="E7E7E2"/>
          </w:tcPr>
          <w:p>
            <w:pPr>
              <w:spacing w:after="0"/>
              <w:rPr>
                <w:sz w:val="20"/>
                <w:szCs w:val="20"/>
                <w:color w:val="auto"/>
              </w:rPr>
            </w:pPr>
          </w:p>
        </w:tc>
        <w:tc>
          <w:tcPr>
            <w:tcW w:w="620" w:type="dxa"/>
            <w:vAlign w:val="bottom"/>
            <w:tcBorders>
              <w:right w:val="single" w:sz="8" w:color="E7E7E2"/>
            </w:tcBorders>
            <w:gridSpan w:val="6"/>
            <w:shd w:val="clear" w:color="auto" w:fill="E7E7E2"/>
          </w:tcPr>
          <w:p>
            <w:pPr>
              <w:spacing w:after="0"/>
              <w:rPr>
                <w:sz w:val="20"/>
                <w:szCs w:val="20"/>
                <w:color w:val="auto"/>
              </w:rPr>
            </w:pPr>
          </w:p>
        </w:tc>
        <w:tc>
          <w:tcPr>
            <w:tcW w:w="1320" w:type="dxa"/>
            <w:vAlign w:val="bottom"/>
            <w:gridSpan w:val="8"/>
            <w:shd w:val="clear" w:color="auto" w:fill="E7E7E2"/>
          </w:tcPr>
          <w:p>
            <w:pPr>
              <w:spacing w:after="0"/>
              <w:rPr>
                <w:sz w:val="20"/>
                <w:szCs w:val="20"/>
                <w:color w:val="auto"/>
              </w:rPr>
            </w:pPr>
          </w:p>
        </w:tc>
        <w:tc>
          <w:tcPr>
            <w:tcW w:w="2040" w:type="dxa"/>
            <w:vAlign w:val="bottom"/>
            <w:tcBorders>
              <w:left w:val="single" w:sz="8" w:color="E7E7E2"/>
            </w:tcBorders>
            <w:gridSpan w:val="10"/>
            <w:shd w:val="clear" w:color="auto" w:fill="E7E7E2"/>
          </w:tcPr>
          <w:p>
            <w:pPr>
              <w:spacing w:after="0"/>
              <w:rPr>
                <w:sz w:val="20"/>
                <w:szCs w:val="20"/>
                <w:color w:val="auto"/>
              </w:rPr>
            </w:pPr>
          </w:p>
        </w:tc>
        <w:tc>
          <w:tcPr>
            <w:tcW w:w="100" w:type="dxa"/>
            <w:vAlign w:val="bottom"/>
            <w:tcBorders>
              <w:left w:val="single" w:sz="8" w:color="E7E7E2"/>
              <w:right w:val="single" w:sz="8" w:color="E7E7E2"/>
            </w:tcBorders>
            <w:shd w:val="clear" w:color="auto" w:fill="E7E7E2"/>
          </w:tcPr>
          <w:p>
            <w:pPr>
              <w:spacing w:after="0"/>
              <w:rPr>
                <w:sz w:val="20"/>
                <w:szCs w:val="20"/>
                <w:color w:val="auto"/>
              </w:rPr>
            </w:pPr>
          </w:p>
        </w:tc>
        <w:tc>
          <w:tcPr>
            <w:tcW w:w="2720" w:type="dxa"/>
            <w:vAlign w:val="bottom"/>
            <w:tcBorders>
              <w:right w:val="single" w:sz="8" w:color="auto"/>
            </w:tcBorders>
            <w:gridSpan w:val="14"/>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15"/>
          </w:tcPr>
          <w:p>
            <w:pPr>
              <w:ind w:left="60"/>
              <w:spacing w:after="0"/>
              <w:rPr>
                <w:sz w:val="20"/>
                <w:szCs w:val="20"/>
                <w:color w:val="auto"/>
              </w:rPr>
            </w:pPr>
            <w:r>
              <w:rPr>
                <w:rFonts w:ascii="Arial" w:cs="Arial" w:eastAsia="Arial" w:hAnsi="Arial"/>
                <w:sz w:val="18"/>
                <w:szCs w:val="18"/>
                <w:b w:val="1"/>
                <w:bCs w:val="1"/>
                <w:color w:val="auto"/>
              </w:rPr>
              <w:t>Carry Forward Securities</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Carry</w:t>
            </w:r>
          </w:p>
        </w:tc>
        <w:tc>
          <w:tcPr>
            <w:tcW w:w="1720" w:type="dxa"/>
            <w:vAlign w:val="bottom"/>
            <w:tcBorders>
              <w:right w:val="single" w:sz="8" w:color="E7E7E2"/>
            </w:tcBorders>
            <w:gridSpan w:val="9"/>
            <w:shd w:val="clear" w:color="auto" w:fill="E7E7E2"/>
          </w:tcPr>
          <w:p>
            <w:pPr>
              <w:spacing w:after="0"/>
              <w:rPr>
                <w:sz w:val="16"/>
                <w:szCs w:val="16"/>
                <w:color w:val="auto"/>
              </w:rPr>
            </w:pPr>
          </w:p>
        </w:tc>
        <w:tc>
          <w:tcPr>
            <w:tcW w:w="780" w:type="dxa"/>
            <w:vAlign w:val="bottom"/>
            <w:tcBorders>
              <w:right w:val="single" w:sz="8" w:color="E7E7E2"/>
            </w:tcBorders>
            <w:gridSpan w:val="2"/>
            <w:shd w:val="clear" w:color="auto" w:fill="E7E7E2"/>
          </w:tcPr>
          <w:p>
            <w:pPr>
              <w:spacing w:after="0"/>
              <w:rPr>
                <w:sz w:val="16"/>
                <w:szCs w:val="16"/>
                <w:color w:val="auto"/>
              </w:rPr>
            </w:pPr>
          </w:p>
        </w:tc>
        <w:tc>
          <w:tcPr>
            <w:tcW w:w="620" w:type="dxa"/>
            <w:vAlign w:val="bottom"/>
            <w:tcBorders>
              <w:right w:val="single" w:sz="8" w:color="E7E7E2"/>
            </w:tcBorders>
            <w:gridSpan w:val="6"/>
            <w:shd w:val="clear" w:color="auto" w:fill="E7E7E2"/>
          </w:tcPr>
          <w:p>
            <w:pPr>
              <w:spacing w:after="0"/>
              <w:rPr>
                <w:sz w:val="16"/>
                <w:szCs w:val="16"/>
                <w:color w:val="auto"/>
              </w:rPr>
            </w:pPr>
          </w:p>
        </w:tc>
        <w:tc>
          <w:tcPr>
            <w:tcW w:w="1320" w:type="dxa"/>
            <w:vAlign w:val="bottom"/>
            <w:gridSpan w:val="8"/>
            <w:shd w:val="clear" w:color="auto" w:fill="E7E7E2"/>
          </w:tcPr>
          <w:p>
            <w:pPr>
              <w:spacing w:after="0"/>
              <w:rPr>
                <w:sz w:val="16"/>
                <w:szCs w:val="16"/>
                <w:color w:val="auto"/>
              </w:rPr>
            </w:pPr>
          </w:p>
        </w:tc>
        <w:tc>
          <w:tcPr>
            <w:tcW w:w="2040" w:type="dxa"/>
            <w:vAlign w:val="bottom"/>
            <w:tcBorders>
              <w:left w:val="single" w:sz="8" w:color="E7E7E2"/>
            </w:tcBorders>
            <w:gridSpan w:val="10"/>
            <w:shd w:val="clear" w:color="auto" w:fill="E7E7E2"/>
          </w:tcPr>
          <w:p>
            <w:pPr>
              <w:spacing w:after="0"/>
              <w:rPr>
                <w:sz w:val="16"/>
                <w:szCs w:val="16"/>
                <w:color w:val="auto"/>
              </w:rPr>
            </w:pPr>
          </w:p>
        </w:tc>
        <w:tc>
          <w:tcPr>
            <w:tcW w:w="100" w:type="dxa"/>
            <w:vAlign w:val="bottom"/>
            <w:tcBorders>
              <w:left w:val="single" w:sz="8" w:color="E7E7E2"/>
              <w:right w:val="single" w:sz="8" w:color="E7E7E2"/>
            </w:tcBorders>
            <w:shd w:val="clear" w:color="auto" w:fill="E7E7E2"/>
          </w:tcPr>
          <w:p>
            <w:pPr>
              <w:spacing w:after="0"/>
              <w:rPr>
                <w:sz w:val="16"/>
                <w:szCs w:val="16"/>
                <w:color w:val="auto"/>
              </w:rPr>
            </w:pPr>
          </w:p>
        </w:tc>
        <w:tc>
          <w:tcPr>
            <w:tcW w:w="2720" w:type="dxa"/>
            <w:vAlign w:val="bottom"/>
            <w:tcBorders>
              <w:right w:val="single" w:sz="8" w:color="auto"/>
            </w:tcBorders>
            <w:gridSpan w:val="14"/>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rPr>
              <w:t>Forward</w:t>
            </w:r>
          </w:p>
        </w:tc>
        <w:tc>
          <w:tcPr>
            <w:tcW w:w="20" w:type="dxa"/>
            <w:vAlign w:val="bottom"/>
          </w:tcPr>
          <w:p>
            <w:pPr>
              <w:spacing w:after="0"/>
              <w:rPr>
                <w:sz w:val="17"/>
                <w:szCs w:val="17"/>
                <w:color w:val="auto"/>
              </w:rPr>
            </w:pPr>
          </w:p>
        </w:tc>
        <w:tc>
          <w:tcPr>
            <w:tcW w:w="32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4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680" w:type="dxa"/>
            <w:vAlign w:val="bottom"/>
            <w:gridSpan w:val="2"/>
            <w:shd w:val="clear" w:color="auto" w:fill="E7E7E2"/>
          </w:tcPr>
          <w:p>
            <w:pPr>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720" w:type="dxa"/>
            <w:vAlign w:val="bottom"/>
            <w:gridSpan w:val="3"/>
            <w:shd w:val="clear" w:color="auto" w:fill="E7E7E2"/>
          </w:tcPr>
          <w:p>
            <w:pPr>
              <w:jc w:val="center"/>
              <w:ind w:right="173"/>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gridSpan w:val="3"/>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shd w:val="clear" w:color="auto" w:fill="E7E7E2"/>
          </w:tcPr>
          <w:p>
            <w:pPr>
              <w:ind w:left="6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spacing w:after="0"/>
              <w:rPr>
                <w:sz w:val="17"/>
                <w:szCs w:val="17"/>
                <w:color w:val="auto"/>
              </w:rPr>
            </w:pPr>
          </w:p>
        </w:tc>
        <w:tc>
          <w:tcPr>
            <w:tcW w:w="340" w:type="dxa"/>
            <w:vAlign w:val="bottom"/>
            <w:gridSpan w:val="2"/>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7"/>
                <w:szCs w:val="17"/>
                <w:color w:val="auto"/>
              </w:rPr>
            </w:pPr>
          </w:p>
        </w:tc>
        <w:tc>
          <w:tcPr>
            <w:tcW w:w="360" w:type="dxa"/>
            <w:vAlign w:val="bottom"/>
            <w:shd w:val="clear" w:color="auto" w:fill="E7E7E2"/>
          </w:tcPr>
          <w:p>
            <w:pPr>
              <w:ind w:left="4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tcBorders>
              <w:right w:val="single" w:sz="8" w:color="E7E7E2"/>
            </w:tcBorders>
            <w:gridSpan w:val="3"/>
            <w:shd w:val="clear" w:color="auto" w:fill="E7E7E2"/>
          </w:tcPr>
          <w:p>
            <w:pPr>
              <w:jc w:val="center"/>
              <w:ind w:left="51"/>
              <w:spacing w:after="0" w:line="200" w:lineRule="exact"/>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780" w:type="dxa"/>
            <w:vAlign w:val="bottom"/>
            <w:tcBorders>
              <w:right w:val="single" w:sz="8" w:color="auto"/>
            </w:tcBorders>
            <w:gridSpan w:val="3"/>
            <w:shd w:val="clear" w:color="auto" w:fill="E7E7E2"/>
          </w:tcPr>
          <w:p>
            <w:pPr>
              <w:ind w:left="440"/>
              <w:spacing w:after="0" w:line="200"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Securities</w:t>
            </w:r>
          </w:p>
        </w:tc>
        <w:tc>
          <w:tcPr>
            <w:tcW w:w="1720" w:type="dxa"/>
            <w:vAlign w:val="bottom"/>
            <w:tcBorders>
              <w:right w:val="single" w:sz="8" w:color="E7E7E2"/>
            </w:tcBorders>
            <w:gridSpan w:val="9"/>
            <w:shd w:val="clear" w:color="auto" w:fill="E7E7E2"/>
          </w:tcPr>
          <w:p>
            <w:pPr>
              <w:spacing w:after="0"/>
              <w:rPr>
                <w:sz w:val="20"/>
                <w:szCs w:val="20"/>
                <w:color w:val="auto"/>
              </w:rPr>
            </w:pPr>
          </w:p>
        </w:tc>
        <w:tc>
          <w:tcPr>
            <w:tcW w:w="780" w:type="dxa"/>
            <w:vAlign w:val="bottom"/>
            <w:tcBorders>
              <w:right w:val="single" w:sz="8" w:color="E7E7E2"/>
            </w:tcBorders>
            <w:gridSpan w:val="2"/>
            <w:shd w:val="clear" w:color="auto" w:fill="E7E7E2"/>
          </w:tcPr>
          <w:p>
            <w:pPr>
              <w:spacing w:after="0"/>
              <w:rPr>
                <w:sz w:val="20"/>
                <w:szCs w:val="20"/>
                <w:color w:val="auto"/>
              </w:rPr>
            </w:pPr>
          </w:p>
        </w:tc>
        <w:tc>
          <w:tcPr>
            <w:tcW w:w="620" w:type="dxa"/>
            <w:vAlign w:val="bottom"/>
            <w:tcBorders>
              <w:right w:val="single" w:sz="8" w:color="E7E7E2"/>
            </w:tcBorders>
            <w:gridSpan w:val="6"/>
            <w:shd w:val="clear" w:color="auto" w:fill="E7E7E2"/>
          </w:tcPr>
          <w:p>
            <w:pPr>
              <w:spacing w:after="0"/>
              <w:rPr>
                <w:sz w:val="20"/>
                <w:szCs w:val="20"/>
                <w:color w:val="auto"/>
              </w:rPr>
            </w:pPr>
          </w:p>
        </w:tc>
        <w:tc>
          <w:tcPr>
            <w:tcW w:w="1320" w:type="dxa"/>
            <w:vAlign w:val="bottom"/>
            <w:gridSpan w:val="8"/>
            <w:shd w:val="clear" w:color="auto" w:fill="E7E7E2"/>
          </w:tcPr>
          <w:p>
            <w:pPr>
              <w:spacing w:after="0"/>
              <w:rPr>
                <w:sz w:val="20"/>
                <w:szCs w:val="20"/>
                <w:color w:val="auto"/>
              </w:rPr>
            </w:pPr>
          </w:p>
        </w:tc>
        <w:tc>
          <w:tcPr>
            <w:tcW w:w="2040" w:type="dxa"/>
            <w:vAlign w:val="bottom"/>
            <w:tcBorders>
              <w:left w:val="single" w:sz="8" w:color="E7E7E2"/>
            </w:tcBorders>
            <w:gridSpan w:val="10"/>
            <w:shd w:val="clear" w:color="auto" w:fill="E7E7E2"/>
          </w:tcPr>
          <w:p>
            <w:pPr>
              <w:spacing w:after="0"/>
              <w:rPr>
                <w:sz w:val="20"/>
                <w:szCs w:val="20"/>
                <w:color w:val="auto"/>
              </w:rPr>
            </w:pPr>
          </w:p>
        </w:tc>
        <w:tc>
          <w:tcPr>
            <w:tcW w:w="100" w:type="dxa"/>
            <w:vAlign w:val="bottom"/>
            <w:tcBorders>
              <w:left w:val="single" w:sz="8" w:color="E7E7E2"/>
              <w:right w:val="single" w:sz="8" w:color="E7E7E2"/>
            </w:tcBorders>
            <w:shd w:val="clear" w:color="auto" w:fill="E7E7E2"/>
          </w:tcPr>
          <w:p>
            <w:pPr>
              <w:spacing w:after="0"/>
              <w:rPr>
                <w:sz w:val="20"/>
                <w:szCs w:val="20"/>
                <w:color w:val="auto"/>
              </w:rPr>
            </w:pPr>
          </w:p>
        </w:tc>
        <w:tc>
          <w:tcPr>
            <w:tcW w:w="2720" w:type="dxa"/>
            <w:vAlign w:val="bottom"/>
            <w:tcBorders>
              <w:right w:val="single" w:sz="8" w:color="auto"/>
            </w:tcBorders>
            <w:gridSpan w:val="14"/>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40" w:type="dxa"/>
            <w:vAlign w:val="bottom"/>
            <w:gridSpan w:val="10"/>
          </w:tcPr>
          <w:p>
            <w:pPr>
              <w:jc w:val="right"/>
              <w:spacing w:after="0"/>
              <w:rPr>
                <w:sz w:val="20"/>
                <w:szCs w:val="20"/>
                <w:color w:val="auto"/>
              </w:rPr>
            </w:pPr>
            <w:r>
              <w:rPr>
                <w:rFonts w:ascii="Arial" w:cs="Arial" w:eastAsia="Arial" w:hAnsi="Arial"/>
                <w:sz w:val="18"/>
                <w:szCs w:val="18"/>
                <w:color w:val="auto"/>
              </w:rPr>
              <w:t>Total Offering Amounts: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12"/>
          </w:tcPr>
          <w:p>
            <w:pPr>
              <w:jc w:val="right"/>
              <w:spacing w:after="0"/>
              <w:rPr>
                <w:sz w:val="20"/>
                <w:szCs w:val="20"/>
                <w:color w:val="auto"/>
              </w:rPr>
            </w:pPr>
            <w:r>
              <w:rPr>
                <w:rFonts w:ascii="Arial" w:cs="Arial" w:eastAsia="Arial" w:hAnsi="Arial"/>
                <w:sz w:val="18"/>
                <w:szCs w:val="18"/>
                <w:color w:val="auto"/>
              </w:rPr>
              <w:t>Total Fees Previously Paid: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480" w:type="dxa"/>
            <w:vAlign w:val="bottom"/>
            <w:tcBorders>
              <w:left w:val="single" w:sz="8" w:color="auto"/>
            </w:tcBorders>
            <w:gridSpan w:val="42"/>
          </w:tcPr>
          <w:p>
            <w:pPr>
              <w:spacing w:after="0"/>
              <w:rPr>
                <w:sz w:val="20"/>
                <w:szCs w:val="20"/>
                <w:color w:val="auto"/>
              </w:rPr>
            </w:pPr>
            <w:r>
              <w:rPr>
                <w:rFonts w:ascii="Arial" w:cs="Arial" w:eastAsia="Arial" w:hAnsi="Arial"/>
                <w:sz w:val="18"/>
                <w:szCs w:val="18"/>
                <w:color w:val="auto"/>
              </w:rPr>
              <w:t>Total Fee Offsets:</w:t>
            </w:r>
          </w:p>
        </w:tc>
        <w:tc>
          <w:tcPr>
            <w:tcW w:w="3880" w:type="dxa"/>
            <w:vAlign w:val="bottom"/>
            <w:tcBorders>
              <w:right w:val="single" w:sz="8" w:color="auto"/>
            </w:tcBorders>
            <w:gridSpan w:val="21"/>
          </w:tcPr>
          <w:p>
            <w:pPr>
              <w:jc w:val="right"/>
              <w:ind w:right="3340"/>
              <w:spacing w:after="0"/>
              <w:rPr>
                <w:sz w:val="20"/>
                <w:szCs w:val="20"/>
                <w:color w:val="auto"/>
              </w:rPr>
            </w:pPr>
            <w:r>
              <w:rPr>
                <w:rFonts w:ascii="Arial" w:cs="Arial" w:eastAsia="Arial" w:hAnsi="Arial"/>
                <w:sz w:val="18"/>
                <w:szCs w:val="18"/>
                <w:color w:val="auto"/>
              </w:rPr>
              <w:t>$ 0.00</w:t>
            </w:r>
          </w:p>
        </w:tc>
        <w:tc>
          <w:tcPr>
            <w:tcW w:w="0" w:type="dxa"/>
            <w:vAlign w:val="bottom"/>
          </w:tcPr>
          <w:p>
            <w:pPr>
              <w:spacing w:after="0"/>
              <w:rPr>
                <w:sz w:val="1"/>
                <w:szCs w:val="1"/>
                <w:color w:val="auto"/>
              </w:rPr>
            </w:pPr>
          </w:p>
        </w:tc>
      </w:tr>
      <w:tr>
        <w:trPr>
          <w:trHeight w:val="261"/>
        </w:trPr>
        <w:tc>
          <w:tcPr>
            <w:tcW w:w="7480" w:type="dxa"/>
            <w:vAlign w:val="bottom"/>
            <w:tcBorders>
              <w:left w:val="single" w:sz="8" w:color="auto"/>
              <w:bottom w:val="single" w:sz="8" w:color="auto"/>
            </w:tcBorders>
            <w:gridSpan w:val="42"/>
          </w:tcPr>
          <w:p>
            <w:pPr>
              <w:spacing w:after="0"/>
              <w:rPr>
                <w:sz w:val="20"/>
                <w:szCs w:val="20"/>
                <w:color w:val="auto"/>
              </w:rPr>
            </w:pPr>
            <w:r>
              <w:rPr>
                <w:rFonts w:ascii="Arial" w:cs="Arial" w:eastAsia="Arial" w:hAnsi="Arial"/>
                <w:sz w:val="18"/>
                <w:szCs w:val="18"/>
                <w:color w:val="auto"/>
              </w:rPr>
              <w:t>Net Fee Due:</w:t>
            </w:r>
          </w:p>
        </w:tc>
        <w:tc>
          <w:tcPr>
            <w:tcW w:w="3880" w:type="dxa"/>
            <w:vAlign w:val="bottom"/>
            <w:tcBorders>
              <w:bottom w:val="single" w:sz="8" w:color="auto"/>
              <w:right w:val="single" w:sz="8" w:color="auto"/>
            </w:tcBorders>
            <w:gridSpan w:val="21"/>
          </w:tcPr>
          <w:p>
            <w:pPr>
              <w:jc w:val="right"/>
              <w:ind w:right="3340"/>
              <w:spacing w:after="0"/>
              <w:rPr>
                <w:sz w:val="20"/>
                <w:szCs w:val="20"/>
                <w:color w:val="auto"/>
              </w:rPr>
            </w:pPr>
            <w:r>
              <w:rPr>
                <w:rFonts w:ascii="Arial" w:cs="Arial" w:eastAsia="Arial" w:hAnsi="Arial"/>
                <w:sz w:val="18"/>
                <w:szCs w:val="18"/>
                <w:color w:val="auto"/>
              </w:rPr>
              <w:t>$ 0.00</w:t>
            </w: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3700" w:type="dxa"/>
            <w:vAlign w:val="bottom"/>
            <w:gridSpan w:val="20"/>
          </w:tcPr>
          <w:p>
            <w:pPr>
              <w:spacing w:after="0"/>
              <w:rPr>
                <w:sz w:val="20"/>
                <w:szCs w:val="20"/>
                <w:color w:val="auto"/>
              </w:rPr>
            </w:pPr>
            <w:r>
              <w:rPr>
                <w:rFonts w:ascii="Arial" w:cs="Arial" w:eastAsia="Arial" w:hAnsi="Arial"/>
                <w:sz w:val="18"/>
                <w:szCs w:val="18"/>
                <w:b w:val="1"/>
                <w:bCs w:val="1"/>
                <w:color w:val="auto"/>
              </w:rPr>
              <w:t>Table 2: Fee Offset Claims and Sources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2060" w:type="dxa"/>
            <w:vAlign w:val="bottom"/>
            <w:tcBorders>
              <w:top w:val="single" w:sz="8" w:color="auto"/>
              <w:left w:val="single" w:sz="8" w:color="auto"/>
              <w:right w:val="single" w:sz="8" w:color="9ADAF6"/>
            </w:tcBorders>
            <w:gridSpan w:val="13"/>
          </w:tcPr>
          <w:p>
            <w:pPr>
              <w:spacing w:after="0"/>
              <w:rPr>
                <w:sz w:val="17"/>
                <w:szCs w:val="17"/>
                <w:color w:val="auto"/>
              </w:rPr>
            </w:pPr>
          </w:p>
        </w:tc>
        <w:tc>
          <w:tcPr>
            <w:tcW w:w="1720" w:type="dxa"/>
            <w:vAlign w:val="bottom"/>
            <w:tcBorders>
              <w:top w:val="single" w:sz="8" w:color="auto"/>
              <w:right w:val="single" w:sz="8" w:color="9ADAF6"/>
            </w:tcBorders>
            <w:gridSpan w:val="9"/>
            <w:shd w:val="clear" w:color="auto" w:fill="9ADAF6"/>
          </w:tcPr>
          <w:p>
            <w:pPr>
              <w:spacing w:after="0"/>
              <w:rPr>
                <w:sz w:val="17"/>
                <w:szCs w:val="17"/>
                <w:color w:val="auto"/>
              </w:rPr>
            </w:pPr>
          </w:p>
        </w:tc>
        <w:tc>
          <w:tcPr>
            <w:tcW w:w="780" w:type="dxa"/>
            <w:vAlign w:val="bottom"/>
            <w:tcBorders>
              <w:top w:val="single" w:sz="8" w:color="auto"/>
              <w:right w:val="single" w:sz="8" w:color="9ADAF6"/>
            </w:tcBorders>
            <w:gridSpan w:val="2"/>
          </w:tcPr>
          <w:p>
            <w:pPr>
              <w:spacing w:after="0"/>
              <w:rPr>
                <w:sz w:val="17"/>
                <w:szCs w:val="17"/>
                <w:color w:val="auto"/>
              </w:rPr>
            </w:pPr>
          </w:p>
        </w:tc>
        <w:tc>
          <w:tcPr>
            <w:tcW w:w="620" w:type="dxa"/>
            <w:vAlign w:val="bottom"/>
            <w:tcBorders>
              <w:top w:val="single" w:sz="8" w:color="auto"/>
              <w:right w:val="single" w:sz="8" w:color="9ADAF6"/>
            </w:tcBorders>
            <w:gridSpan w:val="6"/>
          </w:tcPr>
          <w:p>
            <w:pPr>
              <w:spacing w:after="0"/>
              <w:rPr>
                <w:sz w:val="17"/>
                <w:szCs w:val="17"/>
                <w:color w:val="auto"/>
              </w:rPr>
            </w:pPr>
          </w:p>
        </w:tc>
        <w:tc>
          <w:tcPr>
            <w:tcW w:w="1320" w:type="dxa"/>
            <w:vAlign w:val="bottom"/>
            <w:tcBorders>
              <w:top w:val="single" w:sz="8" w:color="auto"/>
            </w:tcBorders>
            <w:gridSpan w:val="8"/>
          </w:tcPr>
          <w:p>
            <w:pPr>
              <w:spacing w:after="0"/>
              <w:rPr>
                <w:sz w:val="17"/>
                <w:szCs w:val="17"/>
                <w:color w:val="auto"/>
              </w:rPr>
            </w:pPr>
          </w:p>
        </w:tc>
        <w:tc>
          <w:tcPr>
            <w:tcW w:w="2040" w:type="dxa"/>
            <w:vAlign w:val="bottom"/>
            <w:tcBorders>
              <w:top w:val="single" w:sz="8" w:color="auto"/>
              <w:left w:val="single" w:sz="8" w:color="9ADAF6"/>
            </w:tcBorders>
            <w:gridSpan w:val="10"/>
          </w:tcPr>
          <w:p>
            <w:pPr>
              <w:spacing w:after="0"/>
              <w:rPr>
                <w:sz w:val="17"/>
                <w:szCs w:val="17"/>
                <w:color w:val="auto"/>
              </w:rPr>
            </w:pPr>
          </w:p>
        </w:tc>
        <w:tc>
          <w:tcPr>
            <w:tcW w:w="100" w:type="dxa"/>
            <w:vAlign w:val="bottom"/>
            <w:tcBorders>
              <w:top w:val="single" w:sz="8" w:color="auto"/>
              <w:left w:val="single" w:sz="8" w:color="9ADAF6"/>
              <w:right w:val="single" w:sz="8" w:color="9ADAF6"/>
            </w:tcBorders>
          </w:tcPr>
          <w:p>
            <w:pPr>
              <w:spacing w:after="0"/>
              <w:rPr>
                <w:sz w:val="17"/>
                <w:szCs w:val="17"/>
                <w:color w:val="auto"/>
              </w:rPr>
            </w:pPr>
          </w:p>
        </w:tc>
        <w:tc>
          <w:tcPr>
            <w:tcW w:w="2720" w:type="dxa"/>
            <w:vAlign w:val="bottom"/>
            <w:tcBorders>
              <w:top w:val="single" w:sz="8" w:color="auto"/>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Unsold</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8"/>
              </w:rPr>
              <w:t>Unsold</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Aggregate</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Form</w:t>
            </w: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gridSpan w:val="5"/>
            <w:vMerge w:val="restart"/>
            <w:shd w:val="clear" w:color="auto" w:fill="9ADAF6"/>
          </w:tcPr>
          <w:p>
            <w:pPr>
              <w:ind w:left="60"/>
              <w:spacing w:after="0"/>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vMerge w:val="restart"/>
            <w:shd w:val="clear" w:color="auto" w:fill="9ADAF6"/>
          </w:tcPr>
          <w:p>
            <w:pPr>
              <w:jc w:val="right"/>
              <w:ind w:right="140"/>
              <w:spacing w:after="0"/>
              <w:rPr>
                <w:sz w:val="20"/>
                <w:szCs w:val="20"/>
                <w:color w:val="auto"/>
              </w:rPr>
            </w:pPr>
            <w:r>
              <w:rPr>
                <w:rFonts w:ascii="Arial" w:cs="Arial" w:eastAsia="Arial" w:hAnsi="Arial"/>
                <w:sz w:val="18"/>
                <w:szCs w:val="18"/>
                <w:b w:val="1"/>
                <w:bCs w:val="1"/>
                <w:color w:val="auto"/>
              </w:rPr>
              <w:t>Fee</w:t>
            </w: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Type</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Title</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7"/>
              </w:rPr>
              <w:t>Securities</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Offering</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Paid</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7"/>
            <w:vMerge w:val="restart"/>
            <w:shd w:val="clear" w:color="auto" w:fill="9ADAF6"/>
          </w:tcPr>
          <w:p>
            <w:pPr>
              <w:ind w:left="180"/>
              <w:spacing w:after="0"/>
              <w:rPr>
                <w:sz w:val="20"/>
                <w:szCs w:val="20"/>
                <w:color w:val="auto"/>
              </w:rPr>
            </w:pPr>
            <w:r>
              <w:rPr>
                <w:rFonts w:ascii="Arial" w:cs="Arial" w:eastAsia="Arial" w:hAnsi="Arial"/>
                <w:sz w:val="18"/>
                <w:szCs w:val="18"/>
                <w:b w:val="1"/>
                <w:bCs w:val="1"/>
                <w:color w:val="auto"/>
                <w:w w:val="99"/>
              </w:rPr>
              <w:t>Registrant or</w:t>
            </w: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or</w:t>
            </w: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right w:val="single" w:sz="8" w:color="9ADAF6"/>
            </w:tcBorders>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8"/>
                <w:szCs w:val="8"/>
                <w:color w:val="auto"/>
              </w:rPr>
            </w:pPr>
          </w:p>
        </w:tc>
        <w:tc>
          <w:tcPr>
            <w:tcW w:w="600" w:type="dxa"/>
            <w:vAlign w:val="bottom"/>
            <w:tcBorders>
              <w:right w:val="single" w:sz="8" w:color="9ADAF6"/>
            </w:tcBorders>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ind w:left="80"/>
              <w:spacing w:after="0"/>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80" w:type="dxa"/>
            <w:vAlign w:val="bottom"/>
            <w:tcBorders>
              <w:left w:val="single" w:sz="8" w:color="9ADAF6"/>
            </w:tcBorders>
          </w:tcPr>
          <w:p>
            <w:pPr>
              <w:spacing w:after="0"/>
              <w:rPr>
                <w:sz w:val="8"/>
                <w:szCs w:val="8"/>
                <w:color w:val="auto"/>
              </w:rPr>
            </w:pPr>
          </w:p>
        </w:tc>
        <w:tc>
          <w:tcPr>
            <w:tcW w:w="980" w:type="dxa"/>
            <w:vAlign w:val="bottom"/>
            <w:gridSpan w:val="4"/>
            <w:vMerge w:val="restart"/>
            <w:shd w:val="clear" w:color="auto" w:fill="9ADAF6"/>
          </w:tcPr>
          <w:p>
            <w:pPr>
              <w:ind w:left="20"/>
              <w:spacing w:after="0"/>
              <w:rPr>
                <w:sz w:val="20"/>
                <w:szCs w:val="20"/>
                <w:color w:val="auto"/>
              </w:rPr>
            </w:pPr>
            <w:r>
              <w:rPr>
                <w:rFonts w:ascii="Arial" w:cs="Arial" w:eastAsia="Arial" w:hAnsi="Arial"/>
                <w:sz w:val="18"/>
                <w:szCs w:val="18"/>
                <w:b w:val="1"/>
                <w:bCs w:val="1"/>
                <w:color w:val="auto"/>
                <w:w w:val="97"/>
              </w:rPr>
              <w:t>Associated</w:t>
            </w:r>
          </w:p>
        </w:tc>
        <w:tc>
          <w:tcPr>
            <w:tcW w:w="20" w:type="dxa"/>
            <w:vAlign w:val="bottom"/>
          </w:tcPr>
          <w:p>
            <w:pPr>
              <w:spacing w:after="0"/>
              <w:rPr>
                <w:sz w:val="8"/>
                <w:szCs w:val="8"/>
                <w:color w:val="auto"/>
              </w:rPr>
            </w:pPr>
          </w:p>
        </w:tc>
        <w:tc>
          <w:tcPr>
            <w:tcW w:w="96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Associated</w:t>
            </w:r>
          </w:p>
        </w:tc>
        <w:tc>
          <w:tcPr>
            <w:tcW w:w="100" w:type="dxa"/>
            <w:vAlign w:val="bottom"/>
            <w:tcBorders>
              <w:left w:val="single" w:sz="8" w:color="9ADAF6"/>
              <w:right w:val="single" w:sz="8" w:color="9ADAF6"/>
            </w:tcBorders>
          </w:tcPr>
          <w:p>
            <w:pPr>
              <w:spacing w:after="0"/>
              <w:rPr>
                <w:sz w:val="8"/>
                <w:szCs w:val="8"/>
                <w:color w:val="auto"/>
              </w:rPr>
            </w:pPr>
          </w:p>
        </w:tc>
        <w:tc>
          <w:tcPr>
            <w:tcW w:w="920" w:type="dxa"/>
            <w:vAlign w:val="bottom"/>
            <w:gridSpan w:val="6"/>
            <w:vMerge w:val="restart"/>
            <w:shd w:val="clear" w:color="auto" w:fill="9ADAF6"/>
          </w:tcPr>
          <w:p>
            <w:pPr>
              <w:jc w:val="center"/>
              <w:ind w:right="20"/>
              <w:spacing w:after="0"/>
              <w:rPr>
                <w:sz w:val="20"/>
                <w:szCs w:val="20"/>
                <w:color w:val="auto"/>
              </w:rPr>
            </w:pPr>
            <w:r>
              <w:rPr>
                <w:rFonts w:ascii="Arial" w:cs="Arial" w:eastAsia="Arial" w:hAnsi="Arial"/>
                <w:sz w:val="18"/>
                <w:szCs w:val="18"/>
                <w:b w:val="1"/>
                <w:bCs w:val="1"/>
                <w:color w:val="auto"/>
                <w:w w:val="93"/>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with</w:t>
            </w:r>
          </w:p>
        </w:tc>
        <w:tc>
          <w:tcPr>
            <w:tcW w:w="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7"/>
            <w:vMerge w:val="continue"/>
            <w:shd w:val="clear" w:color="auto" w:fill="9ADAF6"/>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shd w:val="clear" w:color="auto" w:fill="9ADAF6"/>
          </w:tcPr>
          <w:p>
            <w:pPr>
              <w:spacing w:after="0"/>
              <w:rPr>
                <w:sz w:val="15"/>
                <w:szCs w:val="15"/>
                <w:color w:val="auto"/>
              </w:rPr>
            </w:pPr>
          </w:p>
        </w:tc>
        <w:tc>
          <w:tcPr>
            <w:tcW w:w="4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right w:val="single" w:sz="8" w:color="9ADAF6"/>
            </w:tcBorders>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gridSpan w:val="5"/>
            <w:shd w:val="clear" w:color="auto" w:fill="9ADAF6"/>
          </w:tcPr>
          <w:p>
            <w:pPr>
              <w:ind w:left="60"/>
              <w:spacing w:after="0" w:line="178" w:lineRule="exact"/>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15"/>
                <w:szCs w:val="15"/>
                <w:color w:val="auto"/>
              </w:rPr>
            </w:pPr>
          </w:p>
        </w:tc>
        <w:tc>
          <w:tcPr>
            <w:tcW w:w="62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shd w:val="clear" w:color="auto" w:fill="9ADAF6"/>
          </w:tcPr>
          <w:p>
            <w:pPr>
              <w:jc w:val="right"/>
              <w:ind w:right="40"/>
              <w:spacing w:after="0" w:line="178" w:lineRule="exact"/>
              <w:rPr>
                <w:sz w:val="20"/>
                <w:szCs w:val="20"/>
                <w:color w:val="auto"/>
              </w:rPr>
            </w:pPr>
            <w:r>
              <w:rPr>
                <w:rFonts w:ascii="Arial" w:cs="Arial" w:eastAsia="Arial" w:hAnsi="Arial"/>
                <w:sz w:val="18"/>
                <w:szCs w:val="18"/>
                <w:b w:val="1"/>
                <w:bCs w:val="1"/>
                <w:color w:val="auto"/>
              </w:rPr>
              <w:t>Offset</w:t>
            </w:r>
          </w:p>
        </w:tc>
        <w:tc>
          <w:tcPr>
            <w:tcW w:w="80" w:type="dxa"/>
            <w:vAlign w:val="bottom"/>
            <w:tcBorders>
              <w:left w:val="single" w:sz="8" w:color="9ADAF6"/>
            </w:tcBorders>
          </w:tcPr>
          <w:p>
            <w:pPr>
              <w:spacing w:after="0"/>
              <w:rPr>
                <w:sz w:val="15"/>
                <w:szCs w:val="15"/>
                <w:color w:val="auto"/>
              </w:rPr>
            </w:pPr>
          </w:p>
        </w:tc>
        <w:tc>
          <w:tcPr>
            <w:tcW w:w="98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shd w:val="clear" w:color="auto" w:fill="9ADAF6"/>
          </w:tcPr>
          <w:p>
            <w:pPr>
              <w:spacing w:after="0"/>
              <w:rPr>
                <w:sz w:val="15"/>
                <w:szCs w:val="15"/>
                <w:color w:val="auto"/>
              </w:rPr>
            </w:pPr>
          </w:p>
        </w:tc>
        <w:tc>
          <w:tcPr>
            <w:tcW w:w="100" w:type="dxa"/>
            <w:vAlign w:val="bottom"/>
            <w:tcBorders>
              <w:left w:val="single" w:sz="8" w:color="9ADAF6"/>
              <w:right w:val="single" w:sz="8" w:color="9ADAF6"/>
            </w:tcBorders>
          </w:tcPr>
          <w:p>
            <w:pPr>
              <w:spacing w:after="0"/>
              <w:rPr>
                <w:sz w:val="15"/>
                <w:szCs w:val="15"/>
                <w:color w:val="auto"/>
              </w:rPr>
            </w:pPr>
          </w:p>
        </w:tc>
        <w:tc>
          <w:tcPr>
            <w:tcW w:w="920" w:type="dxa"/>
            <w:vAlign w:val="bottom"/>
            <w:gridSpan w:val="6"/>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6"/>
            <w:shd w:val="clear" w:color="auto" w:fill="9ADAF6"/>
          </w:tcPr>
          <w:p>
            <w:pPr>
              <w:ind w:left="280"/>
              <w:spacing w:after="0" w:line="200" w:lineRule="exact"/>
              <w:rPr>
                <w:sz w:val="20"/>
                <w:szCs w:val="20"/>
                <w:color w:val="auto"/>
              </w:rPr>
            </w:pPr>
            <w:r>
              <w:rPr>
                <w:rFonts w:ascii="Arial" w:cs="Arial" w:eastAsia="Arial" w:hAnsi="Arial"/>
                <w:sz w:val="18"/>
                <w:szCs w:val="18"/>
                <w:b w:val="1"/>
                <w:bCs w:val="1"/>
                <w:color w:val="auto"/>
                <w:w w:val="97"/>
              </w:rPr>
              <w:t>Filer Name</w:t>
            </w: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Filing</w:t>
            </w: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17"/>
                <w:szCs w:val="17"/>
                <w:color w:val="auto"/>
              </w:rPr>
            </w:pPr>
          </w:p>
        </w:tc>
        <w:tc>
          <w:tcPr>
            <w:tcW w:w="600" w:type="dxa"/>
            <w:vAlign w:val="bottom"/>
            <w:tcBorders>
              <w:right w:val="single" w:sz="8" w:color="9ADAF6"/>
            </w:tcBorders>
            <w:gridSpan w:val="5"/>
            <w:shd w:val="clear" w:color="auto" w:fill="9ADAF6"/>
          </w:tcPr>
          <w:p>
            <w:pPr>
              <w:ind w:left="100"/>
              <w:spacing w:after="0" w:line="200"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620" w:type="dxa"/>
            <w:vAlign w:val="bottom"/>
            <w:gridSpan w:val="3"/>
            <w:shd w:val="clear" w:color="auto" w:fill="9ADAF6"/>
          </w:tcPr>
          <w:p>
            <w:pPr>
              <w:ind w:left="120"/>
              <w:spacing w:after="0" w:line="200"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660" w:type="dxa"/>
            <w:vAlign w:val="bottom"/>
            <w:gridSpan w:val="3"/>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7"/>
              </w:rPr>
              <w:t>Claimed</w:t>
            </w: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Associated</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Type</w:t>
            </w:r>
          </w:p>
        </w:tc>
        <w:tc>
          <w:tcPr>
            <w:tcW w:w="4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80" w:type="dxa"/>
            <w:vAlign w:val="bottom"/>
            <w:tcBorders>
              <w:left w:val="single" w:sz="8" w:color="9ADAF6"/>
            </w:tcBorders>
          </w:tcPr>
          <w:p>
            <w:pPr>
              <w:spacing w:after="0"/>
              <w:rPr>
                <w:sz w:val="10"/>
                <w:szCs w:val="10"/>
                <w:color w:val="auto"/>
              </w:rPr>
            </w:pPr>
          </w:p>
        </w:tc>
        <w:tc>
          <w:tcPr>
            <w:tcW w:w="900" w:type="dxa"/>
            <w:vAlign w:val="bottom"/>
            <w:gridSpan w:val="3"/>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100" w:type="dxa"/>
            <w:vAlign w:val="bottom"/>
            <w:tcBorders>
              <w:left w:val="single" w:sz="8" w:color="9ADAF6"/>
              <w:right w:val="single" w:sz="8" w:color="9ADAF6"/>
            </w:tcBorders>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60" w:type="dxa"/>
            <w:vAlign w:val="bottom"/>
            <w:gridSpan w:val="4"/>
            <w:shd w:val="clear" w:color="auto" w:fill="9ADAF6"/>
          </w:tcPr>
          <w:p>
            <w:pPr>
              <w:jc w:val="center"/>
              <w:ind w:right="240"/>
              <w:spacing w:after="0" w:line="121"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7"/>
              </w:rPr>
              <w:t>Claimed</w:t>
            </w:r>
          </w:p>
        </w:tc>
        <w:tc>
          <w:tcPr>
            <w:tcW w:w="20" w:type="dxa"/>
            <w:vAlign w:val="bottom"/>
          </w:tcPr>
          <w:p>
            <w:pPr>
              <w:spacing w:after="0"/>
              <w:rPr>
                <w:sz w:val="17"/>
                <w:szCs w:val="17"/>
                <w:color w:val="auto"/>
              </w:rPr>
            </w:pPr>
          </w:p>
        </w:tc>
        <w:tc>
          <w:tcPr>
            <w:tcW w:w="760" w:type="dxa"/>
            <w:vAlign w:val="bottom"/>
            <w:gridSpan w:val="2"/>
            <w:shd w:val="clear" w:color="auto" w:fill="9ADAF6"/>
          </w:tcPr>
          <w:p>
            <w:pPr>
              <w:jc w:val="center"/>
              <w:ind w:left="112"/>
              <w:spacing w:after="0" w:line="200" w:lineRule="exact"/>
              <w:rPr>
                <w:sz w:val="20"/>
                <w:szCs w:val="20"/>
                <w:color w:val="auto"/>
              </w:rPr>
            </w:pPr>
            <w:r>
              <w:rPr>
                <w:rFonts w:ascii="Arial" w:cs="Arial" w:eastAsia="Arial" w:hAnsi="Arial"/>
                <w:sz w:val="18"/>
                <w:szCs w:val="18"/>
                <w:b w:val="1"/>
                <w:bCs w:val="1"/>
                <w:color w:val="auto"/>
                <w:w w:val="99"/>
              </w:rPr>
              <w:t>Offset</w:t>
            </w:r>
          </w:p>
        </w:tc>
        <w:tc>
          <w:tcPr>
            <w:tcW w:w="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Source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9ADAF6"/>
            </w:tcBorders>
            <w:gridSpan w:val="13"/>
          </w:tcPr>
          <w:p>
            <w:pPr>
              <w:spacing w:after="0"/>
              <w:rPr>
                <w:sz w:val="20"/>
                <w:szCs w:val="20"/>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p>
        </w:tc>
        <w:tc>
          <w:tcPr>
            <w:tcW w:w="780" w:type="dxa"/>
            <w:vAlign w:val="bottom"/>
            <w:tcBorders>
              <w:right w:val="single" w:sz="8" w:color="9ADAF6"/>
            </w:tcBorders>
            <w:gridSpan w:val="2"/>
          </w:tcPr>
          <w:p>
            <w:pPr>
              <w:spacing w:after="0"/>
              <w:rPr>
                <w:sz w:val="20"/>
                <w:szCs w:val="20"/>
                <w:color w:val="auto"/>
              </w:rPr>
            </w:pPr>
          </w:p>
        </w:tc>
        <w:tc>
          <w:tcPr>
            <w:tcW w:w="620" w:type="dxa"/>
            <w:vAlign w:val="bottom"/>
            <w:tcBorders>
              <w:right w:val="single" w:sz="8" w:color="9ADAF6"/>
            </w:tcBorders>
            <w:gridSpan w:val="6"/>
          </w:tcPr>
          <w:p>
            <w:pPr>
              <w:spacing w:after="0"/>
              <w:rPr>
                <w:sz w:val="20"/>
                <w:szCs w:val="20"/>
                <w:color w:val="auto"/>
              </w:rPr>
            </w:pPr>
          </w:p>
        </w:tc>
        <w:tc>
          <w:tcPr>
            <w:tcW w:w="1320" w:type="dxa"/>
            <w:vAlign w:val="bottom"/>
            <w:gridSpan w:val="8"/>
          </w:tcPr>
          <w:p>
            <w:pPr>
              <w:spacing w:after="0"/>
              <w:rPr>
                <w:sz w:val="20"/>
                <w:szCs w:val="20"/>
                <w:color w:val="auto"/>
              </w:rPr>
            </w:pPr>
          </w:p>
        </w:tc>
        <w:tc>
          <w:tcPr>
            <w:tcW w:w="2040" w:type="dxa"/>
            <w:vAlign w:val="bottom"/>
            <w:tcBorders>
              <w:left w:val="single" w:sz="8" w:color="9ADAF6"/>
            </w:tcBorders>
            <w:gridSpan w:val="10"/>
          </w:tcPr>
          <w:p>
            <w:pPr>
              <w:spacing w:after="0"/>
              <w:rPr>
                <w:sz w:val="20"/>
                <w:szCs w:val="20"/>
                <w:color w:val="auto"/>
              </w:rPr>
            </w:pPr>
          </w:p>
        </w:tc>
        <w:tc>
          <w:tcPr>
            <w:tcW w:w="100" w:type="dxa"/>
            <w:vAlign w:val="bottom"/>
            <w:tcBorders>
              <w:left w:val="single" w:sz="8" w:color="9ADAF6"/>
              <w:right w:val="single" w:sz="8" w:color="9ADAF6"/>
            </w:tcBorders>
          </w:tcPr>
          <w:p>
            <w:pPr>
              <w:spacing w:after="0"/>
              <w:rPr>
                <w:sz w:val="20"/>
                <w:szCs w:val="20"/>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Claimed</w:t>
            </w: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380" w:type="dxa"/>
            <w:vAlign w:val="bottom"/>
            <w:gridSpan w:val="16"/>
          </w:tcPr>
          <w:p>
            <w:pPr>
              <w:spacing w:after="0"/>
              <w:rPr>
                <w:sz w:val="20"/>
                <w:szCs w:val="20"/>
                <w:color w:val="auto"/>
              </w:rPr>
            </w:pPr>
            <w:r>
              <w:rPr>
                <w:rFonts w:ascii="Arial" w:cs="Arial" w:eastAsia="Arial" w:hAnsi="Arial"/>
                <w:sz w:val="18"/>
                <w:szCs w:val="18"/>
                <w:b w:val="1"/>
                <w:bCs w:val="1"/>
                <w:color w:val="auto"/>
              </w:rPr>
              <w:t>Rules 457(b) and 0-11(a)(2)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89"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1360" w:type="dxa"/>
            <w:vAlign w:val="bottom"/>
            <w:tcBorders>
              <w:left w:val="single" w:sz="8" w:color="auto"/>
              <w:right w:val="single" w:sz="8" w:color="auto"/>
            </w:tcBorders>
            <w:gridSpan w:val="63"/>
          </w:tcPr>
          <w:p>
            <w:pPr>
              <w:spacing w:after="0"/>
              <w:rPr>
                <w:sz w:val="20"/>
                <w:szCs w:val="20"/>
                <w:color w:val="auto"/>
              </w:rPr>
            </w:pPr>
            <w:r>
              <w:rPr>
                <w:rFonts w:ascii="Arial" w:cs="Arial" w:eastAsia="Arial" w:hAnsi="Arial"/>
                <w:sz w:val="18"/>
                <w:szCs w:val="18"/>
                <w:b w:val="1"/>
                <w:bCs w:val="1"/>
                <w:color w:val="auto"/>
              </w:rPr>
              <w:t>Rule 457(p)</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89"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360" w:type="dxa"/>
            <w:vAlign w:val="bottom"/>
            <w:tcBorders>
              <w:left w:val="single" w:sz="8" w:color="auto"/>
              <w:bottom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2860" w:type="dxa"/>
            <w:vAlign w:val="bottom"/>
            <w:gridSpan w:val="16"/>
          </w:tcPr>
          <w:p>
            <w:pPr>
              <w:spacing w:after="0"/>
              <w:rPr>
                <w:sz w:val="20"/>
                <w:szCs w:val="20"/>
                <w:color w:val="auto"/>
              </w:rPr>
            </w:pPr>
            <w:r>
              <w:rPr>
                <w:rFonts w:ascii="Arial" w:cs="Arial" w:eastAsia="Arial" w:hAnsi="Arial"/>
                <w:sz w:val="18"/>
                <w:szCs w:val="18"/>
                <w:b w:val="1"/>
                <w:bCs w:val="1"/>
                <w:color w:val="auto"/>
                <w:w w:val="99"/>
              </w:rPr>
              <w:t>Table 3: Combined Prospectuses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40" w:type="dxa"/>
            <w:vAlign w:val="bottom"/>
            <w:tcBorders>
              <w:top w:val="single" w:sz="8" w:color="auto"/>
              <w:left w:val="single" w:sz="8" w:color="auto"/>
            </w:tcBorders>
          </w:tcPr>
          <w:p>
            <w:pPr>
              <w:spacing w:after="0"/>
              <w:rPr>
                <w:sz w:val="17"/>
                <w:szCs w:val="17"/>
                <w:color w:val="auto"/>
              </w:rPr>
            </w:pPr>
          </w:p>
        </w:tc>
        <w:tc>
          <w:tcPr>
            <w:tcW w:w="4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8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22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4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280" w:type="dxa"/>
            <w:vAlign w:val="bottom"/>
            <w:tcBorders>
              <w:top w:val="single" w:sz="8" w:color="auto"/>
            </w:tcBorders>
            <w:shd w:val="clear" w:color="auto" w:fill="9ADAF6"/>
          </w:tcPr>
          <w:p>
            <w:pPr>
              <w:spacing w:after="0"/>
              <w:rPr>
                <w:sz w:val="17"/>
                <w:szCs w:val="17"/>
                <w:color w:val="auto"/>
              </w:rPr>
            </w:pPr>
          </w:p>
        </w:tc>
        <w:tc>
          <w:tcPr>
            <w:tcW w:w="8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120" w:type="dxa"/>
            <w:vAlign w:val="bottom"/>
            <w:tcBorders>
              <w:top w:val="single" w:sz="8" w:color="auto"/>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56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76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2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960" w:type="dxa"/>
            <w:vAlign w:val="bottom"/>
            <w:tcBorders>
              <w:top w:val="single" w:sz="8" w:color="auto"/>
            </w:tcBorders>
            <w:gridSpan w:val="5"/>
            <w:shd w:val="clear" w:color="auto" w:fill="9ADAF6"/>
          </w:tcPr>
          <w:p>
            <w:pPr>
              <w:ind w:left="40"/>
              <w:spacing w:after="0" w:line="205" w:lineRule="exact"/>
              <w:rPr>
                <w:sz w:val="20"/>
                <w:szCs w:val="20"/>
                <w:color w:val="auto"/>
              </w:rPr>
            </w:pPr>
            <w:r>
              <w:rPr>
                <w:rFonts w:ascii="Arial" w:cs="Arial" w:eastAsia="Arial" w:hAnsi="Arial"/>
                <w:sz w:val="18"/>
                <w:szCs w:val="18"/>
                <w:b w:val="1"/>
                <w:bCs w:val="1"/>
                <w:color w:val="auto"/>
                <w:w w:val="99"/>
              </w:rPr>
              <w:t>Amount of</w:t>
            </w:r>
          </w:p>
        </w:tc>
        <w:tc>
          <w:tcPr>
            <w:tcW w:w="30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left w:val="single" w:sz="8" w:color="9ADAF6"/>
            </w:tcBorders>
            <w:shd w:val="clear" w:color="auto" w:fill="9ADAF6"/>
          </w:tcPr>
          <w:p>
            <w:pPr>
              <w:spacing w:after="0"/>
              <w:rPr>
                <w:sz w:val="17"/>
                <w:szCs w:val="17"/>
                <w:color w:val="auto"/>
              </w:rPr>
            </w:pPr>
          </w:p>
        </w:tc>
        <w:tc>
          <w:tcPr>
            <w:tcW w:w="1920" w:type="dxa"/>
            <w:vAlign w:val="bottom"/>
            <w:tcBorders>
              <w:top w:val="single" w:sz="8" w:color="auto"/>
            </w:tcBorders>
            <w:gridSpan w:val="8"/>
            <w:shd w:val="clear" w:color="auto" w:fill="9ADAF6"/>
          </w:tcPr>
          <w:p>
            <w:pPr>
              <w:ind w:left="40"/>
              <w:spacing w:after="0" w:line="205" w:lineRule="exact"/>
              <w:rPr>
                <w:sz w:val="20"/>
                <w:szCs w:val="20"/>
                <w:color w:val="auto"/>
              </w:rPr>
            </w:pPr>
            <w:r>
              <w:rPr>
                <w:rFonts w:ascii="Arial" w:cs="Arial" w:eastAsia="Arial" w:hAnsi="Arial"/>
                <w:sz w:val="18"/>
                <w:szCs w:val="18"/>
                <w:b w:val="1"/>
                <w:bCs w:val="1"/>
                <w:color w:val="auto"/>
              </w:rPr>
              <w:t>Maximum Aggregate</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left w:val="single" w:sz="8" w:color="9ADAF6"/>
              <w:right w:val="single" w:sz="8" w:color="9ADAF6"/>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40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7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9ADAF6"/>
          </w:tcPr>
          <w:p>
            <w:pPr>
              <w:spacing w:after="0"/>
              <w:rPr>
                <w:sz w:val="17"/>
                <w:szCs w:val="17"/>
                <w:color w:val="auto"/>
              </w:rPr>
            </w:pPr>
          </w:p>
        </w:tc>
        <w:tc>
          <w:tcPr>
            <w:tcW w:w="700" w:type="dxa"/>
            <w:vAlign w:val="bottom"/>
            <w:tcBorders>
              <w:top w:val="single" w:sz="8" w:color="auto"/>
            </w:tcBorders>
            <w:gridSpan w:val="3"/>
            <w:vMerge w:val="restart"/>
            <w:shd w:val="clear" w:color="auto" w:fill="9ADAF6"/>
          </w:tcPr>
          <w:p>
            <w:pPr>
              <w:jc w:val="center"/>
              <w:ind w:right="200"/>
              <w:spacing w:after="0"/>
              <w:rPr>
                <w:sz w:val="20"/>
                <w:szCs w:val="20"/>
                <w:color w:val="auto"/>
              </w:rPr>
            </w:pPr>
            <w:r>
              <w:rPr>
                <w:rFonts w:ascii="Arial" w:cs="Arial" w:eastAsia="Arial" w:hAnsi="Arial"/>
                <w:sz w:val="18"/>
                <w:szCs w:val="18"/>
                <w:b w:val="1"/>
                <w:bCs w:val="1"/>
                <w:color w:val="auto"/>
                <w:w w:val="97"/>
              </w:rPr>
              <w:t>Initial</w:t>
            </w:r>
          </w:p>
        </w:tc>
        <w:tc>
          <w:tcPr>
            <w:tcW w:w="1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60" w:type="dxa"/>
            <w:vAlign w:val="bottom"/>
            <w:gridSpan w:val="5"/>
            <w:vMerge w:val="restart"/>
            <w:shd w:val="clear" w:color="auto" w:fill="9ADAF6"/>
          </w:tcPr>
          <w:p>
            <w:pPr>
              <w:ind w:left="60"/>
              <w:spacing w:after="0" w:line="200" w:lineRule="exact"/>
              <w:rPr>
                <w:sz w:val="20"/>
                <w:szCs w:val="20"/>
                <w:color w:val="auto"/>
              </w:rPr>
            </w:pPr>
            <w:r>
              <w:rPr>
                <w:rFonts w:ascii="Arial" w:cs="Arial" w:eastAsia="Arial" w:hAnsi="Arial"/>
                <w:sz w:val="18"/>
                <w:szCs w:val="18"/>
                <w:b w:val="1"/>
                <w:bCs w:val="1"/>
                <w:color w:val="auto"/>
              </w:rPr>
              <w:t>Securities</w:t>
            </w:r>
          </w:p>
        </w:tc>
        <w:tc>
          <w:tcPr>
            <w:tcW w:w="3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1920" w:type="dxa"/>
            <w:vAlign w:val="bottom"/>
            <w:gridSpan w:val="8"/>
            <w:vMerge w:val="restart"/>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 Price of</w:t>
            </w:r>
          </w:p>
        </w:tc>
        <w:tc>
          <w:tcPr>
            <w:tcW w:w="40" w:type="dxa"/>
            <w:vAlign w:val="bottom"/>
          </w:tcPr>
          <w:p>
            <w:pPr>
              <w:spacing w:after="0"/>
              <w:rPr>
                <w:sz w:val="8"/>
                <w:szCs w:val="8"/>
                <w:color w:val="auto"/>
              </w:rPr>
            </w:pPr>
          </w:p>
        </w:tc>
        <w:tc>
          <w:tcPr>
            <w:tcW w:w="100" w:type="dxa"/>
            <w:vAlign w:val="bottom"/>
            <w:tcBorders>
              <w:left w:val="single" w:sz="8" w:color="9ADAF6"/>
              <w:right w:val="single" w:sz="8" w:color="9ADAF6"/>
            </w:tcBorders>
            <w:shd w:val="clear" w:color="auto" w:fill="9ADAF6"/>
          </w:tcPr>
          <w:p>
            <w:pPr>
              <w:spacing w:after="0"/>
              <w:rPr>
                <w:sz w:val="8"/>
                <w:szCs w:val="8"/>
                <w:color w:val="auto"/>
              </w:rPr>
            </w:pPr>
          </w:p>
        </w:tc>
        <w:tc>
          <w:tcPr>
            <w:tcW w:w="560" w:type="dxa"/>
            <w:vAlign w:val="bottom"/>
            <w:gridSpan w:val="3"/>
            <w:vMerge w:val="restart"/>
            <w:shd w:val="clear" w:color="auto" w:fill="9ADAF6"/>
          </w:tcPr>
          <w:p>
            <w:pPr>
              <w:jc w:val="center"/>
              <w:ind w:right="33"/>
              <w:spacing w:after="0" w:line="200" w:lineRule="exact"/>
              <w:rPr>
                <w:sz w:val="20"/>
                <w:szCs w:val="20"/>
                <w:color w:val="auto"/>
              </w:rPr>
            </w:pPr>
            <w:r>
              <w:rPr>
                <w:rFonts w:ascii="Arial" w:cs="Arial" w:eastAsia="Arial" w:hAnsi="Arial"/>
                <w:sz w:val="18"/>
                <w:szCs w:val="18"/>
                <w:b w:val="1"/>
                <w:bCs w:val="1"/>
                <w:color w:val="auto"/>
                <w:w w:val="97"/>
              </w:rPr>
              <w:t>Form</w:t>
            </w: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00" w:type="dxa"/>
            <w:vAlign w:val="bottom"/>
            <w:gridSpan w:val="3"/>
            <w:vMerge w:val="continue"/>
            <w:shd w:val="clear" w:color="auto" w:fill="9ADAF6"/>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right w:val="single" w:sz="8" w:color="9ADAF6"/>
            </w:tcBorders>
            <w:gridSpan w:val="10"/>
            <w:vMerge w:val="restart"/>
            <w:shd w:val="clear" w:color="auto" w:fill="9ADAF6"/>
          </w:tcPr>
          <w:p>
            <w:pPr>
              <w:ind w:left="200"/>
              <w:spacing w:after="0"/>
              <w:rPr>
                <w:sz w:val="20"/>
                <w:szCs w:val="20"/>
                <w:color w:val="auto"/>
              </w:rPr>
            </w:pPr>
            <w:r>
              <w:rPr>
                <w:rFonts w:ascii="Arial" w:cs="Arial" w:eastAsia="Arial" w:hAnsi="Arial"/>
                <w:sz w:val="18"/>
                <w:szCs w:val="18"/>
                <w:b w:val="1"/>
                <w:bCs w:val="1"/>
                <w:color w:val="auto"/>
              </w:rPr>
              <w:t>Security Type</w:t>
            </w:r>
          </w:p>
        </w:tc>
        <w:tc>
          <w:tcPr>
            <w:tcW w:w="20" w:type="dxa"/>
            <w:vAlign w:val="bottom"/>
          </w:tcPr>
          <w:p>
            <w:pPr>
              <w:spacing w:after="0"/>
              <w:rPr>
                <w:sz w:val="8"/>
                <w:szCs w:val="8"/>
                <w:color w:val="auto"/>
              </w:rPr>
            </w:pPr>
          </w:p>
        </w:tc>
        <w:tc>
          <w:tcPr>
            <w:tcW w:w="2480" w:type="dxa"/>
            <w:vAlign w:val="bottom"/>
            <w:tcBorders>
              <w:right w:val="single" w:sz="8" w:color="9ADAF6"/>
            </w:tcBorders>
            <w:gridSpan w:val="10"/>
            <w:vMerge w:val="restart"/>
            <w:shd w:val="clear" w:color="auto" w:fill="9ADAF6"/>
          </w:tcPr>
          <w:p>
            <w:pPr>
              <w:jc w:val="center"/>
              <w:ind w:left="231"/>
              <w:spacing w:after="0"/>
              <w:rPr>
                <w:sz w:val="20"/>
                <w:szCs w:val="20"/>
                <w:color w:val="auto"/>
              </w:rPr>
            </w:pPr>
            <w:r>
              <w:rPr>
                <w:rFonts w:ascii="Arial" w:cs="Arial" w:eastAsia="Arial" w:hAnsi="Arial"/>
                <w:sz w:val="18"/>
                <w:szCs w:val="18"/>
                <w:b w:val="1"/>
                <w:bCs w:val="1"/>
                <w:color w:val="auto"/>
                <w:w w:val="98"/>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60" w:type="dxa"/>
            <w:vAlign w:val="bottom"/>
            <w:gridSpan w:val="5"/>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1920" w:type="dxa"/>
            <w:vAlign w:val="bottom"/>
            <w:gridSpan w:val="8"/>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left w:val="single" w:sz="8" w:color="9ADAF6"/>
              <w:right w:val="single" w:sz="8" w:color="9ADAF6"/>
            </w:tcBorders>
            <w:shd w:val="clear" w:color="auto" w:fill="9ADAF6"/>
          </w:tcPr>
          <w:p>
            <w:pPr>
              <w:spacing w:after="0"/>
              <w:rPr>
                <w:sz w:val="8"/>
                <w:szCs w:val="8"/>
                <w:color w:val="auto"/>
              </w:rPr>
            </w:pPr>
          </w:p>
        </w:tc>
        <w:tc>
          <w:tcPr>
            <w:tcW w:w="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shd w:val="clear" w:color="auto" w:fill="9ADAF6"/>
          </w:tcPr>
          <w:p>
            <w:pPr>
              <w:ind w:left="40"/>
              <w:spacing w:after="0"/>
              <w:rPr>
                <w:sz w:val="20"/>
                <w:szCs w:val="20"/>
                <w:color w:val="auto"/>
              </w:rPr>
            </w:pPr>
            <w:r>
              <w:rPr>
                <w:rFonts w:ascii="Arial" w:cs="Arial" w:eastAsia="Arial" w:hAnsi="Arial"/>
                <w:sz w:val="18"/>
                <w:szCs w:val="18"/>
                <w:b w:val="1"/>
                <w:bCs w:val="1"/>
                <w:color w:val="auto"/>
                <w:w w:val="99"/>
              </w:rPr>
              <w:t>File Number</w:t>
            </w: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Effective</w:t>
            </w: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right w:val="single" w:sz="8" w:color="9ADAF6"/>
            </w:tcBorders>
            <w:gridSpan w:val="10"/>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Borders>
              <w:right w:val="single" w:sz="8" w:color="9ADAF6"/>
            </w:tcBorders>
            <w:gridSpan w:val="10"/>
            <w:vMerge w:val="continue"/>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960" w:type="dxa"/>
            <w:vAlign w:val="bottom"/>
            <w:gridSpan w:val="5"/>
            <w:shd w:val="clear" w:color="auto" w:fill="9ADAF6"/>
          </w:tcPr>
          <w:p>
            <w:pPr>
              <w:ind w:left="40"/>
              <w:spacing w:after="0" w:line="178" w:lineRule="exact"/>
              <w:rPr>
                <w:sz w:val="20"/>
                <w:szCs w:val="20"/>
                <w:color w:val="auto"/>
              </w:rPr>
            </w:pPr>
            <w:r>
              <w:rPr>
                <w:rFonts w:ascii="Arial" w:cs="Arial" w:eastAsia="Arial" w:hAnsi="Arial"/>
                <w:sz w:val="18"/>
                <w:szCs w:val="18"/>
                <w:b w:val="1"/>
                <w:bCs w:val="1"/>
                <w:color w:val="auto"/>
                <w:w w:val="98"/>
              </w:rPr>
              <w:t>Previously</w:t>
            </w:r>
          </w:p>
        </w:tc>
        <w:tc>
          <w:tcPr>
            <w:tcW w:w="3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left w:val="single" w:sz="8" w:color="9ADAF6"/>
            </w:tcBorders>
            <w:shd w:val="clear" w:color="auto" w:fill="9ADAF6"/>
          </w:tcPr>
          <w:p>
            <w:pPr>
              <w:spacing w:after="0"/>
              <w:rPr>
                <w:sz w:val="15"/>
                <w:szCs w:val="15"/>
                <w:color w:val="auto"/>
              </w:rPr>
            </w:pPr>
          </w:p>
        </w:tc>
        <w:tc>
          <w:tcPr>
            <w:tcW w:w="1920" w:type="dxa"/>
            <w:vAlign w:val="bottom"/>
            <w:gridSpan w:val="8"/>
            <w:shd w:val="clear" w:color="auto" w:fill="9ADAF6"/>
          </w:tcPr>
          <w:p>
            <w:pPr>
              <w:ind w:left="20"/>
              <w:spacing w:after="0" w:line="178" w:lineRule="exact"/>
              <w:rPr>
                <w:sz w:val="20"/>
                <w:szCs w:val="20"/>
                <w:color w:val="auto"/>
              </w:rPr>
            </w:pPr>
            <w:r>
              <w:rPr>
                <w:rFonts w:ascii="Arial" w:cs="Arial" w:eastAsia="Arial" w:hAnsi="Arial"/>
                <w:sz w:val="18"/>
                <w:szCs w:val="18"/>
                <w:b w:val="1"/>
                <w:bCs w:val="1"/>
                <w:color w:val="auto"/>
              </w:rPr>
              <w:t>Securities Previously</w:t>
            </w:r>
          </w:p>
        </w:tc>
        <w:tc>
          <w:tcPr>
            <w:tcW w:w="40" w:type="dxa"/>
            <w:vAlign w:val="bottom"/>
          </w:tcPr>
          <w:p>
            <w:pPr>
              <w:spacing w:after="0"/>
              <w:rPr>
                <w:sz w:val="15"/>
                <w:szCs w:val="15"/>
                <w:color w:val="auto"/>
              </w:rPr>
            </w:pPr>
          </w:p>
        </w:tc>
        <w:tc>
          <w:tcPr>
            <w:tcW w:w="100" w:type="dxa"/>
            <w:vAlign w:val="bottom"/>
            <w:tcBorders>
              <w:left w:val="single" w:sz="8" w:color="9ADAF6"/>
              <w:right w:val="single" w:sz="8" w:color="9ADAF6"/>
            </w:tcBorders>
            <w:shd w:val="clear" w:color="auto" w:fill="9ADAF6"/>
          </w:tcPr>
          <w:p>
            <w:pPr>
              <w:spacing w:after="0"/>
              <w:rPr>
                <w:sz w:val="15"/>
                <w:szCs w:val="15"/>
                <w:color w:val="auto"/>
              </w:rPr>
            </w:pPr>
          </w:p>
        </w:tc>
        <w:tc>
          <w:tcPr>
            <w:tcW w:w="560" w:type="dxa"/>
            <w:vAlign w:val="bottom"/>
            <w:gridSpan w:val="3"/>
            <w:shd w:val="clear" w:color="auto" w:fill="9ADAF6"/>
          </w:tcPr>
          <w:p>
            <w:pPr>
              <w:jc w:val="center"/>
              <w:ind w:right="33"/>
              <w:spacing w:after="0" w:line="178" w:lineRule="exact"/>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15"/>
                <w:szCs w:val="15"/>
                <w:color w:val="auto"/>
              </w:rPr>
            </w:pPr>
          </w:p>
        </w:tc>
        <w:tc>
          <w:tcPr>
            <w:tcW w:w="110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4"/>
            <w:vMerge w:val="continue"/>
            <w:shd w:val="clear" w:color="auto" w:fill="9ADAF6"/>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8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22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280" w:type="dxa"/>
            <w:vAlign w:val="bottom"/>
            <w:tcBorders>
              <w:bottom w:val="single" w:sz="8" w:color="9ADAF6"/>
            </w:tcBorders>
            <w:shd w:val="clear" w:color="auto" w:fill="9ADAF6"/>
          </w:tcPr>
          <w:p>
            <w:pPr>
              <w:spacing w:after="0"/>
              <w:rPr>
                <w:sz w:val="20"/>
                <w:szCs w:val="20"/>
                <w:color w:val="auto"/>
              </w:rPr>
            </w:pPr>
          </w:p>
        </w:tc>
        <w:tc>
          <w:tcPr>
            <w:tcW w:w="8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120" w:type="dxa"/>
            <w:vAlign w:val="bottom"/>
            <w:tcBorders>
              <w:bottom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56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76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2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6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960" w:type="dxa"/>
            <w:vAlign w:val="bottom"/>
            <w:tcBorders>
              <w:bottom w:val="single" w:sz="8" w:color="9ADAF6"/>
            </w:tcBorders>
            <w:gridSpan w:val="5"/>
            <w:shd w:val="clear" w:color="auto" w:fill="9ADAF6"/>
          </w:tcPr>
          <w:p>
            <w:pPr>
              <w:ind w:left="40"/>
              <w:spacing w:after="0"/>
              <w:rPr>
                <w:sz w:val="20"/>
                <w:szCs w:val="20"/>
                <w:color w:val="auto"/>
              </w:rPr>
            </w:pPr>
            <w:r>
              <w:rPr>
                <w:rFonts w:ascii="Arial" w:cs="Arial" w:eastAsia="Arial" w:hAnsi="Arial"/>
                <w:sz w:val="18"/>
                <w:szCs w:val="18"/>
                <w:b w:val="1"/>
                <w:bCs w:val="1"/>
                <w:color w:val="auto"/>
                <w:w w:val="96"/>
              </w:rPr>
              <w:t>Registered</w:t>
            </w:r>
          </w:p>
        </w:tc>
        <w:tc>
          <w:tcPr>
            <w:tcW w:w="300" w:type="dxa"/>
            <w:vAlign w:val="bottom"/>
            <w:tcBorders>
              <w:bottom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left w:val="single" w:sz="8" w:color="9ADAF6"/>
              <w:bottom w:val="single" w:sz="8" w:color="9ADAF6"/>
            </w:tcBorders>
            <w:shd w:val="clear" w:color="auto" w:fill="9ADAF6"/>
          </w:tcPr>
          <w:p>
            <w:pPr>
              <w:spacing w:after="0"/>
              <w:rPr>
                <w:sz w:val="20"/>
                <w:szCs w:val="20"/>
                <w:color w:val="auto"/>
              </w:rPr>
            </w:pPr>
          </w:p>
        </w:tc>
        <w:tc>
          <w:tcPr>
            <w:tcW w:w="3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060" w:type="dxa"/>
            <w:vAlign w:val="bottom"/>
            <w:tcBorders>
              <w:bottom w:val="single" w:sz="8" w:color="9ADAF6"/>
            </w:tcBorders>
            <w:gridSpan w:val="4"/>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Registered</w:t>
            </w:r>
          </w:p>
        </w:tc>
        <w:tc>
          <w:tcPr>
            <w:tcW w:w="20" w:type="dxa"/>
            <w:vAlign w:val="bottom"/>
            <w:tcBorders>
              <w:bottom w:val="single" w:sz="8" w:color="9ADAF6"/>
            </w:tcBorders>
            <w:shd w:val="clear" w:color="auto" w:fill="9ADAF6"/>
          </w:tcPr>
          <w:p>
            <w:pPr>
              <w:spacing w:after="0"/>
              <w:rPr>
                <w:sz w:val="20"/>
                <w:szCs w:val="20"/>
                <w:color w:val="auto"/>
              </w:rPr>
            </w:pPr>
          </w:p>
        </w:tc>
        <w:tc>
          <w:tcPr>
            <w:tcW w:w="460" w:type="dxa"/>
            <w:vAlign w:val="bottom"/>
            <w:tcBorders>
              <w:bottom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left w:val="single" w:sz="8" w:color="9ADAF6"/>
              <w:bottom w:val="single" w:sz="8" w:color="9ADAF6"/>
              <w:right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40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7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tcBorders>
            <w:shd w:val="clear" w:color="auto" w:fill="9ADAF6"/>
          </w:tcPr>
          <w:p>
            <w:pPr>
              <w:spacing w:after="0"/>
              <w:rPr>
                <w:sz w:val="20"/>
                <w:szCs w:val="20"/>
                <w:color w:val="auto"/>
              </w:rPr>
            </w:pPr>
          </w:p>
        </w:tc>
        <w:tc>
          <w:tcPr>
            <w:tcW w:w="660" w:type="dxa"/>
            <w:vAlign w:val="bottom"/>
            <w:tcBorders>
              <w:bottom w:val="single" w:sz="8" w:color="9ADAF6"/>
            </w:tcBorders>
            <w:gridSpan w:val="2"/>
            <w:shd w:val="clear" w:color="auto" w:fill="9ADAF6"/>
          </w:tcPr>
          <w:p>
            <w:pPr>
              <w:jc w:val="center"/>
              <w:ind w:right="240"/>
              <w:spacing w:after="0" w:line="200" w:lineRule="exact"/>
              <w:rPr>
                <w:sz w:val="20"/>
                <w:szCs w:val="20"/>
                <w:color w:val="auto"/>
              </w:rPr>
            </w:pPr>
            <w:r>
              <w:rPr>
                <w:rFonts w:ascii="Arial" w:cs="Arial" w:eastAsia="Arial" w:hAnsi="Arial"/>
                <w:sz w:val="18"/>
                <w:szCs w:val="18"/>
                <w:b w:val="1"/>
                <w:bCs w:val="1"/>
                <w:color w:val="auto"/>
                <w:w w:val="97"/>
              </w:rPr>
              <w:t>Date</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960" w:type="dxa"/>
            <w:vAlign w:val="bottom"/>
            <w:gridSpan w:val="34"/>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 w:type="dxa"/>
            <w:vAlign w:val="bottom"/>
            <w:tcBorders>
              <w:lef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1560" w:type="dxa"/>
            <w:vAlign w:val="bottom"/>
            <w:tcBorders>
              <w:right w:val="single" w:sz="8" w:color="E7E7E2"/>
            </w:tcBorders>
            <w:gridSpan w:val="10"/>
            <w:shd w:val="clear" w:color="auto" w:fill="E7E7E2"/>
          </w:tcPr>
          <w:p>
            <w:pPr>
              <w:spacing w:after="0"/>
              <w:rPr>
                <w:sz w:val="20"/>
                <w:szCs w:val="20"/>
                <w:color w:val="auto"/>
              </w:rPr>
            </w:pPr>
            <w:r>
              <w:rPr>
                <w:rFonts w:ascii="Arial" w:cs="Arial" w:eastAsia="Arial" w:hAnsi="Arial"/>
                <w:sz w:val="18"/>
                <w:szCs w:val="18"/>
                <w:color w:val="auto"/>
              </w:rPr>
              <w:t>N/A</w:t>
            </w:r>
          </w:p>
        </w:tc>
        <w:tc>
          <w:tcPr>
            <w:tcW w:w="1720" w:type="dxa"/>
            <w:vAlign w:val="bottom"/>
            <w:tcBorders>
              <w:right w:val="single" w:sz="8" w:color="E7E7E2"/>
            </w:tcBorders>
            <w:gridSpan w:val="9"/>
          </w:tcPr>
          <w:p>
            <w:pPr>
              <w:spacing w:after="0"/>
              <w:rPr>
                <w:sz w:val="20"/>
                <w:szCs w:val="20"/>
                <w:color w:val="auto"/>
              </w:rPr>
            </w:pPr>
            <w:r>
              <w:rPr>
                <w:rFonts w:ascii="Arial" w:cs="Arial" w:eastAsia="Arial" w:hAnsi="Arial"/>
                <w:sz w:val="18"/>
                <w:szCs w:val="18"/>
                <w:color w:val="auto"/>
              </w:rPr>
              <w:t>N/A</w:t>
            </w:r>
          </w:p>
        </w:tc>
        <w:tc>
          <w:tcPr>
            <w:tcW w:w="780" w:type="dxa"/>
            <w:vAlign w:val="bottom"/>
            <w:tcBorders>
              <w:right w:val="single" w:sz="8" w:color="E7E7E2"/>
            </w:tcBorders>
            <w:gridSpan w:val="2"/>
            <w:shd w:val="clear" w:color="auto" w:fill="E7E7E2"/>
          </w:tcPr>
          <w:p>
            <w:pPr>
              <w:spacing w:after="0"/>
              <w:rPr>
                <w:sz w:val="19"/>
                <w:szCs w:val="19"/>
                <w:color w:val="auto"/>
              </w:rPr>
            </w:pPr>
          </w:p>
        </w:tc>
        <w:tc>
          <w:tcPr>
            <w:tcW w:w="620" w:type="dxa"/>
            <w:vAlign w:val="bottom"/>
            <w:tcBorders>
              <w:right w:val="single" w:sz="8" w:color="E7E7E2"/>
            </w:tcBorders>
            <w:gridSpan w:val="6"/>
            <w:shd w:val="clear" w:color="auto" w:fill="E7E7E2"/>
          </w:tcPr>
          <w:p>
            <w:pPr>
              <w:spacing w:after="0"/>
              <w:rPr>
                <w:sz w:val="19"/>
                <w:szCs w:val="19"/>
                <w:color w:val="auto"/>
              </w:rPr>
            </w:pPr>
          </w:p>
        </w:tc>
        <w:tc>
          <w:tcPr>
            <w:tcW w:w="1280" w:type="dxa"/>
            <w:vAlign w:val="bottom"/>
            <w:gridSpan w:val="7"/>
            <w:shd w:val="clear" w:color="auto" w:fill="E7E7E2"/>
          </w:tcPr>
          <w:p>
            <w:pPr>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9"/>
                <w:szCs w:val="19"/>
                <w:color w:val="auto"/>
              </w:rPr>
            </w:pPr>
          </w:p>
        </w:tc>
        <w:tc>
          <w:tcPr>
            <w:tcW w:w="2000" w:type="dxa"/>
            <w:vAlign w:val="bottom"/>
            <w:tcBorders>
              <w:left w:val="single" w:sz="8" w:color="E7E7E2"/>
            </w:tcBorders>
            <w:gridSpan w:val="9"/>
            <w:shd w:val="clear" w:color="auto" w:fill="E7E7E2"/>
          </w:tcPr>
          <w:p>
            <w:pPr>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9"/>
                <w:szCs w:val="19"/>
                <w:color w:val="auto"/>
              </w:rPr>
            </w:pPr>
          </w:p>
        </w:tc>
        <w:tc>
          <w:tcPr>
            <w:tcW w:w="100" w:type="dxa"/>
            <w:vAlign w:val="bottom"/>
            <w:tcBorders>
              <w:left w:val="single" w:sz="8" w:color="E7E7E2"/>
              <w:right w:val="single" w:sz="8" w:color="E7E7E2"/>
            </w:tcBorders>
            <w:shd w:val="clear" w:color="auto" w:fill="E7E7E2"/>
          </w:tcPr>
          <w:p>
            <w:pPr>
              <w:spacing w:after="0"/>
              <w:rPr>
                <w:sz w:val="19"/>
                <w:szCs w:val="19"/>
                <w:color w:val="auto"/>
              </w:rPr>
            </w:pPr>
          </w:p>
        </w:tc>
        <w:tc>
          <w:tcPr>
            <w:tcW w:w="940" w:type="dxa"/>
            <w:vAlign w:val="bottom"/>
            <w:gridSpan w:val="7"/>
            <w:shd w:val="clear" w:color="auto" w:fill="E7E7E2"/>
          </w:tcPr>
          <w:p>
            <w:pPr>
              <w:jc w:val="center"/>
              <w:ind w:right="391"/>
              <w:spacing w:after="0"/>
              <w:rPr>
                <w:sz w:val="20"/>
                <w:szCs w:val="20"/>
                <w:color w:val="auto"/>
              </w:rPr>
            </w:pPr>
            <w:r>
              <w:rPr>
                <w:rFonts w:ascii="Arial" w:cs="Arial" w:eastAsia="Arial" w:hAnsi="Arial"/>
                <w:sz w:val="18"/>
                <w:szCs w:val="18"/>
                <w:color w:val="auto"/>
                <w:w w:val="99"/>
              </w:rPr>
              <w:t>N/A</w:t>
            </w:r>
          </w:p>
        </w:tc>
        <w:tc>
          <w:tcPr>
            <w:tcW w:w="740" w:type="dxa"/>
            <w:vAlign w:val="bottom"/>
            <w:shd w:val="clear" w:color="auto" w:fill="E7E7E2"/>
          </w:tcPr>
          <w:p>
            <w:pPr>
              <w:ind w:left="4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900" w:type="dxa"/>
            <w:vAlign w:val="bottom"/>
            <w:gridSpan w:val="4"/>
            <w:shd w:val="clear" w:color="auto" w:fill="E7E7E2"/>
          </w:tcPr>
          <w:p>
            <w:pPr>
              <w:spacing w:after="0"/>
              <w:rPr>
                <w:sz w:val="20"/>
                <w:szCs w:val="20"/>
                <w:color w:val="auto"/>
              </w:rPr>
            </w:pPr>
            <w:r>
              <w:rPr>
                <w:rFonts w:ascii="Arial" w:cs="Arial" w:eastAsia="Arial" w:hAnsi="Arial"/>
                <w:sz w:val="18"/>
                <w:szCs w:val="18"/>
                <w:color w:val="auto"/>
              </w:rPr>
              <w:t>N/A</w:t>
            </w:r>
          </w:p>
        </w:tc>
        <w:tc>
          <w:tcPr>
            <w:tcW w:w="1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360" w:type="dxa"/>
            <w:vAlign w:val="bottom"/>
            <w:tcBorders>
              <w:left w:val="single" w:sz="8" w:color="auto"/>
              <w:bottom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Narrative Disclosure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maximum aggregate offering price of the securities to which the prospectus relates is $48,125,000.00. The prospectus is a final</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prospectus for the related offering.</w:t>
      </w: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Letter"/>
      <w:start w:val="2"/>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678"/>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68" Type="http://schemas.openxmlformats.org/officeDocument/2006/relationships/image" Target="media/image33.png"/><Relationship Id="rId69" Type="http://schemas.openxmlformats.org/officeDocument/2006/relationships/image" Target="media/image34.jpeg"/><Relationship Id="rId70" Type="http://schemas.openxmlformats.org/officeDocument/2006/relationships/image" Target="media/image35.png"/><Relationship Id="rId71"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jpe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40" Type="http://schemas.openxmlformats.org/officeDocument/2006/relationships/hyperlink" Target="http://www.sec.gov/ix?doc=/Archives/edgar/data/1820302/000162828025013959/bakkt-20241231.htm" TargetMode="External"/><Relationship Id="rId41" Type="http://schemas.openxmlformats.org/officeDocument/2006/relationships/hyperlink" Target="http://www.sec.gov/ix?doc=/Archives/edgar/data/1820302/000162828025056295/bakkt-20251210_d2.htm" TargetMode="External"/><Relationship Id="rId42" Type="http://schemas.openxmlformats.org/officeDocument/2006/relationships/hyperlink" Target="http://www.sec.gov/Archives/edgar/data/1820302/000119312525159866/d930056ddef14a.htm" TargetMode="External"/><Relationship Id="rId43" Type="http://schemas.openxmlformats.org/officeDocument/2006/relationships/hyperlink" Target="http://www.sec.gov/ix?doc=/Archives/edgar/data/1820302/000162828025024743/bakkt-20250331.htm" TargetMode="External"/><Relationship Id="rId44" Type="http://schemas.openxmlformats.org/officeDocument/2006/relationships/hyperlink" Target="http://www.sec.gov/ix?doc=/Archives/edgar/data/1820302/000162828025039625/bakkt-20250630.htm" TargetMode="External"/><Relationship Id="rId45" Type="http://schemas.openxmlformats.org/officeDocument/2006/relationships/hyperlink" Target="http://www.sec.gov/ix?doc=/Archives/edgar/data/1820302/000162828025051180/bakkt-20250930.htm" TargetMode="External"/><Relationship Id="rId46" Type="http://schemas.openxmlformats.org/officeDocument/2006/relationships/hyperlink" Target="http://www.sec.gov/ix?doc=/Archives/edgar/data/1820302/000162828025013121/bakkt-20250317.htm" TargetMode="External"/><Relationship Id="rId47" Type="http://schemas.openxmlformats.org/officeDocument/2006/relationships/hyperlink" Target="http://www.sec.gov/ix?doc=/Archives/edgar/data/1820302/000162828025013900/bakkt-20250319.htm" TargetMode="External"/><Relationship Id="rId48" Type="http://schemas.openxmlformats.org/officeDocument/2006/relationships/hyperlink" Target="http://www.sec.gov/ix?doc=/Archives/edgar/data/1820302/000162828025015682/bakkt-20250327.htm" TargetMode="External"/><Relationship Id="rId49" Type="http://schemas.openxmlformats.org/officeDocument/2006/relationships/hyperlink" Target="http://www.sec.gov/ix?doc=/Archives/edgar/data/1820302/000162828025018854/bakkt-20250421.htm" TargetMode="External"/><Relationship Id="rId50" Type="http://schemas.openxmlformats.org/officeDocument/2006/relationships/hyperlink" Target="http://www.sec.gov/ix?doc=/Archives/edgar/data/1820302/000119312525138191/d76438d8k.htm" TargetMode="External"/><Relationship Id="rId51" Type="http://schemas.openxmlformats.org/officeDocument/2006/relationships/hyperlink" Target="http://www.sec.gov/ix?doc=/Archives/edgar/data/1820302/000162828025030475/bakkt-20250610.htm" TargetMode="External"/><Relationship Id="rId52" Type="http://schemas.openxmlformats.org/officeDocument/2006/relationships/hyperlink" Target="http://www.sec.gov/ix?doc=/Archives/edgar/data/1820302/000162828025031314/bakkt-20250609.htm" TargetMode="External"/><Relationship Id="rId53" Type="http://schemas.openxmlformats.org/officeDocument/2006/relationships/hyperlink" Target="http://www.sec.gov/ix?doc=/Archives/edgar/data/1820302/000119312525142918/d80998d8k.htm" TargetMode="External"/><Relationship Id="rId54" Type="http://schemas.openxmlformats.org/officeDocument/2006/relationships/hyperlink" Target="http://www.sec.gov/ix?doc=/Archives/edgar/data/1820302/000162828025036239/bakkt-20250723.htm" TargetMode="External"/><Relationship Id="rId55" Type="http://schemas.openxmlformats.org/officeDocument/2006/relationships/hyperlink" Target="http://www.sec.gov/ix?doc=/Archives/edgar/data/1820302/000119312525169353/d37228d8k.htm" TargetMode="External"/><Relationship Id="rId56" Type="http://schemas.openxmlformats.org/officeDocument/2006/relationships/hyperlink" Target="http://www.sec.gov/ix?doc=/Archives/edgar/data/1820302/000162828025038417/bakkt-20250806.htm" TargetMode="External"/><Relationship Id="rId57" Type="http://schemas.openxmlformats.org/officeDocument/2006/relationships/hyperlink" Target="http://www.sec.gov/ix?doc=/Archives/edgar/data/1820302/000162828025043317/bakkt-20250930.htm" TargetMode="External"/><Relationship Id="rId58" Type="http://schemas.openxmlformats.org/officeDocument/2006/relationships/hyperlink" Target="http://www.sec.gov/ix?doc=/Archives/edgar/data/1820302/000119312525234538/d87349d8k.htm" TargetMode="External"/><Relationship Id="rId59" Type="http://schemas.openxmlformats.org/officeDocument/2006/relationships/hyperlink" Target="http://www.sec.gov/ix?doc=/Archives/edgar/data/1820302/000119312525237364/d32118d8k.htm" TargetMode="External"/><Relationship Id="rId60" Type="http://schemas.openxmlformats.org/officeDocument/2006/relationships/hyperlink" Target="http://www.sec.gov/ix?doc=/Archives/edgar/data/1820302/000119312525242750/d74254d8k.htm" TargetMode="External"/><Relationship Id="rId61" Type="http://schemas.openxmlformats.org/officeDocument/2006/relationships/hyperlink" Target="http://www.sec.gov/ix?doc=/Archives/edgar/data/1820302/000162828025045560/bakkt-20251019.htm" TargetMode="External"/><Relationship Id="rId62" Type="http://schemas.openxmlformats.org/officeDocument/2006/relationships/hyperlink" Target="http://www.sec.gov/ix?doc=/Archives/edgar/data/1820302/000119312525245822/d36779d8k.htm" TargetMode="External"/><Relationship Id="rId63" Type="http://schemas.openxmlformats.org/officeDocument/2006/relationships/hyperlink" Target="http://www.sec.gov/ix?doc=/Archives/edgar/data/1820302/000162828025047840/bakkt-20251031.htm" TargetMode="External"/><Relationship Id="rId64" Type="http://schemas.openxmlformats.org/officeDocument/2006/relationships/hyperlink" Target="http://www.sec.gov/ix?doc=/Archives/edgar/data/1820302/000119312526015873/d51133d8k.htm" TargetMode="External"/><Relationship Id="rId65" Type="http://schemas.openxmlformats.org/officeDocument/2006/relationships/hyperlink" Target="http://www.sec.gov/ix?doc=/Archives/edgar/data/1820302/000119312526016077/d43240d8k.htm" TargetMode="External"/><Relationship Id="rId66" Type="http://schemas.openxmlformats.org/officeDocument/2006/relationships/hyperlink" Target="http://www.sec.gov/ix?doc=/Archives/edgar/data/1820302/000119312525272524/d70742d8ka.htm" TargetMode="External"/><Relationship Id="rId67" Type="http://schemas.openxmlformats.org/officeDocument/2006/relationships/hyperlink" Target="http://www.sec.gov/Archives/edgar/data/1820302/000119312525262732/d83327dex991.htm" TargetMode="External"/><Relationship Id="rId106" Type="http://schemas.openxmlformats.org/officeDocument/2006/relationships/hyperlink" Target="http://www.sec.gov/ix?doc=/Archives/edgar/data/1820302/000162828025020274/bakkt-20250428.htm" TargetMode="External"/><Relationship Id="rId107" Type="http://schemas.openxmlformats.org/officeDocument/2006/relationships/hyperlink" Target="http://www.sec.gov/ix?doc=/Archives/edgar/data/1820302/000162828025013995/bakkt-20250319.htm" TargetMode="External"/><Relationship Id="rId108" Type="http://schemas.openxmlformats.org/officeDocument/2006/relationships/hyperlink" Target="http://www.sec.gov/Archives/edgar/data/1820302/000119312521299620/d21137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2026-02-27T06:40:20Z</dcterms:created>
  <dcterms:modified xsi:type="dcterms:W3CDTF">2026-02-27T06:40:20Z</dcterms:modified>
</cp:coreProperties>
</file>