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48190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81901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400"/>
          </w:cols>
          <w:pgMar w:left="460" w:top="214" w:right="359" w:bottom="636"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Naheta Akshay Sudhir</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Bakkt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11/14/2025</w:t>
      </w:r>
    </w:p>
    <w:p>
      <w:pPr>
        <w:spacing w:after="0" w:line="20" w:lineRule="exact"/>
        <w:rPr>
          <w:sz w:val="24"/>
          <w:szCs w:val="24"/>
          <w:color w:val="auto"/>
        </w:rPr>
      </w:pPr>
      <w:r>
        <w:rPr>
          <w:sz w:val="24"/>
          <w:szCs w:val="24"/>
          <w:color w:val="auto"/>
        </w:rPr>
        <w:br w:type="column"/>
      </w:r>
    </w:p>
    <w:p>
      <w:pPr>
        <w:ind w:left="4" w:right="720" w:hanging="4"/>
        <w:spacing w:after="0" w:line="285"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37" w:lineRule="exact"/>
        <w:rPr>
          <w:sz w:val="24"/>
          <w:szCs w:val="24"/>
          <w:color w:val="auto"/>
        </w:rPr>
      </w:pPr>
    </w:p>
    <w:p>
      <w:pPr>
        <w:ind w:left="964"/>
        <w:spacing w:after="0"/>
        <w:rPr>
          <w:sz w:val="20"/>
          <w:szCs w:val="20"/>
          <w:color w:val="auto"/>
        </w:rPr>
      </w:pPr>
      <w:r>
        <w:rPr>
          <w:rFonts w:ascii="Times New Roman" w:cs="Times New Roman" w:eastAsia="Times New Roman" w:hAnsi="Times New Roman"/>
          <w:sz w:val="16"/>
          <w:szCs w:val="16"/>
          <w:color w:val="0000FF"/>
        </w:rPr>
        <w:t>CEO and President</w:t>
      </w:r>
    </w:p>
    <w:p>
      <w:pPr>
        <w:spacing w:after="0" w:line="490" w:lineRule="exact"/>
        <w:rPr>
          <w:sz w:val="24"/>
          <w:szCs w:val="24"/>
          <w:color w:val="auto"/>
        </w:rPr>
      </w:pPr>
    </w:p>
    <w:p>
      <w:pPr>
        <w:sectPr>
          <w:pgSz w:w="11900" w:h="16838" w:orient="portrait"/>
          <w:cols w:equalWidth="0" w:num="3">
            <w:col w:w="3180" w:space="720"/>
            <w:col w:w="3116" w:space="720"/>
            <w:col w:w="3344"/>
          </w:cols>
          <w:pgMar w:left="460" w:top="214" w:right="359" w:bottom="636" w:gutter="0" w:footer="0" w:header="0"/>
          <w:type w:val="continuous"/>
        </w:sectPr>
      </w:pPr>
    </w:p>
    <w:tbl>
      <w:tblPr>
        <w:tblLayout w:type="fixed"/>
        <w:tblInd w:w="0" w:type="dxa"/>
        <w:tblCellMar>
          <w:top w:w="0" w:type="dxa"/>
          <w:left w:w="0" w:type="dxa"/>
          <w:bottom w:w="0" w:type="dxa"/>
          <w:right w:w="0" w:type="dxa"/>
        </w:tblCellMar>
      </w:tblP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9A9A9A"/>
          </w:tcPr>
          <w:p>
            <w:pPr>
              <w:spacing w:after="0"/>
              <w:rPr>
                <w:sz w:val="2"/>
                <w:szCs w:val="2"/>
                <w:color w:val="auto"/>
              </w:rPr>
            </w:pPr>
          </w:p>
        </w:tc>
        <w:tc>
          <w:tcPr>
            <w:tcW w:w="54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960" w:type="dxa"/>
            <w:vAlign w:val="bottom"/>
            <w:shd w:val="clear" w:color="auto" w:fill="9A9A9A"/>
          </w:tcPr>
          <w:p>
            <w:pPr>
              <w:spacing w:after="0"/>
              <w:rPr>
                <w:sz w:val="2"/>
                <w:szCs w:val="2"/>
                <w:color w:val="auto"/>
              </w:rPr>
            </w:pPr>
          </w:p>
        </w:tc>
        <w:tc>
          <w:tcPr>
            <w:tcW w:w="11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440" w:type="dxa"/>
            <w:vAlign w:val="bottom"/>
            <w:gridSpan w:val="6"/>
            <w:vMerge w:val="restart"/>
          </w:tcPr>
          <w:p>
            <w:pPr>
              <w:jc w:val="center"/>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80" w:type="dxa"/>
            <w:vAlign w:val="bottom"/>
            <w:gridSpan w:val="9"/>
            <w:vMerge w:val="restart"/>
          </w:tcPr>
          <w:p>
            <w:pPr>
              <w:ind w:left="340"/>
              <w:spacing w:after="0"/>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gridSpan w:val="6"/>
            <w:vMerge w:val="continue"/>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340"/>
              <w:spacing w:after="0"/>
              <w:rPr>
                <w:sz w:val="20"/>
                <w:szCs w:val="20"/>
                <w:color w:val="auto"/>
              </w:rPr>
            </w:pPr>
            <w:r>
              <w:rPr>
                <w:rFonts w:ascii="Arial" w:cs="Arial" w:eastAsia="Arial" w:hAnsi="Arial"/>
                <w:sz w:val="12"/>
                <w:szCs w:val="12"/>
                <w:color w:val="auto"/>
              </w:rPr>
              <w:t>Line)</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0000FF"/>
                <w:w w:val="95"/>
              </w:rPr>
              <w:t>NY</w:t>
            </w:r>
          </w:p>
        </w:tc>
        <w:tc>
          <w:tcPr>
            <w:tcW w:w="96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10006</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gridSpan w:val="7"/>
          </w:tcPr>
          <w:p>
            <w:pPr>
              <w:ind w:left="1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26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vMerge w:val="restart"/>
          </w:tcPr>
          <w:p>
            <w:pPr>
              <w:ind w:left="20"/>
              <w:spacing w:after="0"/>
              <w:rPr>
                <w:sz w:val="20"/>
                <w:szCs w:val="20"/>
                <w:color w:val="auto"/>
              </w:rPr>
            </w:pPr>
            <w:r>
              <w:rPr>
                <w:rFonts w:ascii="Arial" w:cs="Arial" w:eastAsia="Arial" w:hAnsi="Arial"/>
                <w:sz w:val="12"/>
                <w:szCs w:val="12"/>
                <w:color w:val="auto"/>
              </w:rPr>
              <w:t>(City)</w:t>
            </w:r>
          </w:p>
        </w:tc>
        <w:tc>
          <w:tcPr>
            <w:tcW w:w="540" w:type="dxa"/>
            <w:vAlign w:val="bottom"/>
          </w:tcPr>
          <w:p>
            <w:pPr>
              <w:spacing w:after="0"/>
              <w:rPr>
                <w:sz w:val="5"/>
                <w:szCs w:val="5"/>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2"/>
                <w:szCs w:val="12"/>
                <w:color w:val="auto"/>
              </w:rPr>
              <w:t>(State)</w:t>
            </w:r>
          </w:p>
        </w:tc>
        <w:tc>
          <w:tcPr>
            <w:tcW w:w="1100" w:type="dxa"/>
            <w:vAlign w:val="bottom"/>
            <w:vMerge w:val="restart"/>
          </w:tcPr>
          <w:p>
            <w:pPr>
              <w:ind w:left="20"/>
              <w:spacing w:after="0"/>
              <w:rPr>
                <w:sz w:val="20"/>
                <w:szCs w:val="20"/>
                <w:color w:val="auto"/>
              </w:rPr>
            </w:pPr>
            <w:r>
              <w:rPr>
                <w:rFonts w:ascii="Arial" w:cs="Arial" w:eastAsia="Arial" w:hAnsi="Arial"/>
                <w:sz w:val="12"/>
                <w:szCs w:val="12"/>
                <w:color w:val="auto"/>
              </w:rPr>
              <w:t>(Zip)</w:t>
            </w: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14"/>
          </w:tcPr>
          <w:p>
            <w:pPr>
              <w:jc w:val="center"/>
              <w:ind w:left="53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2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gridSpan w:val="5"/>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2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720" w:type="dxa"/>
            <w:vAlign w:val="bottom"/>
            <w:gridSpan w:val="7"/>
          </w:tcPr>
          <w:p>
            <w:pPr>
              <w:ind w:left="6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20" w:type="dxa"/>
            <w:vAlign w:val="bottom"/>
            <w:gridSpan w:val="3"/>
          </w:tcPr>
          <w:p>
            <w:pPr>
              <w:ind w:left="820"/>
              <w:spacing w:after="0" w:line="125" w:lineRule="exact"/>
              <w:rPr>
                <w:sz w:val="20"/>
                <w:szCs w:val="20"/>
                <w:color w:val="auto"/>
              </w:rPr>
            </w:pPr>
            <w:r>
              <w:rPr>
                <w:rFonts w:ascii="Arial" w:cs="Arial" w:eastAsia="Arial" w:hAnsi="Arial"/>
                <w:sz w:val="11"/>
                <w:szCs w:val="11"/>
                <w:b w:val="1"/>
                <w:bCs w:val="1"/>
                <w:color w:val="auto"/>
              </w:rPr>
              <w:t>(Month/Day/Year)</w:t>
            </w:r>
          </w:p>
        </w:tc>
        <w:tc>
          <w:tcPr>
            <w:tcW w:w="92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13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6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700" w:type="dxa"/>
            <w:vAlign w:val="bottom"/>
            <w:gridSpan w:val="3"/>
          </w:tcPr>
          <w:p>
            <w:pPr>
              <w:ind w:left="38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gridSpan w:val="2"/>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2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6"/>
                <w:szCs w:val="16"/>
                <w:color w:val="0000FF"/>
              </w:rPr>
              <w:t>11/14/2025</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118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6"/>
                <w:szCs w:val="16"/>
                <w:color w:val="0000FF"/>
              </w:rPr>
              <w:t>803,861</w:t>
            </w:r>
            <w:r>
              <w:rPr>
                <w:rFonts w:ascii="Times New Roman" w:cs="Times New Roman" w:eastAsia="Times New Roman" w:hAnsi="Times New Roman"/>
                <w:sz w:val="20"/>
                <w:szCs w:val="20"/>
                <w:color w:val="008000"/>
                <w:vertAlign w:val="superscript"/>
              </w:rPr>
              <w:t>(1)</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A</w:t>
            </w: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rPr>
              <w:t>1,098,577</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58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6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Performance</w:t>
            </w:r>
          </w:p>
        </w:tc>
        <w:tc>
          <w:tcPr>
            <w:tcW w:w="540" w:type="dxa"/>
            <w:vAlign w:val="bottom"/>
            <w:vMerge w:val="restart"/>
          </w:tcPr>
          <w:p>
            <w:pPr>
              <w:jc w:val="right"/>
              <w:ind w:right="44"/>
              <w:spacing w:after="0"/>
              <w:rPr>
                <w:sz w:val="20"/>
                <w:szCs w:val="20"/>
                <w:color w:val="auto"/>
              </w:rPr>
            </w:pPr>
            <w:r>
              <w:rPr>
                <w:rFonts w:ascii="Times New Roman" w:cs="Times New Roman" w:eastAsia="Times New Roman" w:hAnsi="Times New Roman"/>
                <w:sz w:val="10"/>
                <w:szCs w:val="10"/>
                <w:color w:val="008000"/>
              </w:rPr>
              <w:t>(3)</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gridSpan w:val="2"/>
            <w:vMerge w:val="restart"/>
          </w:tcPr>
          <w:p>
            <w:pPr>
              <w:jc w:val="right"/>
              <w:ind w:right="222"/>
              <w:spacing w:after="0"/>
              <w:rPr>
                <w:sz w:val="20"/>
                <w:szCs w:val="20"/>
                <w:color w:val="auto"/>
              </w:rPr>
            </w:pPr>
            <w:r>
              <w:rPr>
                <w:rFonts w:ascii="Times New Roman" w:cs="Times New Roman" w:eastAsia="Times New Roman" w:hAnsi="Times New Roman"/>
                <w:sz w:val="10"/>
                <w:szCs w:val="10"/>
                <w:color w:val="008000"/>
              </w:rPr>
              <w:t>(4)(5)</w:t>
            </w:r>
          </w:p>
        </w:tc>
        <w:tc>
          <w:tcPr>
            <w:tcW w:w="680" w:type="dxa"/>
            <w:vAlign w:val="bottom"/>
          </w:tcPr>
          <w:p>
            <w:pPr>
              <w:spacing w:after="0"/>
              <w:rPr>
                <w:sz w:val="15"/>
                <w:szCs w:val="15"/>
                <w:color w:val="auto"/>
              </w:rPr>
            </w:pPr>
          </w:p>
        </w:tc>
        <w:tc>
          <w:tcPr>
            <w:tcW w:w="500" w:type="dxa"/>
            <w:vAlign w:val="bottom"/>
          </w:tcPr>
          <w:p>
            <w:pPr>
              <w:jc w:val="center"/>
              <w:ind w:left="41"/>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w w:val="99"/>
              </w:rPr>
              <w:t>803,861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vMerge w:val="restart"/>
          </w:tcPr>
          <w:p>
            <w:pPr>
              <w:jc w:val="right"/>
              <w:ind w:right="138"/>
              <w:spacing w:after="0"/>
              <w:rPr>
                <w:sz w:val="20"/>
                <w:szCs w:val="20"/>
                <w:color w:val="auto"/>
              </w:rPr>
            </w:pPr>
            <w:r>
              <w:rPr>
                <w:rFonts w:ascii="Times New Roman" w:cs="Times New Roman" w:eastAsia="Times New Roman" w:hAnsi="Times New Roman"/>
                <w:sz w:val="12"/>
                <w:szCs w:val="12"/>
                <w:color w:val="0000FF"/>
              </w:rPr>
              <w:t>11/14/2025</w:t>
            </w: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M</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12"/>
                <w:szCs w:val="12"/>
                <w:color w:val="0000FF"/>
              </w:rPr>
              <w:t>803,861</w:t>
            </w:r>
          </w:p>
        </w:tc>
        <w:tc>
          <w:tcPr>
            <w:tcW w:w="740" w:type="dxa"/>
            <w:vAlign w:val="bottom"/>
            <w:gridSpan w:val="2"/>
            <w:vMerge w:val="continue"/>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0000FF"/>
              </w:rPr>
              <w:t>03/21/2028</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ind w:left="220"/>
              <w:spacing w:after="0" w:line="13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jc w:val="right"/>
              <w:ind w:right="164"/>
              <w:spacing w:after="0"/>
              <w:rPr>
                <w:sz w:val="20"/>
                <w:szCs w:val="20"/>
                <w:color w:val="auto"/>
              </w:rPr>
            </w:pPr>
            <w:r>
              <w:rPr>
                <w:rFonts w:ascii="Times New Roman" w:cs="Times New Roman" w:eastAsia="Times New Roman" w:hAnsi="Times New Roman"/>
                <w:sz w:val="12"/>
                <w:szCs w:val="12"/>
                <w:color w:val="0000FF"/>
              </w:rPr>
              <w:t>803,856</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54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Option</w:t>
            </w: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gridSpan w:val="2"/>
            <w:vMerge w:val="restart"/>
          </w:tcPr>
          <w:p>
            <w:pPr>
              <w:jc w:val="right"/>
              <w:ind w:right="162"/>
              <w:spacing w:after="0"/>
              <w:rPr>
                <w:sz w:val="20"/>
                <w:szCs w:val="20"/>
                <w:color w:val="auto"/>
              </w:rPr>
            </w:pPr>
            <w:r>
              <w:rPr>
                <w:rFonts w:ascii="Times New Roman" w:cs="Times New Roman" w:eastAsia="Times New Roman" w:hAnsi="Times New Roman"/>
                <w:sz w:val="10"/>
                <w:szCs w:val="10"/>
                <w:color w:val="008000"/>
              </w:rPr>
              <w:t>(6)(7)(8)</w:t>
            </w:r>
          </w:p>
        </w:tc>
        <w:tc>
          <w:tcPr>
            <w:tcW w:w="680" w:type="dxa"/>
            <w:vAlign w:val="bottom"/>
            <w:vMerge w:val="restart"/>
          </w:tcPr>
          <w:p>
            <w:pPr>
              <w:jc w:val="right"/>
              <w:ind w:right="100"/>
              <w:spacing w:after="0"/>
              <w:rPr>
                <w:sz w:val="20"/>
                <w:szCs w:val="20"/>
                <w:color w:val="auto"/>
              </w:rPr>
            </w:pPr>
            <w:r>
              <w:rPr>
                <w:rFonts w:ascii="Times New Roman" w:cs="Times New Roman" w:eastAsia="Times New Roman" w:hAnsi="Times New Roman"/>
                <w:sz w:val="10"/>
                <w:szCs w:val="10"/>
                <w:color w:val="008000"/>
              </w:rPr>
              <w:t>(6)(7)(8)</w:t>
            </w:r>
          </w:p>
        </w:tc>
        <w:tc>
          <w:tcPr>
            <w:tcW w:w="5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1,308,725</w:t>
            </w: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w:t>
            </w: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2"/>
            <w:vMerge w:val="restart"/>
          </w:tcPr>
          <w:p>
            <w:pPr>
              <w:jc w:val="right"/>
              <w:ind w:right="124"/>
              <w:spacing w:after="0"/>
              <w:rPr>
                <w:sz w:val="20"/>
                <w:szCs w:val="20"/>
                <w:color w:val="auto"/>
              </w:rPr>
            </w:pPr>
            <w:r>
              <w:rPr>
                <w:rFonts w:ascii="Times New Roman" w:cs="Times New Roman" w:eastAsia="Times New Roman" w:hAnsi="Times New Roman"/>
                <w:sz w:val="12"/>
                <w:szCs w:val="12"/>
                <w:color w:val="0000FF"/>
              </w:rPr>
              <w:t>1,308,725</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(right to</w:t>
            </w: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9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vMerge w:val="restart"/>
          </w:tcPr>
          <w:p>
            <w:pPr>
              <w:jc w:val="center"/>
              <w:ind w:left="41"/>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6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color w:val="0000FF"/>
              </w:rPr>
              <w:t>buy)</w:t>
            </w: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-2056130</wp:posOffset>
            </wp:positionV>
            <wp:extent cx="28575" cy="2061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0618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reported transaction reflects the vesting of performance stock units ("PSUs") upon the determination that the applicable performance conditions were satisfied.</w:t>
      </w:r>
    </w:p>
    <w:p>
      <w:pPr>
        <w:spacing w:after="0" w:line="49" w:lineRule="exact"/>
        <w:rPr>
          <w:rFonts w:ascii="Times New Roman" w:cs="Times New Roman" w:eastAsia="Times New Roman" w:hAnsi="Times New Roman"/>
          <w:sz w:val="12"/>
          <w:szCs w:val="12"/>
          <w:color w:val="008000"/>
        </w:rPr>
      </w:pPr>
    </w:p>
    <w:p>
      <w:pPr>
        <w:ind w:left="40" w:right="320" w:hanging="3"/>
        <w:spacing w:after="0" w:line="282"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11,426 restricted stock units ("RSUs"). Each RSU represents a contingent right to receive one share of the issuer's Class A Common Stock. The RSUs will vest on March 21, 2026, subject to the reporting person's continued employment with the issuer as of the vesting date.</w:t>
      </w: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are an inducement grant of PSUs. Each PSU represents a contingent right to receive one share of the issuer's Class A Common Stock.</w:t>
      </w:r>
    </w:p>
    <w:p>
      <w:pPr>
        <w:spacing w:after="0" w:line="49" w:lineRule="exact"/>
        <w:rPr>
          <w:rFonts w:ascii="Times New Roman" w:cs="Times New Roman" w:eastAsia="Times New Roman" w:hAnsi="Times New Roman"/>
          <w:sz w:val="12"/>
          <w:szCs w:val="12"/>
          <w:color w:val="008000"/>
        </w:rPr>
      </w:pPr>
    </w:p>
    <w:p>
      <w:pPr>
        <w:ind w:left="40" w:right="30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PSUs shall be eligible to vest over a three-year performance period following March 21, 2025 (the "Vesting Commencement Date") based on attainment of certain stock price metrics as provided below (the "Performance Period"). A total of 535,909 of the total PSUs will vest, subject to the reporting person's continued employment with the issuer through such vesting date, if the issuer's stock price (measured based on a rolling 90-day volume-weighted average price "VWAP") appreciates at any point during the Performance Period by100% above $9.33 per share (the "Reference Price"). [Continued to footnote 5]</w:t>
      </w:r>
    </w:p>
    <w:p>
      <w:pPr>
        <w:spacing w:after="0" w:line="13" w:lineRule="exact"/>
        <w:rPr>
          <w:rFonts w:ascii="Times New Roman" w:cs="Times New Roman" w:eastAsia="Times New Roman" w:hAnsi="Times New Roman"/>
          <w:sz w:val="12"/>
          <w:szCs w:val="12"/>
          <w:color w:val="008000"/>
        </w:rPr>
      </w:pPr>
    </w:p>
    <w:p>
      <w:pPr>
        <w:ind w:left="40" w:right="180" w:hanging="3"/>
        <w:spacing w:after="0" w:line="25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4] For each additional 25% of stock price appreciation (measured based on a rolling 90-day VWAP) above the Reference Price during the Performance Period, limited to a maximum of eight (8) additional vesting tranches, an additional 133,976PSUs will vest, subject to the reporting person's continued employment with the issuer through such vesting date. No PSUs will vest in the event that the issuer's stock price (measured based on a rolling 90-day VWAP) does not appreciate above the Reference Price by at least 100% during the Performance Period. Any PSUs that satisfy the above vesting conditions prior to the first anniversary of the Vesting Commencement Date will not vest unless and until the first anniversary of the Vesting Commencement Date.</w:t>
      </w:r>
    </w:p>
    <w:p>
      <w:pPr>
        <w:spacing w:after="0" w:line="17" w:lineRule="exact"/>
        <w:rPr>
          <w:rFonts w:ascii="Times New Roman" w:cs="Times New Roman" w:eastAsia="Times New Roman" w:hAnsi="Times New Roman"/>
          <w:sz w:val="12"/>
          <w:szCs w:val="12"/>
          <w:color w:val="008000"/>
        </w:rPr>
      </w:pPr>
    </w:p>
    <w:p>
      <w:pPr>
        <w:jc w:val="both"/>
        <w:ind w:left="40" w:right="180" w:hanging="3"/>
        <w:spacing w:after="0" w:line="253"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7]</w:t>
      </w:r>
    </w:p>
    <w:p>
      <w:pPr>
        <w:spacing w:after="0" w:line="17" w:lineRule="exact"/>
        <w:rPr>
          <w:rFonts w:ascii="Times New Roman" w:cs="Times New Roman" w:eastAsia="Times New Roman" w:hAnsi="Times New Roman"/>
          <w:sz w:val="12"/>
          <w:szCs w:val="12"/>
          <w:color w:val="008000"/>
        </w:rPr>
      </w:pPr>
    </w:p>
    <w:p>
      <w:pPr>
        <w:ind w:left="40" w:right="26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6]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 [Continued to footnote 8]</w:t>
      </w:r>
    </w:p>
    <w:p>
      <w:pPr>
        <w:spacing w:after="0" w:line="13" w:lineRule="exact"/>
        <w:rPr>
          <w:rFonts w:ascii="Times New Roman" w:cs="Times New Roman" w:eastAsia="Times New Roman" w:hAnsi="Times New Roman"/>
          <w:sz w:val="12"/>
          <w:szCs w:val="12"/>
          <w:color w:val="008000"/>
        </w:rPr>
      </w:pPr>
    </w:p>
    <w:p>
      <w:pPr>
        <w:ind w:left="40" w:right="340" w:hanging="3"/>
        <w:spacing w:after="0" w:line="260"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7]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spacing w:after="0" w:line="3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Marc D'Annunzio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-5080</wp:posOffset>
            </wp:positionV>
            <wp:extent cx="126301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3015" cy="7620"/>
                    </a:xfrm>
                    <a:prstGeom prst="rect">
                      <a:avLst/>
                    </a:prstGeom>
                    <a:noFill/>
                  </pic:spPr>
                </pic:pic>
              </a:graphicData>
            </a:graphic>
          </wp:anchor>
        </w:drawing>
      </w:r>
    </w:p>
    <w:p>
      <w:pPr>
        <w:spacing w:after="0" w:line="7"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6"/>
          <w:szCs w:val="16"/>
          <w:color w:val="0000FF"/>
        </w:rPr>
        <w:t>in-Fact for Akshay Sudhir</w:t>
      </w:r>
      <w:r>
        <w:rPr>
          <w:sz w:val="20"/>
          <w:szCs w:val="20"/>
          <w:color w:val="auto"/>
        </w:rPr>
        <w:tab/>
      </w:r>
      <w:r>
        <w:rPr>
          <w:rFonts w:ascii="Times New Roman" w:cs="Times New Roman" w:eastAsia="Times New Roman" w:hAnsi="Times New Roman"/>
          <w:sz w:val="15"/>
          <w:szCs w:val="15"/>
          <w:color w:val="0000FF"/>
        </w:rPr>
        <w:t>11/18/2025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-12065</wp:posOffset>
            </wp:positionV>
            <wp:extent cx="18599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59915" cy="7620"/>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Naheta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4191635</wp:posOffset>
            </wp:positionH>
            <wp:positionV relativeFrom="paragraph">
              <wp:posOffset>-12065</wp:posOffset>
            </wp:positionV>
            <wp:extent cx="291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1465" cy="7620"/>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63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62543"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2025-11-18T19:19:54Z</dcterms:created>
  <dcterms:modified xsi:type="dcterms:W3CDTF">2025-11-18T19:19:54Z</dcterms:modified>
</cp:coreProperties>
</file>