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Registration No. 333-261034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13, 2022)</w:t>
      </w:r>
    </w:p>
    <w:p>
      <w:pPr>
        <w:spacing w:after="0" w:line="178" w:lineRule="exact"/>
        <w:rPr>
          <w:sz w:val="24"/>
          <w:szCs w:val="24"/>
          <w:color w:val="auto"/>
        </w:rPr>
      </w:pPr>
    </w:p>
    <w:p>
      <w:pPr>
        <w:jc w:val="center"/>
        <w:ind w:left="460" w:right="160"/>
        <w:spacing w:after="0" w:line="251" w:lineRule="auto"/>
        <w:rPr>
          <w:sz w:val="20"/>
          <w:szCs w:val="20"/>
          <w:color w:val="auto"/>
        </w:rPr>
      </w:pPr>
      <w:r>
        <w:rPr>
          <w:rFonts w:ascii="Times New Roman" w:cs="Times New Roman" w:eastAsia="Times New Roman" w:hAnsi="Times New Roman"/>
          <w:sz w:val="32"/>
          <w:szCs w:val="32"/>
          <w:b w:val="1"/>
          <w:bCs w:val="1"/>
          <w:color w:val="auto"/>
        </w:rPr>
        <w:t>190,726,638 Shares of Class A Common Stock Issuable Upon the Exchange of Paired Interests</w:t>
      </w:r>
    </w:p>
    <w:p>
      <w:pPr>
        <w:spacing w:after="0" w:line="1" w:lineRule="exact"/>
        <w:rPr>
          <w:sz w:val="24"/>
          <w:szCs w:val="24"/>
          <w:color w:val="auto"/>
        </w:rPr>
      </w:pP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32,500,000 Shares of Class A Common Stock issued in the PIPE Financing 5,184,300 Shares of Class A Common Stock Issued in Respect of Founder Shares</w:t>
      </w:r>
    </w:p>
    <w:p>
      <w:pPr>
        <w:spacing w:after="0" w:line="3" w:lineRule="exact"/>
        <w:rPr>
          <w:sz w:val="24"/>
          <w:szCs w:val="24"/>
          <w:color w:val="auto"/>
        </w:rPr>
      </w:pPr>
    </w:p>
    <w:p>
      <w:pPr>
        <w:jc w:val="center"/>
        <w:spacing w:after="0" w:line="249" w:lineRule="auto"/>
        <w:rPr>
          <w:sz w:val="20"/>
          <w:szCs w:val="20"/>
          <w:color w:val="auto"/>
        </w:rPr>
      </w:pPr>
      <w:r>
        <w:rPr>
          <w:rFonts w:ascii="Times New Roman" w:cs="Times New Roman" w:eastAsia="Times New Roman" w:hAnsi="Times New Roman"/>
          <w:sz w:val="32"/>
          <w:szCs w:val="32"/>
          <w:b w:val="1"/>
          <w:bCs w:val="1"/>
          <w:color w:val="auto"/>
        </w:rPr>
        <w:t>3,151,890 shares of Class A Common Stock Issued Upon the Exchange of a Portion of the Private Placement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744220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This prospectus supplement is being filed to update and supplement the information contained in the prospectus dated April 13, 2022 (as amended and supplemented from time to time, the “Prospectus”) with the information contained in our Current Report on Form 8-K/A, filed with the Securities and Exchange Commission on June 15, 2022 (the “Form 8-K/A”). Accordingly, we have attached the Form 8-K/A to this prospectus supplement.</w:t>
      </w:r>
    </w:p>
    <w:p>
      <w:pPr>
        <w:spacing w:after="0" w:line="158" w:lineRule="exact"/>
        <w:rPr>
          <w:sz w:val="24"/>
          <w:szCs w:val="24"/>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Prospectus relates to the issuance by us, and the resale by the Selling Securityholders (as defined in “Selling Securityholders” below), of up to 190,726,638 shares of Class A common stock, par value $0.0001 per share (“Class A Common Stock”), issuable upon the exchange of an equal number of Paired Interests (the “Legacy Opco Shares”). The prospectus also relates to the resale by the Selling Securityholders of (i) 32,500,000 shares of Class A Common Stock (the “PIPE Shares”) issued in the PIPE Financing; (ii) 5,184,300 shares of Class A Common Stock issued to VPC Impact Acquisition Holdings Sponsor, LLC (the “Sponsor”) and certain of its affiliates that relate to securities acquired by them prior to the IPO (the “Founder Shares”); and (iii) 3,151,890 shares of Class A Common Stock issued to the Sponsor upon the exercise of a portion of the Private Placement Warrants (the “Private Warrant Shares”). Unless otherwise defined, capitalized terms have the meanings ascribed to them in the section entitled “</w:t>
      </w:r>
      <w:r>
        <w:rPr>
          <w:rFonts w:ascii="Times New Roman" w:cs="Times New Roman" w:eastAsia="Times New Roman" w:hAnsi="Times New Roman"/>
          <w:sz w:val="18"/>
          <w:szCs w:val="18"/>
          <w:i w:val="1"/>
          <w:iCs w:val="1"/>
          <w:color w:val="auto"/>
        </w:rPr>
        <w:t>About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w:t>
      </w:r>
    </w:p>
    <w:p>
      <w:pPr>
        <w:spacing w:after="0" w:line="192" w:lineRule="exact"/>
        <w:rPr>
          <w:sz w:val="24"/>
          <w:szCs w:val="24"/>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0" w:lineRule="exact"/>
        <w:rPr>
          <w:sz w:val="24"/>
          <w:szCs w:val="24"/>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Our Class A Common Stock is listed on The New York Stock Exchange (“NYSE”) under the symbol “BKKT” and our warrants to purchase Class A Common Stock (the “Warrants”) are listed on NYSE under the symbol “BKKT WS.” On June 14, 2022, the last quoted sale price for our Class A Common Stock as reported on NYSE was $2.23 per share and the last quoted sale price for our Warrants as reported on NYSE was $0.76 per warrant.</w:t>
      </w:r>
    </w:p>
    <w:p>
      <w:pPr>
        <w:spacing w:after="0" w:line="180" w:lineRule="exact"/>
        <w:rPr>
          <w:sz w:val="24"/>
          <w:szCs w:val="24"/>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have elected to comply with certain reduced public company reporting requirements for the Prospectus and for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right="28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Before buying any securities, you should carefully read the discussion of the risks of investing in our securities in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of the Prospectus.</w:t>
      </w:r>
    </w:p>
    <w:p>
      <w:pPr>
        <w:spacing w:after="0" w:line="159" w:lineRule="exact"/>
        <w:rPr>
          <w:sz w:val="24"/>
          <w:szCs w:val="24"/>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the Prospectus or any prospectus supplement or amendment hereto. We have not authorized anyone to provide you with different information.</w:t>
      </w:r>
    </w:p>
    <w:p>
      <w:pPr>
        <w:spacing w:after="0" w:line="155" w:lineRule="exact"/>
        <w:rPr>
          <w:sz w:val="24"/>
          <w:szCs w:val="24"/>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198120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00"/>
          </w:cols>
          <w:pgMar w:left="440" w:top="225" w:right="459" w:bottom="1440" w:gutter="0" w:footer="0" w:header="0"/>
        </w:sect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June 15, 2022</w:t>
      </w:r>
    </w:p>
    <w:p>
      <w:pPr>
        <w:sectPr>
          <w:pgSz w:w="11900" w:h="16838" w:orient="portrait"/>
          <w:cols w:equalWidth="0" w:num="1">
            <w:col w:w="11000"/>
          </w:cols>
          <w:pgMar w:left="440" w:top="225" w:right="459" w:bottom="1440" w:gutter="0" w:footer="0" w:header="0"/>
          <w:type w:val="continuous"/>
        </w:sectPr>
      </w:pPr>
    </w:p>
    <w:bookmarkStart w:id="1" w:name="page2"/>
    <w:bookmarkEnd w:id="1"/>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0"/>
          <w:szCs w:val="20"/>
          <w:color w:val="auto"/>
        </w:rPr>
      </w:pPr>
    </w:p>
    <w:p>
      <w:pPr>
        <w:ind w:left="2684"/>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416" w:right="7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0"/>
          <w:szCs w:val="20"/>
          <w:color w:val="auto"/>
        </w:rPr>
      </w:pPr>
    </w:p>
    <w:p>
      <w:pPr>
        <w:sectPr>
          <w:pgSz w:w="11900" w:h="16838" w:orient="portrait"/>
          <w:cols w:equalWidth="0" w:num="3">
            <w:col w:w="4504" w:space="720"/>
            <w:col w:w="2880" w:space="720"/>
            <w:col w:w="1900"/>
          </w:cols>
          <w:pgMar w:left="436" w:top="416" w:right="7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0"/>
          <w:szCs w:val="20"/>
          <w:color w:val="auto"/>
        </w:rPr>
      </w:pPr>
    </w:p>
    <w:p>
      <w:pPr>
        <w:sectPr>
          <w:pgSz w:w="11900" w:h="16838" w:orient="portrait"/>
          <w:cols w:equalWidth="0" w:num="3">
            <w:col w:w="4484" w:space="720"/>
            <w:col w:w="2760" w:space="720"/>
            <w:col w:w="2040"/>
          </w:cols>
          <w:pgMar w:left="436" w:top="416" w:right="739" w:bottom="1440" w:gutter="0" w:footer="0" w:header="0"/>
          <w:type w:val="continuous"/>
        </w:sectPr>
      </w:pPr>
    </w:p>
    <w:p>
      <w:pPr>
        <w:spacing w:after="0" w:line="1"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7"/>
          <w:szCs w:val="17"/>
          <w:b w:val="1"/>
          <w:bCs w:val="1"/>
          <w:color w:val="auto"/>
        </w:rPr>
        <w:t>10000 Avalon Boulevard, Suite 1000, Alpharetta, Georgia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30009</w:t>
      </w:r>
    </w:p>
    <w:p>
      <w:pPr>
        <w:spacing w:after="0" w:line="43" w:lineRule="exact"/>
        <w:rPr>
          <w:sz w:val="20"/>
          <w:szCs w:val="20"/>
          <w:color w:val="auto"/>
        </w:rPr>
      </w:pPr>
    </w:p>
    <w:p>
      <w:pPr>
        <w:sectPr>
          <w:pgSz w:w="11900" w:h="16838" w:orient="portrait"/>
          <w:cols w:equalWidth="0" w:num="2">
            <w:col w:w="7404" w:space="720"/>
            <w:col w:w="2600"/>
          </w:cols>
          <w:pgMar w:left="436" w:top="416" w:right="7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0"/>
          <w:szCs w:val="20"/>
          <w:color w:val="auto"/>
        </w:rPr>
      </w:pPr>
    </w:p>
    <w:p>
      <w:pPr>
        <w:sectPr>
          <w:pgSz w:w="11900" w:h="16838" w:orient="portrait"/>
          <w:cols w:equalWidth="0" w:num="2">
            <w:col w:w="7284" w:space="720"/>
            <w:col w:w="2720"/>
          </w:cols>
          <w:pgMar w:left="436" w:top="416" w:right="739" w:bottom="1440" w:gutter="0" w:footer="0" w:header="0"/>
          <w:type w:val="continuous"/>
        </w:sect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196"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3" w:lineRule="exact"/>
        <w:rPr>
          <w:sz w:val="20"/>
          <w:szCs w:val="20"/>
          <w:color w:val="auto"/>
        </w:rPr>
      </w:pPr>
    </w:p>
    <w:tbl>
      <w:tblPr>
        <w:tblLayout w:type="fixed"/>
        <w:tblInd w:w="84" w:type="dxa"/>
        <w:tblCellMar>
          <w:top w:w="0" w:type="dxa"/>
          <w:left w:w="0" w:type="dxa"/>
          <w:bottom w:w="0" w:type="dxa"/>
          <w:right w:w="0" w:type="dxa"/>
        </w:tblCellMar>
      </w:tblPr>
      <w:tr>
        <w:trPr>
          <w:trHeight w:val="173"/>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1"/>
              </w:rPr>
              <w:t>Class A Common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0" w:type="dxa"/>
            <w:vAlign w:val="bottom"/>
            <w:gridSpan w:val="2"/>
          </w:tcPr>
          <w:p>
            <w:pPr>
              <w:jc w:val="center"/>
              <w:ind w:left="16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vMerge w:val="continue"/>
          </w:tcPr>
          <w:p>
            <w:pPr>
              <w:spacing w:after="0"/>
              <w:rPr>
                <w:sz w:val="16"/>
                <w:szCs w:val="16"/>
                <w:color w:val="auto"/>
              </w:rPr>
            </w:pPr>
          </w:p>
        </w:tc>
        <w:tc>
          <w:tcPr>
            <w:tcW w:w="372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Stock, par value $0.0001 per</w:t>
            </w:r>
          </w:p>
        </w:tc>
        <w:tc>
          <w:tcPr>
            <w:tcW w:w="1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BKKT</w:t>
            </w:r>
          </w:p>
        </w:tc>
        <w:tc>
          <w:tcPr>
            <w:tcW w:w="1720" w:type="dxa"/>
            <w:vAlign w:val="bottom"/>
            <w:vMerge w:val="continue"/>
          </w:tcPr>
          <w:p>
            <w:pPr>
              <w:spacing w:after="0"/>
              <w:rPr>
                <w:sz w:val="16"/>
                <w:szCs w:val="16"/>
                <w:color w:val="auto"/>
              </w:rPr>
            </w:pPr>
          </w:p>
        </w:tc>
        <w:tc>
          <w:tcPr>
            <w:tcW w:w="26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3720" w:type="dxa"/>
            <w:vAlign w:val="bottom"/>
            <w:gridSpan w:val="2"/>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6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17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0"/>
          <w:szCs w:val="20"/>
          <w:color w:val="auto"/>
        </w:rPr>
      </w:pPr>
    </w:p>
    <w:p>
      <w:pPr>
        <w:ind w:left="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416" w:right="73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INTRODUCTORY NOTE</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This Amendment No. 1 on Form 8-K/A (this “Amendment”) amends the Current Report on Form 8-K filed by Bakkt Holdings, Inc. (the “Company”) with the Securities and Exchange Commission on May 20, 2022 (the “Original Report”), regarding the appointment of Karen Alexander as the Company’s Interim Chief Financial Officer and interim Principal Financial Officer. This Amendment updates certain disclosures in the Original Report to provide information relating to Ms. Alexander’s compensation, which was determined after the filing of the Original Report. Except as set forth herein, this Amendment does not amend, modify or update the disclosure contained in the Original Report.</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As previously disclosed, the Company appointed Karen Alexander, the Company’s Chief Accounting Officer, as Interim Chief Financial Officer and interim Principal Financial Officer effective May 23, 2022, while she continues to serve as the Company’s Chief Accounting Officer.</w:t>
      </w:r>
    </w:p>
    <w:p>
      <w:pPr>
        <w:spacing w:after="0" w:line="16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In respect of such additional responsibilities, on June 9, 2022, Ms. Alexander’s annual base salary increased to $400,000 per year, effective retroactively to May 23, 2022.</w:t>
      </w:r>
    </w:p>
    <w:p>
      <w:pPr>
        <w:sectPr>
          <w:pgSz w:w="11900" w:h="16838" w:orient="portrait"/>
          <w:cols w:equalWidth="0" w:num="1">
            <w:col w:w="10960"/>
          </w:cols>
          <w:pgMar w:left="440" w:top="266" w:right="49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15,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tabs>
          <w:tab w:leader="none" w:pos="75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Marc D’Annunzio</w:t>
      </w:r>
    </w:p>
    <w:p>
      <w:pPr>
        <w:spacing w:after="0" w:line="27" w:lineRule="exact"/>
        <w:rPr>
          <w:sz w:val="20"/>
          <w:szCs w:val="20"/>
          <w:color w:val="auto"/>
        </w:rPr>
      </w:pPr>
    </w:p>
    <w:p>
      <w:pPr>
        <w:ind w:left="6960"/>
        <w:spacing w:after="0"/>
        <w:tabs>
          <w:tab w:leader="none" w:pos="7560" w:val="left"/>
        </w:tabs>
        <w:rPr>
          <w:sz w:val="20"/>
          <w:szCs w:val="20"/>
          <w:color w:val="auto"/>
        </w:rPr>
      </w:pPr>
      <w:r>
        <w:rPr>
          <w:rFonts w:ascii="Times New Roman" w:cs="Times New Roman" w:eastAsia="Times New Roman" w:hAnsi="Times New Roman"/>
          <w:sz w:val="18"/>
          <w:szCs w:val="18"/>
          <w:color w:val="auto"/>
        </w:rPr>
        <w:t>Title:</w:t>
        <w:tab/>
        <w:t>General Counsel and Secretary</w:t>
      </w:r>
    </w:p>
    <w:sectPr>
      <w:pgSz w:w="11900" w:h="16838" w:orient="portrait"/>
      <w:cols w:equalWidth="0" w:num="1">
        <w:col w:w="10700"/>
      </w:cols>
      <w:pgMar w:left="440" w:top="26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2022-06-15T15:41:53Z</dcterms:created>
  <dcterms:modified xsi:type="dcterms:W3CDTF">2022-06-15T15:41:53Z</dcterms:modified>
</cp:coreProperties>
</file>