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9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71"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001-39544</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675" w:type="dxa"/>
        <w:jc w:val="left"/>
        <w:tblInd w:w="0" w:type="dxa"/>
        <w:tblLayout w:type="fixed"/>
        <w:tblCellMar>
          <w:top w:w="28" w:type="dxa"/>
          <w:left w:w="28" w:type="dxa"/>
          <w:bottom w:w="28" w:type="dxa"/>
          <w:right w:w="28" w:type="dxa"/>
        </w:tblCellMar>
      </w:tblPr>
      <w:tblGrid>
        <w:gridCol w:w="878"/>
        <w:gridCol w:w="771"/>
        <w:gridCol w:w="781"/>
        <w:gridCol w:w="364"/>
        <w:gridCol w:w="364"/>
        <w:gridCol w:w="517"/>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41-2324812</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One Liberty Plaza</w:t>
            </w:r>
          </w:p>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One Liberty St.</w:t>
            </w:r>
          </w:p>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 xml:space="preserve">Ste. 305-306 </w:t>
            </w:r>
          </w:p>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 xml:space="preserve">New York, New York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10006</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(678) 534-5849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76"/>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left"/>
        <w:rPr/>
      </w:pPr>
      <w:r>
        <w:rPr/>
      </w:r>
    </w:p>
    <w:tbl>
      <w:tblPr>
        <w:tblW w:w="9412" w:type="dxa"/>
        <w:jc w:val="left"/>
        <w:tblInd w:w="0" w:type="dxa"/>
        <w:tblLayout w:type="fixed"/>
        <w:tblCellMar>
          <w:top w:w="28" w:type="dxa"/>
          <w:left w:w="28" w:type="dxa"/>
          <w:bottom w:w="28" w:type="dxa"/>
          <w:right w:w="28" w:type="dxa"/>
        </w:tblCellMar>
      </w:tblPr>
      <w:tblGrid>
        <w:gridCol w:w="1426"/>
        <w:gridCol w:w="1251"/>
        <w:gridCol w:w="1268"/>
        <w:gridCol w:w="109"/>
        <w:gridCol w:w="109"/>
        <w:gridCol w:w="109"/>
        <w:gridCol w:w="499"/>
        <w:gridCol w:w="499"/>
        <w:gridCol w:w="501"/>
        <w:gridCol w:w="109"/>
        <w:gridCol w:w="109"/>
        <w:gridCol w:w="109"/>
        <w:gridCol w:w="970"/>
        <w:gridCol w:w="970"/>
        <w:gridCol w:w="137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BKKT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New York Stock Exchange</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Warrants to purchase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BKKT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New York Stock Exchange</w:t>
            </w:r>
          </w:p>
        </w:tc>
      </w:tr>
    </w:tbl>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p>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p>
    <w:p>
      <w:pPr>
        <w:pStyle w:val="TextBody"/>
        <w:bidi w:val="0"/>
        <w:spacing w:lineRule="auto" w:line="240" w:before="80" w:after="283"/>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is a shell company (as defined in Rule 12b-2 of the Exchange Act).Yes ☐ No </w:t>
      </w:r>
      <w:r>
        <w:rPr>
          <w:color w:val="000000"/>
        </w:rPr>
        <w:t>☒</w:t>
      </w:r>
    </w:p>
    <w:p>
      <w:pPr>
        <w:pStyle w:val="TextBody"/>
        <w:bidi w:val="0"/>
        <w:spacing w:lineRule="auto" w:line="240" w:before="80" w:after="283"/>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As of November 6, 2025, there were 24,038,434 shares of the registrant’s Class A Common Stock and 7,140,383 public warrants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9404" w:type="dxa"/>
        <w:jc w:val="left"/>
        <w:tblInd w:w="0" w:type="dxa"/>
        <w:tblLayout w:type="fixed"/>
        <w:tblCellMar>
          <w:top w:w="28" w:type="dxa"/>
          <w:left w:w="28" w:type="dxa"/>
          <w:bottom w:w="28" w:type="dxa"/>
          <w:right w:w="28" w:type="dxa"/>
        </w:tblCellMar>
      </w:tblPr>
      <w:tblGrid>
        <w:gridCol w:w="320"/>
        <w:gridCol w:w="281"/>
        <w:gridCol w:w="283"/>
        <w:gridCol w:w="2668"/>
        <w:gridCol w:w="2668"/>
        <w:gridCol w:w="2673"/>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3">
              <w:r>
                <w:rPr>
                  <w:rStyle w:val="InternetLink"/>
                  <w:rFonts w:ascii="Times New Roman;serif" w:hAnsi="Times New Roman;serif"/>
                  <w:b w:val="false"/>
                  <w:color w:val="0E32E1"/>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6">
              <w:r>
                <w:rPr>
                  <w:rStyle w:val="InternetLink"/>
                  <w:rFonts w:ascii="Times New Roman;serif" w:hAnsi="Times New Roman;serif"/>
                  <w:b w:val="false"/>
                  <w:color w:val="0E32E1"/>
                  <w:sz w:val="20"/>
                  <w:u w:val="single"/>
                </w:rPr>
                <w:t>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16">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9">
              <w:r>
                <w:rPr>
                  <w:rStyle w:val="InternetLink"/>
                  <w:rFonts w:ascii="Times New Roman;serif" w:hAnsi="Times New Roman;serif"/>
                  <w:b w:val="false"/>
                  <w:color w:val="0E32E1"/>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19">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2">
              <w:r>
                <w:rPr>
                  <w:rStyle w:val="InternetLink"/>
                  <w:rFonts w:ascii="Times New Roman;serif" w:hAnsi="Times New Roman;serif"/>
                  <w:b w:val="false"/>
                  <w:color w:val="0E32E1"/>
                  <w:sz w:val="20"/>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2">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5">
              <w:r>
                <w:rPr>
                  <w:rStyle w:val="InternetLink"/>
                  <w:rFonts w:ascii="Times New Roman;serif" w:hAnsi="Times New Roman;serif"/>
                  <w:b w:val="false"/>
                  <w:color w:val="0E32E1"/>
                  <w:sz w:val="20"/>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5">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8">
              <w:r>
                <w:rPr>
                  <w:rStyle w:val="InternetLink"/>
                  <w:rFonts w:ascii="Times New Roman;serif" w:hAnsi="Times New Roman;serif"/>
                  <w:b w:val="false"/>
                  <w:color w:val="0E32E1"/>
                  <w:sz w:val="20"/>
                  <w:u w:val="single"/>
                </w:rPr>
                <w:t>Consolidated Statements of Changes in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8">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31">
              <w:r>
                <w:rPr>
                  <w:rStyle w:val="InternetLink"/>
                  <w:rFonts w:ascii="Times New Roman;serif" w:hAnsi="Times New Roman;serif"/>
                  <w:b w:val="false"/>
                  <w:color w:val="0E32E1"/>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31">
              <w:r>
                <w:rPr>
                  <w:rStyle w:val="InternetLink"/>
                  <w:rFonts w:ascii="Times New Roman;serif" w:hAnsi="Times New Roman;serif"/>
                  <w:b w:val="false"/>
                  <w:strike w:val="false"/>
                  <w:dstrike w:val="false"/>
                  <w:color w:val="000000"/>
                  <w:sz w:val="20"/>
                  <w:u w:val="none"/>
                  <w:effect w:val="none"/>
                </w:rPr>
                <w:t>11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34">
              <w:r>
                <w:rPr>
                  <w:rStyle w:val="InternetLink"/>
                  <w:rFonts w:ascii="Times New Roman;serif" w:hAnsi="Times New Roman;serif"/>
                  <w:b w:val="false"/>
                  <w:color w:val="0E32E1"/>
                  <w:sz w:val="20"/>
                  <w:u w:val="single"/>
                </w:rPr>
                <w:t>Notes to Unaudited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34">
              <w:r>
                <w:rPr>
                  <w:rStyle w:val="InternetLink"/>
                  <w:rFonts w:ascii="Times New Roman;serif" w:hAnsi="Times New Roman;serif"/>
                  <w:b w:val="false"/>
                  <w:strike w:val="false"/>
                  <w:dstrike w:val="false"/>
                  <w:color w:val="000000"/>
                  <w:sz w:val="20"/>
                  <w:u w:val="none"/>
                  <w:effect w:val="none"/>
                </w:rPr>
                <w:t>12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51">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151">
              <w:r>
                <w:rPr>
                  <w:rStyle w:val="InternetLink"/>
                  <w:rFonts w:ascii="Times New Roman;serif" w:hAnsi="Times New Roman;serif"/>
                  <w:b w:val="false"/>
                  <w:strike w:val="false"/>
                  <w:dstrike w:val="false"/>
                  <w:color w:val="000000"/>
                  <w:sz w:val="20"/>
                  <w:u w:val="none"/>
                  <w:effect w:val="none"/>
                </w:rPr>
                <w:t>42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96">
              <w:r>
                <w:rPr>
                  <w:rStyle w:val="InternetLink"/>
                  <w:rFonts w:ascii="Times New Roman;serif" w:hAnsi="Times New Roman;serif"/>
                  <w:b w:val="false"/>
                  <w:color w:val="0E32E1"/>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196">
              <w:r>
                <w:rPr>
                  <w:rStyle w:val="InternetLink"/>
                  <w:rFonts w:ascii="Times New Roman;serif" w:hAnsi="Times New Roman;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199">
              <w:r>
                <w:rPr>
                  <w:rStyle w:val="InternetLink"/>
                  <w:rFonts w:ascii="Times New Roman;serif" w:hAnsi="Times New Roman;serif"/>
                  <w:b w:val="false"/>
                  <w:color w:val="0E32E1"/>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199">
              <w:r>
                <w:rPr>
                  <w:rStyle w:val="InternetLink"/>
                  <w:rFonts w:ascii="Times New Roman;serif" w:hAnsi="Times New Roman;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02">
              <w:r>
                <w:rPr>
                  <w:rStyle w:val="InternetLink"/>
                  <w:rFonts w:ascii="Times New Roman;serif" w:hAnsi="Times New Roman;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05">
              <w:r>
                <w:rPr>
                  <w:rStyle w:val="InternetLink"/>
                  <w:rFonts w:ascii="Times New Roman;serif" w:hAnsi="Times New Roman;serif"/>
                  <w:b w:val="false"/>
                  <w:color w:val="0E32E1"/>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05">
              <w:r>
                <w:rPr>
                  <w:rStyle w:val="InternetLink"/>
                  <w:rFonts w:ascii="Times New Roman;serif" w:hAnsi="Times New Roman;serif"/>
                  <w:b w:val="false"/>
                  <w:strike w:val="false"/>
                  <w:dstrike w:val="false"/>
                  <w:color w:val="000000"/>
                  <w:sz w:val="20"/>
                  <w:u w:val="none"/>
                  <w:effect w:val="none"/>
                </w:rPr>
                <w:t>63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08">
              <w:r>
                <w:rPr>
                  <w:rStyle w:val="InternetLink"/>
                  <w:rFonts w:ascii="Times New Roman;serif" w:hAnsi="Times New Roman;serif"/>
                  <w:b w:val="false"/>
                  <w:color w:val="0E32E1"/>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08">
              <w:r>
                <w:rPr>
                  <w:rStyle w:val="InternetLink"/>
                  <w:rFonts w:ascii="Times New Roman;serif" w:hAnsi="Times New Roman;serif"/>
                  <w:b w:val="false"/>
                  <w:strike w:val="false"/>
                  <w:dstrike w:val="false"/>
                  <w:color w:val="000000"/>
                  <w:sz w:val="20"/>
                  <w:u w:val="none"/>
                  <w:effect w:val="none"/>
                </w:rPr>
                <w:t>63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11">
              <w:r>
                <w:rPr>
                  <w:rStyle w:val="InternetLink"/>
                  <w:rFonts w:ascii="Times New Roman;serif" w:hAnsi="Times New Roman;serif"/>
                  <w:b w:val="false"/>
                  <w:color w:val="000080"/>
                  <w:sz w:val="20"/>
                  <w:u w:val="single"/>
                </w:rPr>
                <w:t>Unregistered Sales of Equity Securities, Use of Proceeds</w:t>
              </w:r>
            </w:hyperlink>
            <w:r>
              <w:rPr>
                <w:rFonts w:ascii="Times New Roman;serif" w:hAnsi="Times New Roman;serif"/>
                <w:b w:val="false"/>
                <w:color w:val="0E32E1"/>
                <w:sz w:val="20"/>
                <w:u w:val="single"/>
              </w:rPr>
              <w:t>, and Issuer Purchases of Equity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11">
              <w:r>
                <w:rPr>
                  <w:rStyle w:val="InternetLink"/>
                  <w:rFonts w:ascii="Times New Roman;serif" w:hAnsi="Times New Roman;serif"/>
                  <w:b w:val="false"/>
                  <w:strike w:val="false"/>
                  <w:dstrike w:val="false"/>
                  <w:color w:val="000000"/>
                  <w:sz w:val="20"/>
                  <w:u w:val="none"/>
                  <w:effect w:val="none"/>
                </w:rPr>
                <w:t>63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14">
              <w:r>
                <w:rPr>
                  <w:rStyle w:val="InternetLink"/>
                  <w:rFonts w:ascii="Times New Roman;serif" w:hAnsi="Times New Roman;serif"/>
                  <w:b w:val="false"/>
                  <w:color w:val="0E32E1"/>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14">
              <w:r>
                <w:rPr>
                  <w:rStyle w:val="InternetLink"/>
                  <w:rFonts w:ascii="Times New Roman;serif" w:hAnsi="Times New Roman;serif"/>
                  <w:b w:val="false"/>
                  <w:strike w:val="false"/>
                  <w:dstrike w:val="false"/>
                  <w:color w:val="000000"/>
                  <w:sz w:val="20"/>
                  <w:u w:val="none"/>
                  <w:effect w:val="none"/>
                </w:rPr>
                <w:t>63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17">
              <w:r>
                <w:rPr>
                  <w:rStyle w:val="InternetLink"/>
                  <w:rFonts w:ascii="Times New Roman;serif" w:hAnsi="Times New Roman;serif"/>
                  <w:b w:val="false"/>
                  <w:color w:val="0E32E1"/>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17">
              <w:r>
                <w:rPr>
                  <w:rStyle w:val="InternetLink"/>
                  <w:rFonts w:ascii="Times New Roman;serif" w:hAnsi="Times New Roman;serif"/>
                  <w:b w:val="false"/>
                  <w:strike w:val="false"/>
                  <w:dstrike w:val="false"/>
                  <w:color w:val="000000"/>
                  <w:sz w:val="20"/>
                  <w:u w:val="none"/>
                  <w:effect w:val="none"/>
                </w:rPr>
                <w:t>64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20">
              <w:r>
                <w:rPr>
                  <w:rStyle w:val="InternetLink"/>
                  <w:rFonts w:ascii="Times New Roman;serif" w:hAnsi="Times New Roman;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20">
              <w:r>
                <w:rPr>
                  <w:rStyle w:val="InternetLink"/>
                  <w:rFonts w:ascii="Times New Roman;serif" w:hAnsi="Times New Roman;serif"/>
                  <w:b w:val="false"/>
                  <w:strike w:val="false"/>
                  <w:dstrike w:val="false"/>
                  <w:color w:val="000000"/>
                  <w:sz w:val="20"/>
                  <w:u w:val="none"/>
                  <w:effect w:val="none"/>
                </w:rPr>
                <w:t>64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23">
              <w:r>
                <w:rPr>
                  <w:rStyle w:val="InternetLink"/>
                  <w:rFonts w:ascii="Times New Roman;serif" w:hAnsi="Times New Roman;serif"/>
                  <w:b w:val="false"/>
                  <w:color w:val="0E32E1"/>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23">
              <w:r>
                <w:rPr>
                  <w:rStyle w:val="InternetLink"/>
                  <w:rFonts w:ascii="Times New Roman;serif" w:hAnsi="Times New Roman;serif"/>
                  <w:b w:val="false"/>
                  <w:strike w:val="false"/>
                  <w:dstrike w:val="false"/>
                  <w:color w:val="000000"/>
                  <w:sz w:val="20"/>
                  <w:u w:val="none"/>
                  <w:effect w:val="none"/>
                </w:rPr>
                <w:t>66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ea9f5d89204bb685e3d617180d88f8_226">
              <w:r>
                <w:rPr>
                  <w:rStyle w:val="InternetLink"/>
                  <w:rFonts w:ascii="Times New Roman;serif" w:hAnsi="Times New Roman;serif"/>
                  <w:b w:val="false"/>
                  <w:color w:val="0E32E1"/>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ea9f5d89204bb685e3d617180d88f8_226">
              <w:r>
                <w:rPr>
                  <w:rStyle w:val="InternetLink"/>
                  <w:rFonts w:ascii="Times New Roman;serif" w:hAnsi="Times New Roman;serif"/>
                  <w:b w:val="false"/>
                  <w:strike w:val="false"/>
                  <w:dstrike w:val="false"/>
                  <w:color w:val="000000"/>
                  <w:sz w:val="20"/>
                  <w:u w:val="none"/>
                  <w:effect w:val="none"/>
                </w:rPr>
                <w:t>67</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to “Bakkt,” “we,” “us,” “our,” or the “Company” in this Quarterly Report on Form 10-Q (this “Report”) refer to Bakkt Holdings, Inc. and its subsidiaries.</w:t>
      </w:r>
    </w:p>
    <w:p>
      <w:pPr>
        <w:pStyle w:val="TextBody"/>
        <w:bidi w:val="0"/>
        <w:spacing w:lineRule="auto" w:line="333"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pStyle w:val="TextBody"/>
        <w:bidi w:val="0"/>
        <w:spacing w:lineRule="auto" w:line="333" w:before="120" w:after="283"/>
        <w:ind w:left="0" w:right="0" w:hanging="360"/>
        <w:jc w:val="both"/>
        <w:rPr>
          <w:color w:val="231F20"/>
        </w:rPr>
      </w:pPr>
      <w:r>
        <w:rPr>
          <w:color w:val="231F20"/>
        </w:rPr>
        <w:t>•    </w:t>
      </w:r>
      <w:r>
        <w:rPr>
          <w:rFonts w:ascii="Times New Roman;serif" w:hAnsi="Times New Roman;serif"/>
          <w:b w:val="false"/>
          <w:color w:val="231F20"/>
          <w:sz w:val="20"/>
        </w:rPr>
        <w:t>our future financial performance and operating results;</w:t>
      </w:r>
    </w:p>
    <w:p>
      <w:pPr>
        <w:pStyle w:val="TextBody"/>
        <w:bidi w:val="0"/>
        <w:spacing w:lineRule="auto" w:line="333" w:before="120" w:after="283"/>
        <w:ind w:left="0" w:right="0" w:hanging="360"/>
        <w:jc w:val="both"/>
        <w:rPr>
          <w:color w:val="231F20"/>
        </w:rPr>
      </w:pPr>
      <w:r>
        <w:rPr>
          <w:color w:val="231F20"/>
        </w:rPr>
        <w:t>•    </w:t>
      </w:r>
      <w:r>
        <w:rPr>
          <w:rFonts w:ascii="Times New Roman;serif" w:hAnsi="Times New Roman;serif"/>
          <w:b w:val="false"/>
          <w:color w:val="231F20"/>
          <w:sz w:val="20"/>
        </w:rPr>
        <w:t>changes in the market for our products and services;</w:t>
      </w:r>
    </w:p>
    <w:p>
      <w:pPr>
        <w:pStyle w:val="TextBody"/>
        <w:bidi w:val="0"/>
        <w:spacing w:lineRule="auto" w:line="333" w:before="120" w:after="283"/>
        <w:ind w:left="0" w:right="0" w:hanging="360"/>
        <w:jc w:val="left"/>
        <w:rPr/>
      </w:pPr>
      <w:r>
        <w:rPr>
          <w:color w:val="231F20"/>
        </w:rPr>
        <w:t>•</w:t>
      </w:r>
      <w:r>
        <w:rPr>
          <w:rFonts w:ascii="Times New Roman;serif" w:hAnsi="Times New Roman;serif"/>
          <w:b w:val="false"/>
          <w:color w:val="231F20"/>
          <w:sz w:val="20"/>
        </w:rPr>
        <w:t>the growth of the crypto industry and the regulatory environment for crypto;</w:t>
      </w:r>
    </w:p>
    <w:p>
      <w:pPr>
        <w:pStyle w:val="TextBody"/>
        <w:bidi w:val="0"/>
        <w:spacing w:lineRule="auto" w:line="240" w:before="120" w:after="283"/>
        <w:ind w:left="0" w:right="0" w:hanging="360"/>
        <w:jc w:val="left"/>
        <w:rPr/>
      </w:pPr>
      <w:r>
        <w:rPr>
          <w:color w:val="231F20"/>
        </w:rPr>
        <w:t>•</w:t>
      </w:r>
      <w:r>
        <w:rPr>
          <w:rFonts w:ascii="Times New Roman;serif" w:hAnsi="Times New Roman;serif"/>
          <w:b w:val="false"/>
          <w:color w:val="231F20"/>
          <w:sz w:val="20"/>
        </w:rPr>
        <w:t>the expected impacts from the adoption of our investment policy (“Investment Policy”) and related treasury strategy; and</w:t>
      </w:r>
    </w:p>
    <w:p>
      <w:pPr>
        <w:pStyle w:val="TextBody"/>
        <w:bidi w:val="0"/>
        <w:spacing w:lineRule="auto" w:line="333" w:before="120" w:after="283"/>
        <w:ind w:left="0" w:right="0" w:hanging="360"/>
        <w:jc w:val="both"/>
        <w:rPr>
          <w:color w:val="231F20"/>
        </w:rPr>
      </w:pPr>
      <w:r>
        <w:rPr>
          <w:color w:val="231F20"/>
        </w:rPr>
        <w:t>•    </w:t>
      </w:r>
      <w:r>
        <w:rPr>
          <w:rFonts w:ascii="Times New Roman;serif" w:hAnsi="Times New Roman;serif"/>
          <w:b w:val="false"/>
          <w:color w:val="231F20"/>
          <w:sz w:val="20"/>
        </w:rPr>
        <w:t xml:space="preserve">and expansion plans, strategic initiatives and opportunities. </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These forward-looking statements are based on information available as of the date of this </w:t>
      </w:r>
      <w:r>
        <w:rPr>
          <w:rFonts w:ascii="Times New Roman;serif" w:hAnsi="Times New Roman;serif"/>
          <w:b w:val="false"/>
          <w:color w:val="000000"/>
          <w:sz w:val="20"/>
          <w:shd w:fill="FFFFFF" w:val="clear"/>
        </w:rPr>
        <w:t>Report</w:t>
      </w:r>
      <w:r>
        <w:rPr>
          <w:color w:val="231F20"/>
        </w:rPr>
        <w:t xml:space="preserve"> </w:t>
      </w:r>
      <w:r>
        <w:rPr>
          <w:rFonts w:ascii="Times New Roman;serif" w:hAnsi="Times New Roman;serif"/>
          <w:b w:val="false"/>
          <w:color w:val="231F20"/>
          <w:sz w:val="20"/>
        </w:rPr>
        <w:t>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ability to grow and manage growth profitably;</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that the Company may be unable to obtain the applicable regulatory approvals to execute on the commercial agreement with Distributed Technologies Research Global Ltd. (“DTR”);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whether the Company will be able to successfully integrate its operations with those of DTR, including its infrastructure, and achieve the expected benefits therefrom;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regulatory environment for crypto currencies and digital stablecoin payments;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changes in the Company’s business strategy;</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adoption of its updated Investment Policy (“Investment Policy”) and related treasury strategy, including the Company’s ability to successfully consummate acquisitions, integrate or manage investments in potential acquisition targets and investees;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price of digital assets, including Bitcoin;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risks associated with owning digital assets, including Bitcoin, including price volatility, limited liquidity and trading volumes, relative anonymity, potential widespread susceptibility to market abuse and manipulation,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compliance and internal control failures at exchanges and other risks inherent in its entirely electronic, virtual, form and decentralized network;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fluctuation of the Company’s operating results, including because the Company may be required to account for its digital assets at fair value;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time the price of its purchase of digital assets pursuant to its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impact of the market value of digital assets on the Company’s ability to satisfy its financial obligations, including any debt financings;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unrealized fair value gains on its digital asset holdings subjecting the Company to the corporate alternative minimum tax;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competition by other Bitcoin treasury companies and the availability of spot-traded products for Bitcoin;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enhanced regulatory oversight as a result of the Company’s Investment Policy and related treasury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concentration of the Company’s expected digital asset holdings relative to non-digital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inability to use the Company’s digital asset holdings as a source of liquidity to the same extent as cash and cash equivalents, due to, for example, risks associated with digital assets and other risks inherent to its entirely electronic, virtual form and decentralized network;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 or a third-party service provider experiencing a security breach or cyber-attack where unauthorized parties obtain access to its 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 not being subject to the legal and regulatory protections applicable to investment companies such as mutual funds and exchange-traded funds, or to obligations applicable to investment advisers;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non-performance, breach of contract or other violations by counterparties assisting the Company in effecting its Investment Policy and related treasury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future capital requirements and sources and uses of cash, including funds to satisfy its liquidity needs;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ability to raise capital and investments in us, including by our Chief Executive Officer;</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changes in the market in which the Company competes, including with respect to its competitive landscape, technology evolution or changes in applicable laws or regulations;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changes in the markets that the Company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that the Company may be adversely affected by other macroeconomic, geopolitical, business, and/or competitive factors;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launch new services and products, including with its expected commercial partners, or to profitably expand into new markets and services;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execute its growth strategies, including identifying and executing acquisitions and divestitures and the Company’s initiatives to add new clients;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reach definitive agreements with its expected commercial counterparties;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failure to comply with extensive government regulations, oversight, licensure and appraisals;</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uncertain and evolving regulatory regime governing blockchain technologies, stablecoins, digital payments and crypto;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establish and maintain effective internal controls and procedures;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exposure to any liability, protracted and costly litigation or reputational damage relating to the Company’s data security;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impact of any goodwill or other intangible assets impairments on the Company’s operating results;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as a result of the Company’s lack of control over DTR, that DTR will not continue to make available, support or develop technology currently licensed pursuant to the existing commercial agreement with DTR;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maintain the listing of its securities on the New York Stock Exchange; </w:t>
      </w:r>
    </w:p>
    <w:p>
      <w:pPr>
        <w:pStyle w:val="TextBody"/>
        <w:bidi w:val="0"/>
        <w:spacing w:lineRule="auto" w:line="333" w:before="120" w:after="283"/>
        <w:ind w:left="0" w:right="0" w:hanging="360"/>
        <w:jc w:val="left"/>
        <w:rPr/>
      </w:pPr>
      <w:r>
        <w:rPr>
          <w:color w:val="231F20"/>
        </w:rPr>
        <w:t>•</w:t>
      </w:r>
      <w:r>
        <w:rPr>
          <w:rFonts w:ascii="Times New Roman;serif" w:hAnsi="Times New Roman;serif"/>
          <w:b w:val="false"/>
          <w:color w:val="231F20"/>
          <w:sz w:val="20"/>
        </w:rPr>
        <w:t>and other risks and uncertainties indicated in the Company’s filings with the SEC, including its most recent Annual Report on Form 10-K for the year ended December 31, 2024, its quarterly reports on Form 10-Q for the quarter ended March 31, 2025 and the quarter ended June 30, 2025, the risks regarding the Company’s adoption of its Investment Policy set forth in Exhibit 99.1 to the Company’s Current Report on Form 8-K, filed with the U.S. Securities and Exchange Commission on June 10, 2025</w:t>
      </w:r>
      <w:r>
        <w:rPr>
          <w:color w:val="231F20"/>
        </w:rPr>
        <w:t xml:space="preserve"> </w:t>
      </w:r>
      <w:r>
        <w:rPr>
          <w:rFonts w:ascii="Times New Roman;serif" w:hAnsi="Times New Roman;serif"/>
          <w:b w:val="false"/>
          <w:color w:val="231F20"/>
          <w:sz w:val="20"/>
        </w:rPr>
        <w:t>and the risks set forth under Part II –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Bakkt Holdings,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195" w:type="dxa"/>
        <w:jc w:val="left"/>
        <w:tblInd w:w="0" w:type="dxa"/>
        <w:tblLayout w:type="fixed"/>
        <w:tblCellMar>
          <w:top w:w="28" w:type="dxa"/>
          <w:left w:w="28" w:type="dxa"/>
          <w:bottom w:w="28" w:type="dxa"/>
          <w:right w:w="28" w:type="dxa"/>
        </w:tblCellMar>
      </w:tblPr>
      <w:tblGrid>
        <w:gridCol w:w="2443"/>
        <w:gridCol w:w="2153"/>
        <w:gridCol w:w="2184"/>
        <w:gridCol w:w="289"/>
        <w:gridCol w:w="1092"/>
        <w:gridCol w:w="163"/>
        <w:gridCol w:w="109"/>
        <w:gridCol w:w="109"/>
        <w:gridCol w:w="109"/>
        <w:gridCol w:w="277"/>
        <w:gridCol w:w="1047"/>
        <w:gridCol w:w="220"/>
      </w:tblGrid>
      <w:tr>
        <w:trPr/>
        <w:tc>
          <w:tcPr>
            <w:tcW w:w="244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 securities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insurance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businesses held for sale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 net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held for sale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258,262 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269,378 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 payable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related party</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businesses held for sale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143,845 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liability</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held for sale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206,525 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15)</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Class A Common Stock ($0.0001 par value, 560,000,000 shares authorized, 16,466,495 shares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issued and outstanding as of September 30, 2025 and 6,510,885 shares issued and outstanding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2024)</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Class V Common Stock ($0.0001 par value, 10,000,000 shares authorized, 7,174,575 shares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issued and outstanding as of September 30, 2025 and 7,178,303 shares issued and outstanding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2024)</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832,693 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(819,902)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(797,960)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Bakkt Holdings, Inc. stockholders' equity</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114,394 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128,564 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258,262 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269,378 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120" w:after="283"/>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29"/>
        <w:gridCol w:w="989"/>
        <w:gridCol w:w="993"/>
        <w:gridCol w:w="275"/>
        <w:gridCol w:w="1037"/>
        <w:gridCol w:w="153"/>
        <w:gridCol w:w="109"/>
        <w:gridCol w:w="109"/>
        <w:gridCol w:w="109"/>
        <w:gridCol w:w="275"/>
        <w:gridCol w:w="1037"/>
        <w:gridCol w:w="153"/>
        <w:gridCol w:w="109"/>
        <w:gridCol w:w="109"/>
        <w:gridCol w:w="109"/>
        <w:gridCol w:w="244"/>
        <w:gridCol w:w="1086"/>
        <w:gridCol w:w="135"/>
        <w:gridCol w:w="109"/>
        <w:gridCol w:w="109"/>
        <w:gridCol w:w="109"/>
        <w:gridCol w:w="242"/>
        <w:gridCol w:w="1079"/>
        <w:gridCol w:w="197"/>
      </w:tblGrid>
      <w:tr>
        <w:trPr/>
        <w:tc>
          <w:tcPr>
            <w:tcW w:w="132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3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services revenue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2,036,070 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1,654,814 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2,012,524 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communication</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expenses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427,474 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341,470 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2,092,889 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1,727,407 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from continuing operations</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change in fair value of warrant liability</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before income taxes</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Bakkt Holdings, Inc.</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Class A Common Stockholders:</w:t>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Bakkt Holdings, Inc.</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Consolidated Statements of Comprehensive Loss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(in thousands)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47"/>
        <w:gridCol w:w="1148"/>
        <w:gridCol w:w="993"/>
        <w:gridCol w:w="277"/>
        <w:gridCol w:w="996"/>
        <w:gridCol w:w="154"/>
        <w:gridCol w:w="109"/>
        <w:gridCol w:w="109"/>
        <w:gridCol w:w="109"/>
        <w:gridCol w:w="296"/>
        <w:gridCol w:w="952"/>
        <w:gridCol w:w="164"/>
        <w:gridCol w:w="109"/>
        <w:gridCol w:w="109"/>
        <w:gridCol w:w="109"/>
        <w:gridCol w:w="267"/>
        <w:gridCol w:w="959"/>
        <w:gridCol w:w="148"/>
        <w:gridCol w:w="109"/>
        <w:gridCol w:w="109"/>
        <w:gridCol w:w="109"/>
        <w:gridCol w:w="264"/>
        <w:gridCol w:w="947"/>
        <w:gridCol w:w="212"/>
      </w:tblGrid>
      <w:tr>
        <w:trPr/>
        <w:tc>
          <w:tcPr>
            <w:tcW w:w="14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(63,078)</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 net of tax</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available-for-sale securities, net of tax</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(36,476)</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(63,447)</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Bakkt Holdings, Inc.</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(21,704)</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Bakkt Holdings, Inc.</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Consolidated Statements of Changes in Equity</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(in thousands, except share data)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14111" w:type="dxa"/>
        <w:jc w:val="left"/>
        <w:tblInd w:w="0" w:type="dxa"/>
        <w:tblLayout w:type="fixed"/>
        <w:tblCellMar>
          <w:top w:w="28" w:type="dxa"/>
          <w:left w:w="28" w:type="dxa"/>
          <w:bottom w:w="28" w:type="dxa"/>
          <w:right w:w="28" w:type="dxa"/>
        </w:tblCellMar>
      </w:tblPr>
      <w:tblGrid>
        <w:gridCol w:w="544"/>
        <w:gridCol w:w="268"/>
        <w:gridCol w:w="269"/>
        <w:gridCol w:w="488"/>
        <w:gridCol w:w="488"/>
        <w:gridCol w:w="196"/>
        <w:gridCol w:w="109"/>
        <w:gridCol w:w="109"/>
        <w:gridCol w:w="109"/>
        <w:gridCol w:w="196"/>
        <w:gridCol w:w="256"/>
        <w:gridCol w:w="109"/>
        <w:gridCol w:w="109"/>
        <w:gridCol w:w="109"/>
        <w:gridCol w:w="109"/>
        <w:gridCol w:w="443"/>
        <w:gridCol w:w="443"/>
        <w:gridCol w:w="196"/>
        <w:gridCol w:w="109"/>
        <w:gridCol w:w="109"/>
        <w:gridCol w:w="109"/>
        <w:gridCol w:w="196"/>
        <w:gridCol w:w="256"/>
        <w:gridCol w:w="109"/>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200"/>
        <w:gridCol w:w="768"/>
        <w:gridCol w:w="113"/>
        <w:gridCol w:w="109"/>
        <w:gridCol w:w="109"/>
        <w:gridCol w:w="109"/>
        <w:gridCol w:w="243"/>
        <w:gridCol w:w="821"/>
        <w:gridCol w:w="137"/>
        <w:gridCol w:w="109"/>
        <w:gridCol w:w="109"/>
        <w:gridCol w:w="109"/>
        <w:gridCol w:w="196"/>
        <w:gridCol w:w="75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Bakkt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6,510,885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7,178,303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832,693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(797,960)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33,894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28,959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62,853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6,656,355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7,177,774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835,134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(790,250)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44,059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37,500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81,559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6,974,740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7,177,076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840,671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(804,984)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35,294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22,531</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57,825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718,098 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Debentures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1,746,552 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6,753,627 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16,446,495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7,174,575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934,896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(819,902)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(603)</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114,394</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14,170</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128,564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tbl>
      <w:tblPr>
        <w:tblW w:w="15311" w:type="dxa"/>
        <w:jc w:val="center"/>
        <w:tblInd w:w="0" w:type="dxa"/>
        <w:tblLayout w:type="fixed"/>
        <w:tblCellMar>
          <w:top w:w="28" w:type="dxa"/>
          <w:left w:w="28" w:type="dxa"/>
          <w:bottom w:w="28" w:type="dxa"/>
          <w:right w:w="28" w:type="dxa"/>
        </w:tblCellMar>
      </w:tblPr>
      <w:tblGrid>
        <w:gridCol w:w="1684"/>
        <w:gridCol w:w="268"/>
        <w:gridCol w:w="269"/>
        <w:gridCol w:w="443"/>
        <w:gridCol w:w="443"/>
        <w:gridCol w:w="196"/>
        <w:gridCol w:w="109"/>
        <w:gridCol w:w="109"/>
        <w:gridCol w:w="109"/>
        <w:gridCol w:w="196"/>
        <w:gridCol w:w="406"/>
        <w:gridCol w:w="109"/>
        <w:gridCol w:w="109"/>
        <w:gridCol w:w="109"/>
        <w:gridCol w:w="109"/>
        <w:gridCol w:w="443"/>
        <w:gridCol w:w="443"/>
        <w:gridCol w:w="196"/>
        <w:gridCol w:w="109"/>
        <w:gridCol w:w="109"/>
        <w:gridCol w:w="109"/>
        <w:gridCol w:w="196"/>
        <w:gridCol w:w="256"/>
        <w:gridCol w:w="109"/>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219"/>
        <w:gridCol w:w="739"/>
        <w:gridCol w:w="123"/>
        <w:gridCol w:w="109"/>
        <w:gridCol w:w="109"/>
        <w:gridCol w:w="109"/>
        <w:gridCol w:w="243"/>
        <w:gridCol w:w="821"/>
        <w:gridCol w:w="137"/>
        <w:gridCol w:w="109"/>
        <w:gridCol w:w="109"/>
        <w:gridCol w:w="109"/>
        <w:gridCol w:w="196"/>
        <w:gridCol w:w="75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Bakkt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3,793,837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7,200,064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48,282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87,432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135,714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offerings, net of issuance costs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1,955,924 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 net of tax</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5,873,079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7,195,339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816,768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56,983</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73,900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130,883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offerings, net of issuance cost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available-for-sale securities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6,310,548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7,194,941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824,023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(775,890)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47,794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54,785</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102,579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and cancellation of common units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losses on available-for-sale securities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6,465,776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7,194,941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829,477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50,473</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51,520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101,993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Bakkt Holdings,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Consolidated 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(in thousands)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10073" w:type="dxa"/>
        <w:jc w:val="center"/>
        <w:tblInd w:w="0" w:type="dxa"/>
        <w:tblLayout w:type="fixed"/>
        <w:tblCellMar>
          <w:top w:w="28" w:type="dxa"/>
          <w:left w:w="28" w:type="dxa"/>
          <w:bottom w:w="28" w:type="dxa"/>
          <w:right w:w="28" w:type="dxa"/>
        </w:tblCellMar>
      </w:tblPr>
      <w:tblGrid>
        <w:gridCol w:w="2477"/>
        <w:gridCol w:w="2184"/>
        <w:gridCol w:w="2194"/>
        <w:gridCol w:w="109"/>
        <w:gridCol w:w="109"/>
        <w:gridCol w:w="109"/>
        <w:gridCol w:w="256"/>
        <w:gridCol w:w="850"/>
        <w:gridCol w:w="154"/>
        <w:gridCol w:w="109"/>
        <w:gridCol w:w="109"/>
        <w:gridCol w:w="109"/>
        <w:gridCol w:w="248"/>
        <w:gridCol w:w="845"/>
        <w:gridCol w:w="211"/>
      </w:tblGrid>
      <w:tr>
        <w:trPr/>
        <w:tc>
          <w:tcPr>
            <w:tcW w:w="247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br/>
              <w:t>September 30, 2024</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(63,078)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sale of Bakkt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lease assignment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from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convertible debenture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 to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funds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 and liabilities of businesses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(142,586)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(52,605)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internal-use software development costs and other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settlement of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Bakkt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Concurrent Offerings,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 xml:space="preserve">Proceeds from the exercise of warrants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Withholding tax payments on net share settlements on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Common Stock Issuance,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pre-funded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 of Convertible Debenture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borrowings on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convertible debentures,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 cash, cash equivalents, restricted cash, customer funds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restricted cash, customer funds and deposits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restricted cash, customer funds and deposits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disclosure of non-cash investing and financing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of cash, cash equivalents, restricted cash, customer funds and deposits to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Deposits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restricted cash, customer funds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117,493 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Bakkt Holdings,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Notes to Consolidated Financial 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 and Description of Business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provides, “we,” “us,” “our,” “Bakkt,” the “Company” and like terms refer to Bakkt Holdings, Inc. and its subsidiaries, including Bakkt Opco Holdings, LLC ("Opco").</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provides, or is working to provide, simplified solutions focused in the following areas:</w:t>
      </w:r>
    </w:p>
    <w:p>
      <w:pPr>
        <w:pStyle w:val="TextBody"/>
        <w:bidi w:val="0"/>
        <w:spacing w:lineRule="auto" w:line="333" w:before="240" w:after="283"/>
        <w:jc w:val="both"/>
        <w:rPr>
          <w:rFonts w:ascii="Times New Roman;serif" w:hAnsi="Times New Roman;serif"/>
          <w:b/>
          <w:i/>
          <w:color w:val="000000"/>
          <w:sz w:val="20"/>
          <w:u w:val="single"/>
        </w:rPr>
      </w:pPr>
      <w:r>
        <w:rPr>
          <w:rFonts w:ascii="Times New Roman;serif" w:hAnsi="Times New Roman;serif"/>
          <w:b/>
          <w:i/>
          <w:color w:val="000000"/>
          <w:sz w:val="20"/>
          <w:u w:val="single"/>
        </w:rPr>
        <w:t>Crypto</w:t>
      </w:r>
    </w:p>
    <w:p>
      <w:pPr>
        <w:pStyle w:val="TextBody"/>
        <w:bidi w:val="0"/>
        <w:spacing w:lineRule="auto" w:line="333" w:before="240" w:after="283"/>
        <w:jc w:val="both"/>
        <w:rPr/>
      </w:pPr>
      <w:r>
        <w:rPr>
          <w:rFonts w:ascii="Times New Roman;serif" w:hAnsi="Times New Roman;serif"/>
          <w:b/>
          <w:i/>
          <w:color w:val="0C0C0C"/>
          <w:sz w:val="20"/>
        </w:rPr>
        <w:t>Trading.</w:t>
      </w:r>
      <w:r>
        <w:rPr>
          <w:color w:val="0C0C0C"/>
        </w:rPr>
        <w:t xml:space="preserve"> </w:t>
      </w:r>
      <w:r>
        <w:rPr>
          <w:rFonts w:ascii="Times New Roman;serif" w:hAnsi="Times New Roman;serif"/>
          <w:b w:val="false"/>
          <w:color w:val="0C0C0C"/>
          <w:sz w:val="20"/>
        </w:rPr>
        <w:t xml:space="preserve">The Company's platform provides customers with the ability to buy, sell and store crypto via application programming interfaces or embedded web experience. Bakkt enables clients in various industries to provide their customers with the ability to transact in crypto directly in their trusted environments. As of </w:t>
      </w:r>
      <w:r>
        <w:rPr>
          <w:rFonts w:ascii="Times New Roman;serif" w:hAnsi="Times New Roman;serif"/>
          <w:b w:val="false"/>
          <w:color w:val="000000"/>
          <w:sz w:val="20"/>
        </w:rPr>
        <w:t>September 30, 2025</w:t>
      </w:r>
      <w:r>
        <w:rPr>
          <w:rFonts w:ascii="Times New Roman;serif" w:hAnsi="Times New Roman;serif"/>
          <w:b w:val="false"/>
          <w:color w:val="0C0C0C"/>
          <w:sz w:val="20"/>
        </w:rPr>
        <w:t>, the Company</w:t>
      </w:r>
      <w:r>
        <w:rPr>
          <w:color w:val="000000"/>
        </w:rPr>
        <w:t xml:space="preserve"> </w:t>
      </w:r>
      <w:r>
        <w:rPr>
          <w:rFonts w:ascii="Times New Roman;serif" w:hAnsi="Times New Roman;serif"/>
          <w:b w:val="false"/>
          <w:color w:val="000000"/>
          <w:sz w:val="20"/>
        </w:rPr>
        <w:t>facilitated transactions in the crypto assets listed in the table below.</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tbl>
      <w:tblPr>
        <w:tblW w:w="3270" w:type="dxa"/>
        <w:jc w:val="center"/>
        <w:tblInd w:w="0" w:type="dxa"/>
        <w:tblLayout w:type="fixed"/>
        <w:tblCellMar>
          <w:top w:w="28" w:type="dxa"/>
          <w:left w:w="28" w:type="dxa"/>
          <w:bottom w:w="28" w:type="dxa"/>
          <w:right w:w="28" w:type="dxa"/>
        </w:tblCellMar>
      </w:tblPr>
      <w:tblGrid>
        <w:gridCol w:w="847"/>
        <w:gridCol w:w="744"/>
        <w:gridCol w:w="748"/>
        <w:gridCol w:w="271"/>
        <w:gridCol w:w="271"/>
        <w:gridCol w:w="38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left w:val="single" w:sz="8" w:space="0" w:color="000000"/>
            </w:tcBorders>
            <w:shd w:fill="EEECE1"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Crypto Asset</w:t>
            </w:r>
          </w:p>
        </w:tc>
        <w:tc>
          <w:tcPr>
            <w:tcW w:w="931" w:type="dxa"/>
            <w:gridSpan w:val="3"/>
            <w:tcBorders>
              <w:top w:val="single" w:sz="8" w:space="0" w:color="000000"/>
              <w:left w:val="single" w:sz="8" w:space="0" w:color="000000"/>
              <w:right w:val="single" w:sz="8" w:space="0" w:color="000000"/>
            </w:tcBorders>
            <w:shd w:fill="EEECE1"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Symbol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Aave</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AAVE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Ardano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Algorand</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ALGO</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Arbitrum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Cosmos</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ATOM</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Avalanche</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AVAX</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Attention Token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Cash</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BCH</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Binanca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Bonk</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BONK</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Compound</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Curve DAO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Dogecoin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DOGE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Polka Dot</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Ethereum Classic</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Ethereum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Graph</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Hedera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HBAR</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Computer Protocol</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Lido DAO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LDO</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Chainlink</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 Protocol</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Optimism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Pepe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Polygon Ecosystem Token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Sandbox</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Shiba Inu</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Sui</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SUI</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Celestia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Toncoin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TON</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TRUMP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$TRUMP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Tron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TRX</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Uniswap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USD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USDC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Dog Wif Hat</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WIF</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Stellar</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XLM</w:t>
            </w:r>
          </w:p>
        </w:tc>
      </w:tr>
      <w:tr>
        <w:trPr/>
        <w:tc>
          <w:tcPr>
            <w:tcW w:w="23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Ripple</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XRP</w:t>
            </w:r>
          </w:p>
        </w:tc>
      </w:tr>
    </w:tbl>
    <w:p>
      <w:pPr>
        <w:pStyle w:val="TextBody"/>
        <w:bidi w:val="0"/>
        <w:spacing w:before="0" w:after="0"/>
        <w:jc w:val="center"/>
        <w:rPr/>
      </w:pPr>
      <w:r>
        <w:rPr/>
      </w:r>
    </w:p>
    <w:p>
      <w:pPr>
        <w:pStyle w:val="TextBody"/>
        <w:bidi w:val="0"/>
        <w:spacing w:lineRule="auto" w:line="333" w:before="240" w:after="283"/>
        <w:jc w:val="both"/>
        <w:rPr/>
      </w:pPr>
      <w:r>
        <w:rPr>
          <w:rFonts w:ascii="Times New Roman;serif" w:hAnsi="Times New Roman;serif"/>
          <w:b/>
          <w:i/>
          <w:color w:val="000000"/>
          <w:sz w:val="20"/>
        </w:rPr>
        <w:t>Stablecoin payments.</w:t>
      </w:r>
      <w:r>
        <w:rPr>
          <w:color w:val="000000"/>
        </w:rPr>
        <w:t xml:space="preserve"> </w:t>
      </w:r>
      <w:r>
        <w:rPr>
          <w:rFonts w:ascii="Times New Roman;serif" w:hAnsi="Times New Roman;serif"/>
          <w:b w:val="false"/>
          <w:color w:val="000000"/>
          <w:sz w:val="20"/>
        </w:rPr>
        <w:t xml:space="preserve">Bakkt's platform enables the Company's customers to make cross border payments using stablecoin technology and fiat support while leveraging agentic tools powered by artificial intelligence.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pPr>
      <w:r>
        <w:rPr>
          <w:rFonts w:ascii="Times New Roman;serif" w:hAnsi="Times New Roman;serif"/>
          <w:b/>
          <w:i/>
          <w:color w:val="0C0C0C"/>
          <w:sz w:val="20"/>
        </w:rPr>
        <w:t>Custody.</w:t>
      </w:r>
      <w:r>
        <w:rPr>
          <w:color w:val="0C0C0C"/>
        </w:rPr>
        <w:t xml:space="preserve"> </w:t>
      </w:r>
      <w:r>
        <w:rPr>
          <w:rFonts w:ascii="Times New Roman;serif" w:hAnsi="Times New Roman;serif"/>
          <w:b w:val="false"/>
          <w:color w:val="0C0C0C"/>
          <w:sz w:val="20"/>
        </w:rPr>
        <w:t>Bakkt Crypto Solutions, LLC ("Bakkt Crypto") uses third-party custodial relationships with BitGo and Coinbase Custody, which are currently used by Bakkt Crypto for custody and coin transfers and also self-custodies select coins to facilitate consumer withdrawals.</w:t>
      </w:r>
    </w:p>
    <w:p>
      <w:pPr>
        <w:pStyle w:val="TextBody"/>
        <w:bidi w:val="0"/>
        <w:spacing w:lineRule="auto" w:line="333" w:before="240" w:after="283"/>
        <w:ind w:left="0" w:right="0" w:firstLine="720"/>
        <w:jc w:val="both"/>
        <w:rPr>
          <w:rFonts w:ascii="Times New Roman;serif" w:hAnsi="Times New Roman;serif"/>
          <w:b w:val="false"/>
          <w:color w:val="0C0C0C"/>
          <w:sz w:val="20"/>
        </w:rPr>
      </w:pPr>
      <w:r>
        <w:rPr>
          <w:rFonts w:ascii="Times New Roman;serif" w:hAnsi="Times New Roman;serif"/>
          <w:b w:val="false"/>
          <w:color w:val="0C0C0C"/>
          <w:sz w:val="20"/>
        </w:rPr>
        <w:t>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Bakkt offers crypto services in the U.S., Latin America, Europe, and Asia.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policies are as set forth in the notes to its Annual Report on Form 10-K for the year ended December 31, 2024 (the "Form 10-K").</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the opinion of management, all adjustments (consisting of normal recurring accruals), considered necessary for a fair presentation have been included. The interim results for the </w:t>
      </w:r>
      <w:r>
        <w:rPr>
          <w:rFonts w:ascii="Times New Roman;serif" w:hAnsi="Times New Roman;serif"/>
          <w:b w:val="false"/>
          <w:color w:val="000000"/>
          <w:sz w:val="20"/>
          <w:shd w:fill="FFFFFF" w:val="clear"/>
        </w:rPr>
        <w:t>three and nine</w:t>
      </w:r>
      <w:r>
        <w:rPr>
          <w:color w:val="000000"/>
        </w:rPr>
        <w:t xml:space="preserve"> </w:t>
      </w:r>
      <w:r>
        <w:rPr>
          <w:rFonts w:ascii="Times New Roman;serif" w:hAnsi="Times New Roman;serif"/>
          <w:b w:val="false"/>
          <w:color w:val="000000"/>
          <w:sz w:val="20"/>
        </w:rPr>
        <w:t>months ended September 30, 2025 are not necessarily indicative of the results that may be expected for the year ending December 31, 2025, or for any other future annual or interim period. These unaudited interim consolidated financial statements should be read in conjunction with the Company’s audited financial statements and accompanying notes thereto included in the Form 10-K.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2024, following approval by our stockholders and Board of Directors (the “Board”), Bakkt effected a reverse stock split (the “Reverse Stock Split”) of its Class A Common Stock, par value $0.0001 per share (“Class A Common Stock”), and Class V Common Stock, par value $0.0001 per share (“Class V Common Stock” and collectively with the Class A Common Stock, the “Common Stock”), at a ratio of 1-for-25 (the “Reverse Stock Split Ratio”). The Company's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Quarterly Report on Form 10-Q (unless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U.S. GAAP requires management to make estimates and assumptions that affect the amounts reported in the financial statements and accompanying notes.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issued warrants, and fair market value of stock-based awards. Actual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and outcomes may differ from management’s estimates and assumptions and such differences may be material to the Company's audited consolidated financial statements.</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lineRule="auto" w:line="333"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Safeguarding Obligation for Crypto</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serif" w:hAnsi="Times New Roman;serif"/>
          <w:b w:val="false"/>
          <w:i/>
          <w:color w:val="000000"/>
          <w:sz w:val="20"/>
        </w:rPr>
        <w:t>Loss Contingencies</w:t>
      </w:r>
      <w:r>
        <w:rPr>
          <w:rFonts w:ascii="Times New Roman;serif" w:hAnsi="Times New Roman;serif"/>
          <w:b w:val="false"/>
          <w:color w:val="000000"/>
          <w:sz w:val="20"/>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income (loss), net income (loss) per share, or any components of equity or net assets.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Convertible Debentures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On June 18, 2025, the Company issued a $25.0 million convertible debenture that was classified as a liability in accordance with ASC 470-20, </w:t>
      </w:r>
      <w:r>
        <w:rPr>
          <w:rFonts w:ascii="Times New Roman;serif" w:hAnsi="Times New Roman;serif"/>
          <w:b w:val="false"/>
          <w:i/>
          <w:color w:val="000000"/>
          <w:sz w:val="20"/>
        </w:rPr>
        <w:t>Debt with Conversion and Other Options</w:t>
      </w:r>
      <w:r>
        <w:rPr>
          <w:rFonts w:ascii="Times New Roman;serif" w:hAnsi="Times New Roman;serif"/>
          <w:b w:val="false"/>
          <w:color w:val="000000"/>
          <w:sz w:val="20"/>
        </w:rPr>
        <w:t>. The debenture was convertible into shares of the Company's Class A Common Stock at the option of the holder. Because the conversion option did not require separate accounting, the liability was initially measured at the proceeds received, and the convertible debenture was reported at amortized cost each reporting period. The original discount on the debenture and issuance costs was being amortized to interest expense over the term of the debenture using the effective interest method. On September 15, 2025, we exercised our right to redeem the remaining outstanding balance of the convertible debenture in cash, which resulted in the acceleration of the remaining original discount and issuance costs of the debenture, which were recognized as a loss on the extinguishment of debt.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calculating diluted earnings per share, the Company applies the if-converted method to the convertible portion of the outstanding Convertible Debentures. Under this method, the convertible portion is assumed to be converted into common shares at the beginning of the reporting period (or at the date of issuance, if later), and the resulting shares are included in the diluted weighted-average share count, if the effect is dilutive.</w:t>
      </w:r>
    </w:p>
    <w:p>
      <w:pPr>
        <w:pStyle w:val="TextBody"/>
        <w:bidi w:val="0"/>
        <w:spacing w:lineRule="auto" w:line="333"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Segments</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W</w:t>
      </w:r>
      <w:r>
        <w:rPr>
          <w:rFonts w:ascii="Times New Roman;serif" w:hAnsi="Times New Roman;serif"/>
          <w:b w:val="false"/>
          <w:color w:val="000000"/>
          <w:sz w:val="20"/>
        </w:rPr>
        <w:t xml:space="preserve">e have one operating and reportable segment. Operating segments are defined as components of an enterprise about which separate financial information is evaluated regularly by the chief operating decision maker (“CODM”), who is Akshay Naheta, our Chief Executive Officer, in deciding how to allocate resources and assessing performance. </w:t>
      </w:r>
    </w:p>
    <w:p>
      <w:pPr>
        <w:pStyle w:val="TextBody"/>
        <w:bidi w:val="0"/>
        <w:spacing w:lineRule="auto" w:line="333"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Method Investment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under the equity method of accounting when it is deemed to have the ability to exercise significant influence over the investees' operating and financial policies through its ownership interest, but does not control the investee. Under the equity method, the investment is initially recorded at cost and subsequently adjusted for the Company’s proportionate share of the investee's net income or loss, as well as other changes in the investee's net assets, including dividends received and foreign currency translation adjustments, where applicable. The Company evaluates its equity method investments for impairment whenever events or changes in circumstances indicate that the carrying amount of the investment may not be recoverable. Any identified impairment losses are recognized in the period in which the decline in value is deemed other-than-temporary.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circumstances related to the timing of investee's reporting financial results, Bakkt has elected to report its share of investee income or loss on a quarter lag.</w:t>
      </w:r>
    </w:p>
    <w:p>
      <w:pPr>
        <w:pStyle w:val="TextBody"/>
        <w:bidi w:val="0"/>
        <w:spacing w:lineRule="auto" w:line="333"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Discontinued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comprised a part of the Company’s strategic transformation into a pure-play cryptocurrency infrastructure platform.</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205-20, 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will result in the elimination of the operations and cash flows of the Loyalty Business from ongoing operations. As such, the results of operations, financial position, and cash flows of the Loyalty Business have been reclassified and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w:t>
      </w:r>
    </w:p>
    <w:p>
      <w:pPr>
        <w:pStyle w:val="TextBody"/>
        <w:bidi w:val="0"/>
        <w:spacing w:lineRule="auto" w:line="333"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Derivative Assets and Liabilities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(expense) income, net in the consolidated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use derivative instruments for speculative purposes or to hedge exposures to cash flow or market risks. Certain transactions entered into by the Company include freestanding financial instruments and/or embedded features that require separate accounting as derivative assets and/or liabilities.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Going Concern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each reporting period, in accordance with U.S. GAAP,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Evaluation in conjunction with the issuance of the September 30, 2025 unaudited consolidated financial statements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the Company has consumed cash in excess of cash inflows from operations and fundraising. The Company’s accumulated deficit totaled $819.9 million as of September 30, 2025. Due to ongoing losses, the Company has been working to optimize capital allocation and reduce cash expenses since the fourth quarter of 2022.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crypto assets.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Company’s sources of liquidity included cash and cash equivalents, available-for-sale securities and equity offerings. As discussed in Note 11, on July 30, 2025, the Company raised $75.0 million of gross proceeds prior to underwriting fees and expenses from an offering of common stock and pre-funded warrants.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Company's cash and cash equivalents and available-for-sale securities, inclusive of net proceeds from the common stock and pre-funded warrant issuance, will be sufficient to fund Bakkt's operations for 12 months from the date of these financial statements are issued.</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August 2020, the FASB issued ASU 2020-06, </w:t>
      </w:r>
      <w:r>
        <w:rPr>
          <w:rFonts w:ascii="Times New Roman;serif" w:hAnsi="Times New Roman;serif"/>
          <w:b w:val="false"/>
          <w:i/>
          <w:color w:val="000000"/>
          <w:sz w:val="20"/>
        </w:rPr>
        <w:t>Accounting for Convertible Instruments and Contracts in an Entity's Own Equity</w:t>
      </w:r>
      <w:r>
        <w:rPr>
          <w:color w:val="000000"/>
        </w:rPr>
        <w:t xml:space="preserve"> </w:t>
      </w:r>
      <w:r>
        <w:rPr>
          <w:rFonts w:ascii="Times New Roman;serif" w:hAnsi="Times New Roman;serif"/>
          <w:b w:val="false"/>
          <w:color w:val="000000"/>
          <w:sz w:val="20"/>
        </w:rPr>
        <w:t xml:space="preserve">("ASU 2020-06"). This ASU simplifies the accounting for convertible instruments by 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is subject to and adopted ASU 2020-06. The adoption of this ASU did not have a material impact on the Company's consolidated financial statements.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In December 2023, the Financial Accounting Standards Board (“FASB”) issued Accounting Standards Update (“ASU”) No. 2023-08,</w:t>
      </w:r>
      <w:r>
        <w:rPr>
          <w:color w:val="000000"/>
        </w:rPr>
        <w:t xml:space="preserve"> </w:t>
      </w:r>
      <w:r>
        <w:rPr>
          <w:rFonts w:ascii="Times New Roman;serif" w:hAnsi="Times New Roman;serif"/>
          <w:b w:val="false"/>
          <w:i/>
          <w:color w:val="000000"/>
          <w:sz w:val="20"/>
        </w:rPr>
        <w:t>Intangibles-Goodwill and Other-Crypto Assets</w:t>
      </w:r>
      <w:r>
        <w:rPr>
          <w:color w:val="000000"/>
        </w:rPr>
        <w:t xml:space="preserve"> </w:t>
      </w:r>
      <w:r>
        <w:rPr>
          <w:rFonts w:ascii="Times New Roman;serif" w:hAnsi="Times New Roman;serif"/>
          <w:b w:val="false"/>
          <w:i/>
          <w:color w:val="000000"/>
          <w:sz w:val="20"/>
        </w:rPr>
        <w:t>(Topic 350-60), Accounting for and Disclosure of Crypto Assets (“ASU 2023-08”)</w:t>
      </w:r>
      <w:r>
        <w:rPr>
          <w:rFonts w:ascii="Times New Roman;serif" w:hAnsi="Times New Roman;serif"/>
          <w:b w:val="false"/>
          <w:color w:val="000000"/>
          <w:sz w:val="20"/>
        </w:rPr>
        <w:t xml:space="preserve">, which requires entities measure assets that meet the scope criteria at fair value with changes recognized in net income each reporting period. ASU 2023-08 also requires enhanced disclosures for interim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annual periods. The ASU is effective for fiscal years beginning after December 15, 2024, including interim periods within those years. The adoption of this ASU did not have a material impact on the Company’s consolidated financial statements. </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will require additional tax disclosures, predominantly related to the effective income tax rate reconciliation and income taxes paid. The updated standard will be effective for our annual periods beginning in fiscal 2025. Early adoption is permitted. Management is evaluating the impact that the updated standard will have on the Company's consolidated financial statement disclosures.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which requires disclosure of additional information about specific expense categories in 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pStyle w:val="TextBody"/>
        <w:bidi w:val="0"/>
        <w:spacing w:lineRule="auto" w:line="333" w:before="240" w:after="240"/>
        <w:ind w:left="0" w:right="0" w:firstLine="720"/>
        <w:jc w:val="both"/>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xml:space="preserve">. The ASU replaces the existing project-stage model with a principles-based "probable-to-complete" capitalization threshold and relocates website-development cost into ASC 350-40, </w:t>
      </w:r>
      <w:r>
        <w:rPr>
          <w:rFonts w:ascii="Times New Roman;serif" w:hAnsi="Times New Roman;serif"/>
          <w:b w:val="false"/>
          <w:i/>
          <w:color w:val="000000"/>
          <w:sz w:val="20"/>
        </w:rPr>
        <w:t>Intangibles-Goodwill and Other: Internal-Use Software</w:t>
      </w:r>
      <w:r>
        <w:rPr>
          <w:rFonts w:ascii="Times New Roman;serif" w:hAnsi="Times New Roman;serif"/>
          <w:b w:val="false"/>
          <w:color w:val="000000"/>
          <w:sz w:val="20"/>
        </w:rPr>
        <w:t xml:space="preserve">. The amendments are effective for fiscal years beginning after December 15, 2027, with early adoption permitted. The Company is evaluating the impact of this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3.Discontinued Operations</w:t>
      </w:r>
    </w:p>
    <w:p>
      <w:pPr>
        <w:pStyle w:val="TextBody"/>
        <w:bidi w:val="0"/>
        <w:spacing w:lineRule="auto" w:line="333" w:before="240" w:after="283"/>
        <w:ind w:left="0" w:right="0" w:firstLine="720"/>
        <w:jc w:val="both"/>
        <w:rPr>
          <w:rFonts w:ascii="Times New Roman;serif" w:hAnsi="Times New Roman;serif"/>
          <w:b w:val="false"/>
          <w:color w:val="0C0C0C"/>
          <w:sz w:val="20"/>
        </w:rPr>
      </w:pPr>
      <w:r>
        <w:rPr>
          <w:rFonts w:ascii="Times New Roman;serif" w:hAnsi="Times New Roman;serif"/>
          <w:b w:val="false"/>
          <w:color w:val="0C0C0C"/>
          <w:sz w:val="20"/>
        </w:rPr>
        <w:t>Our Loyalty Business offered a full spectrum of supplier content through configurable, white-label e-commerce storefronts that end users can acquire via redemption of loyalty points. The Company's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The Company's platform provided a unified shopping experience that was built to seamlessly extend the Company's customers’ loyalty strategies and user experience for their loyalty programs. Bakkt's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the Company agreed to sell the Loyalty Business, and closed the sale on October 1, 2025. Refer to Note 20 for further details. As described in Note 2, the Loyalty business is reported as a discontinued operation.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results of discontinued operations for the three and nine months ended September 30, 2025 and 2024 (in thousands): </w:t>
      </w:r>
    </w:p>
    <w:tbl>
      <w:tblPr>
        <w:tblW w:w="10205" w:type="dxa"/>
        <w:jc w:val="center"/>
        <w:tblInd w:w="0" w:type="dxa"/>
        <w:tblLayout w:type="fixed"/>
        <w:tblCellMar>
          <w:top w:w="28" w:type="dxa"/>
          <w:left w:w="28" w:type="dxa"/>
          <w:bottom w:w="28" w:type="dxa"/>
          <w:right w:w="28" w:type="dxa"/>
        </w:tblCellMar>
      </w:tblPr>
      <w:tblGrid>
        <w:gridCol w:w="885"/>
        <w:gridCol w:w="738"/>
        <w:gridCol w:w="743"/>
        <w:gridCol w:w="109"/>
        <w:gridCol w:w="109"/>
        <w:gridCol w:w="109"/>
        <w:gridCol w:w="347"/>
        <w:gridCol w:w="1118"/>
        <w:gridCol w:w="193"/>
        <w:gridCol w:w="109"/>
        <w:gridCol w:w="109"/>
        <w:gridCol w:w="109"/>
        <w:gridCol w:w="341"/>
        <w:gridCol w:w="1129"/>
        <w:gridCol w:w="190"/>
        <w:gridCol w:w="109"/>
        <w:gridCol w:w="109"/>
        <w:gridCol w:w="109"/>
        <w:gridCol w:w="326"/>
        <w:gridCol w:w="1075"/>
        <w:gridCol w:w="180"/>
        <w:gridCol w:w="109"/>
        <w:gridCol w:w="109"/>
        <w:gridCol w:w="109"/>
        <w:gridCol w:w="319"/>
        <w:gridCol w:w="1055"/>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2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Loyalty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communication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(8,410)</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(8,011)</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major classes of assets and liabilities of the Loyalty Business classified as held for sale were as follows (in thousands):</w:t>
      </w:r>
    </w:p>
    <w:tbl>
      <w:tblPr>
        <w:tblW w:w="6638" w:type="dxa"/>
        <w:jc w:val="center"/>
        <w:tblInd w:w="0" w:type="dxa"/>
        <w:tblLayout w:type="fixed"/>
        <w:tblCellMar>
          <w:top w:w="28" w:type="dxa"/>
          <w:left w:w="28" w:type="dxa"/>
          <w:bottom w:w="28" w:type="dxa"/>
          <w:right w:w="28" w:type="dxa"/>
        </w:tblCellMar>
      </w:tblPr>
      <w:tblGrid>
        <w:gridCol w:w="1045"/>
        <w:gridCol w:w="919"/>
        <w:gridCol w:w="931"/>
        <w:gridCol w:w="109"/>
        <w:gridCol w:w="109"/>
        <w:gridCol w:w="109"/>
        <w:gridCol w:w="318"/>
        <w:gridCol w:w="1050"/>
        <w:gridCol w:w="177"/>
        <w:gridCol w:w="109"/>
        <w:gridCol w:w="109"/>
        <w:gridCol w:w="109"/>
        <w:gridCol w:w="303"/>
        <w:gridCol w:w="1002"/>
        <w:gridCol w:w="239"/>
      </w:tblGrid>
      <w:tr>
        <w:trPr/>
        <w:tc>
          <w:tcPr>
            <w:tcW w:w="10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19,684 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27,782 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33,907 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significant non-cash operating activities for discontinued operations for the three and nine months ended September 30, 2025 and 2024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28"/>
        <w:gridCol w:w="812"/>
        <w:gridCol w:w="819"/>
        <w:gridCol w:w="109"/>
        <w:gridCol w:w="109"/>
        <w:gridCol w:w="109"/>
        <w:gridCol w:w="533"/>
        <w:gridCol w:w="533"/>
        <w:gridCol w:w="535"/>
        <w:gridCol w:w="109"/>
        <w:gridCol w:w="109"/>
        <w:gridCol w:w="109"/>
        <w:gridCol w:w="533"/>
        <w:gridCol w:w="533"/>
        <w:gridCol w:w="535"/>
        <w:gridCol w:w="109"/>
        <w:gridCol w:w="109"/>
        <w:gridCol w:w="109"/>
        <w:gridCol w:w="513"/>
        <w:gridCol w:w="513"/>
        <w:gridCol w:w="515"/>
        <w:gridCol w:w="109"/>
        <w:gridCol w:w="109"/>
        <w:gridCol w:w="109"/>
        <w:gridCol w:w="464"/>
        <w:gridCol w:w="464"/>
        <w:gridCol w:w="667"/>
      </w:tblGrid>
      <w:tr>
        <w:trPr/>
        <w:tc>
          <w:tcPr>
            <w:tcW w:w="9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Nine Months Ended</w:t>
              <w:br/>
              <w:t>September 30, 2024</w:t>
            </w:r>
          </w:p>
        </w:tc>
      </w:tr>
      <w:tr>
        <w:trPr/>
        <w:tc>
          <w:tcPr>
            <w:tcW w:w="2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4.Revenue from Contracts with Customers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Crypto Services revenue by service type as follows (in thousands):</w:t>
      </w:r>
    </w:p>
    <w:tbl>
      <w:tblPr>
        <w:tblW w:w="10205" w:type="dxa"/>
        <w:jc w:val="left"/>
        <w:tblInd w:w="0" w:type="dxa"/>
        <w:tblLayout w:type="fixed"/>
        <w:tblCellMar>
          <w:top w:w="28" w:type="dxa"/>
          <w:left w:w="28" w:type="dxa"/>
          <w:bottom w:w="28" w:type="dxa"/>
          <w:right w:w="28" w:type="dxa"/>
        </w:tblCellMar>
      </w:tblPr>
      <w:tblGrid>
        <w:gridCol w:w="743"/>
        <w:gridCol w:w="652"/>
        <w:gridCol w:w="653"/>
        <w:gridCol w:w="109"/>
        <w:gridCol w:w="109"/>
        <w:gridCol w:w="109"/>
        <w:gridCol w:w="320"/>
        <w:gridCol w:w="1256"/>
        <w:gridCol w:w="165"/>
        <w:gridCol w:w="109"/>
        <w:gridCol w:w="109"/>
        <w:gridCol w:w="109"/>
        <w:gridCol w:w="320"/>
        <w:gridCol w:w="1256"/>
        <w:gridCol w:w="165"/>
        <w:gridCol w:w="109"/>
        <w:gridCol w:w="109"/>
        <w:gridCol w:w="109"/>
        <w:gridCol w:w="269"/>
        <w:gridCol w:w="1248"/>
        <w:gridCol w:w="139"/>
        <w:gridCol w:w="109"/>
        <w:gridCol w:w="109"/>
        <w:gridCol w:w="109"/>
        <w:gridCol w:w="267"/>
        <w:gridCol w:w="1239"/>
        <w:gridCol w:w="205"/>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Service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Nine Months Ended</w:t>
              <w:br/>
              <w:t>September 30, 2024</w:t>
            </w:r>
          </w:p>
        </w:tc>
      </w:tr>
      <w:tr>
        <w:trPr/>
        <w:tc>
          <w:tcPr>
            <w:tcW w:w="2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1,654,748 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1,654,814 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Bakkt recognized revenue from foreign jurisdictions of $54.9 million and $121.9 million </w:t>
      </w:r>
      <w:r>
        <w:rPr>
          <w:rFonts w:ascii="Times New Roman;serif" w:hAnsi="Times New Roman;serif"/>
          <w:b w:val="false"/>
          <w:color w:val="000000"/>
          <w:sz w:val="20"/>
          <w:shd w:fill="FFFFFF" w:val="clear"/>
        </w:rPr>
        <w:t>for the three and nine months ended September 30, 2025, respectively, and $9.4 million and $32.3 million for the three and nine months ended September 30, 2024, respectively.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to which its revenues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Contract liabilities consist of deferred revenue for amounts invoiced prior to the Company meeting the criteria for revenue recognition. Bakkt invoices customers for service fees at the beginning of service performance, and such fees are recognized as revenue over time as the Company satisfies performance obligations. Contract liabilities are classified as “Deferred revenue, current” and “Deferred revenue, noncurrent” in the consolidated balance sheets. The activity in deferred revenue for the nine months ended September 30, 2025 and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 respectively, was as follows (in thousands):</w:t>
      </w:r>
    </w:p>
    <w:tbl>
      <w:tblPr>
        <w:tblW w:w="10205" w:type="dxa"/>
        <w:jc w:val="left"/>
        <w:tblInd w:w="0" w:type="dxa"/>
        <w:tblLayout w:type="fixed"/>
        <w:tblCellMar>
          <w:top w:w="28" w:type="dxa"/>
          <w:left w:w="28" w:type="dxa"/>
          <w:bottom w:w="28" w:type="dxa"/>
          <w:right w:w="28" w:type="dxa"/>
        </w:tblCellMar>
      </w:tblPr>
      <w:tblGrid>
        <w:gridCol w:w="2402"/>
        <w:gridCol w:w="2105"/>
        <w:gridCol w:w="2118"/>
        <w:gridCol w:w="428"/>
        <w:gridCol w:w="949"/>
        <w:gridCol w:w="225"/>
        <w:gridCol w:w="109"/>
        <w:gridCol w:w="109"/>
        <w:gridCol w:w="109"/>
        <w:gridCol w:w="451"/>
        <w:gridCol w:w="866"/>
        <w:gridCol w:w="334"/>
      </w:tblGrid>
      <w:tr>
        <w:trPr/>
        <w:tc>
          <w:tcPr>
            <w:tcW w:w="240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contract liability</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 included in the beginning balance</w:t>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cash received, net of amounts recognized in revenue during the period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contract liability</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For the three and nine months ended September 30, 2025 and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we incurred no incremental costs to obtain and/or fulfill contracts with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5.Goodwill and Intangible Assets,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goodwill consisted of the following (in thousands):</w:t>
      </w:r>
    </w:p>
    <w:tbl>
      <w:tblPr>
        <w:tblW w:w="4755" w:type="dxa"/>
        <w:jc w:val="left"/>
        <w:tblInd w:w="0" w:type="dxa"/>
        <w:tblLayout w:type="fixed"/>
        <w:tblCellMar>
          <w:top w:w="28" w:type="dxa"/>
          <w:left w:w="28" w:type="dxa"/>
          <w:bottom w:w="28" w:type="dxa"/>
          <w:right w:w="28" w:type="dxa"/>
        </w:tblCellMar>
      </w:tblPr>
      <w:tblGrid>
        <w:gridCol w:w="1038"/>
        <w:gridCol w:w="910"/>
        <w:gridCol w:w="917"/>
        <w:gridCol w:w="109"/>
        <w:gridCol w:w="109"/>
        <w:gridCol w:w="109"/>
        <w:gridCol w:w="109"/>
        <w:gridCol w:w="109"/>
        <w:gridCol w:w="109"/>
        <w:gridCol w:w="211"/>
        <w:gridCol w:w="87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Bakkt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has or will be allocated to the sale of the Loyalty Business based on the financial terms and conditions of the transaction.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the Company completed the sale of Bakkt Trust. As part of the sale, approximately $3.3 million of goodwill was included in the carrying amount of Bakkt Trust upon sale and in determining the loss on sale.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management did not identify any indicators of impairment related to goodwill and other intangible assets during the three months ended September 30, 2025.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Company's largest crypto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potential impairment of the Company's goodwill during the three months ended March 31, 2025. Bakkt management elected to bypass performing a qualitative assessment and proceeded directly to a quantitative impairment assessment.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retained a third-party valuation firm to estimate the fair value of its indefinite lived intangible asset (the “Tradename”) and single reporting unit.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 rate used in the valuations described above was 12.5%.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the Company’s quantitative impairment analyses as of March 31, 2025 indicated that there was no impairment of the Company’s Tradename or goodwill. Bakkt management considered the existence of material nonpublic information as of March 31, 2025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did not identify any indicators of impairment during the three months ended September 30, 2024. During the three months ended March 31, 2024, management identified a triggering event related to the significant decline in the Company's stock price, indicating a potential impairment of the Company's goodwill. Management determined no goodwill impairment charge was required based on a comparison of the Company's market capitalization against the carrying value of its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2025 (in thousands):</w:t>
      </w:r>
    </w:p>
    <w:tbl>
      <w:tblPr>
        <w:tblW w:w="10205" w:type="dxa"/>
        <w:jc w:val="left"/>
        <w:tblInd w:w="0" w:type="dxa"/>
        <w:tblLayout w:type="fixed"/>
        <w:tblCellMar>
          <w:top w:w="28" w:type="dxa"/>
          <w:left w:w="28" w:type="dxa"/>
          <w:bottom w:w="28" w:type="dxa"/>
          <w:right w:w="28" w:type="dxa"/>
        </w:tblCellMar>
      </w:tblPr>
      <w:tblGrid>
        <w:gridCol w:w="651"/>
        <w:gridCol w:w="571"/>
        <w:gridCol w:w="575"/>
        <w:gridCol w:w="812"/>
        <w:gridCol w:w="791"/>
        <w:gridCol w:w="794"/>
        <w:gridCol w:w="109"/>
        <w:gridCol w:w="109"/>
        <w:gridCol w:w="109"/>
        <w:gridCol w:w="368"/>
        <w:gridCol w:w="1076"/>
        <w:gridCol w:w="190"/>
        <w:gridCol w:w="109"/>
        <w:gridCol w:w="109"/>
        <w:gridCol w:w="109"/>
        <w:gridCol w:w="531"/>
        <w:gridCol w:w="1021"/>
        <w:gridCol w:w="275"/>
        <w:gridCol w:w="109"/>
        <w:gridCol w:w="109"/>
        <w:gridCol w:w="109"/>
        <w:gridCol w:w="335"/>
        <w:gridCol w:w="981"/>
        <w:gridCol w:w="253"/>
      </w:tblGrid>
      <w:tr>
        <w:trPr/>
        <w:tc>
          <w:tcPr>
            <w:tcW w:w="6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 trade names</w:t>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3"/>
        <w:gridCol w:w="547"/>
        <w:gridCol w:w="551"/>
        <w:gridCol w:w="763"/>
        <w:gridCol w:w="738"/>
        <w:gridCol w:w="741"/>
        <w:gridCol w:w="109"/>
        <w:gridCol w:w="109"/>
        <w:gridCol w:w="109"/>
        <w:gridCol w:w="352"/>
        <w:gridCol w:w="1029"/>
        <w:gridCol w:w="181"/>
        <w:gridCol w:w="109"/>
        <w:gridCol w:w="109"/>
        <w:gridCol w:w="109"/>
        <w:gridCol w:w="510"/>
        <w:gridCol w:w="981"/>
        <w:gridCol w:w="264"/>
        <w:gridCol w:w="109"/>
        <w:gridCol w:w="109"/>
        <w:gridCol w:w="109"/>
        <w:gridCol w:w="109"/>
        <w:gridCol w:w="109"/>
        <w:gridCol w:w="109"/>
        <w:gridCol w:w="109"/>
        <w:gridCol w:w="323"/>
        <w:gridCol w:w="943"/>
        <w:gridCol w:w="242"/>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08" w:type="dxa"/>
            <w:gridSpan w:val="3"/>
            <w:tcBorders/>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 trade names</w:t>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acquired website domain names for $2.7 million. The domain names were acquired to support the global expansion of its digital asset investment treasury strategy in strategic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6.Consolidated Balance Sheet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8680" w:type="dxa"/>
        <w:jc w:val="left"/>
        <w:tblInd w:w="0" w:type="dxa"/>
        <w:tblLayout w:type="fixed"/>
        <w:tblCellMar>
          <w:top w:w="28" w:type="dxa"/>
          <w:left w:w="28" w:type="dxa"/>
          <w:bottom w:w="28" w:type="dxa"/>
          <w:right w:w="28" w:type="dxa"/>
        </w:tblCellMar>
      </w:tblPr>
      <w:tblGrid>
        <w:gridCol w:w="1744"/>
        <w:gridCol w:w="1532"/>
        <w:gridCol w:w="1539"/>
        <w:gridCol w:w="358"/>
        <w:gridCol w:w="1226"/>
        <w:gridCol w:w="185"/>
        <w:gridCol w:w="109"/>
        <w:gridCol w:w="109"/>
        <w:gridCol w:w="109"/>
        <w:gridCol w:w="380"/>
        <w:gridCol w:w="1110"/>
        <w:gridCol w:w="279"/>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customers, clients and liquidity partners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Other Current Assets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(in thousands):</w:t>
      </w:r>
    </w:p>
    <w:tbl>
      <w:tblPr>
        <w:tblW w:w="5380" w:type="dxa"/>
        <w:jc w:val="left"/>
        <w:tblInd w:w="0" w:type="dxa"/>
        <w:tblLayout w:type="fixed"/>
        <w:tblCellMar>
          <w:top w:w="28" w:type="dxa"/>
          <w:left w:w="28" w:type="dxa"/>
          <w:bottom w:w="28" w:type="dxa"/>
          <w:right w:w="28" w:type="dxa"/>
        </w:tblCellMar>
      </w:tblPr>
      <w:tblGrid>
        <w:gridCol w:w="549"/>
        <w:gridCol w:w="481"/>
        <w:gridCol w:w="485"/>
        <w:gridCol w:w="397"/>
        <w:gridCol w:w="1165"/>
        <w:gridCol w:w="207"/>
        <w:gridCol w:w="109"/>
        <w:gridCol w:w="109"/>
        <w:gridCol w:w="109"/>
        <w:gridCol w:w="380"/>
        <w:gridCol w:w="1110"/>
        <w:gridCol w:w="27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(in thousands):</w:t>
      </w:r>
    </w:p>
    <w:tbl>
      <w:tblPr>
        <w:tblW w:w="7975" w:type="dxa"/>
        <w:jc w:val="left"/>
        <w:tblInd w:w="0" w:type="dxa"/>
        <w:tblLayout w:type="fixed"/>
        <w:tblCellMar>
          <w:top w:w="28" w:type="dxa"/>
          <w:left w:w="28" w:type="dxa"/>
          <w:bottom w:w="28" w:type="dxa"/>
          <w:right w:w="28" w:type="dxa"/>
        </w:tblCellMar>
      </w:tblPr>
      <w:tblGrid>
        <w:gridCol w:w="1487"/>
        <w:gridCol w:w="1308"/>
        <w:gridCol w:w="1315"/>
        <w:gridCol w:w="397"/>
        <w:gridCol w:w="1165"/>
        <w:gridCol w:w="207"/>
        <w:gridCol w:w="109"/>
        <w:gridCol w:w="109"/>
        <w:gridCol w:w="109"/>
        <w:gridCol w:w="380"/>
        <w:gridCol w:w="1110"/>
        <w:gridCol w:w="279"/>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computer and network equipment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gross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and depreciation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depreciation and amortization expense related to property, equipment and software amounted to $0.2 million and $0.5 million, of which $0.1 million and $0.5 million, respectively, related to amortization expense of capitalized internal-use software placed in service.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depreciation and amortization expense related to property, equipment and software amounted to $0.1 million and $0.3 million, of which $0.1 million and $0.2 million, respectively, related to amortization expense of capitalized internal-use software placed in service.</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Equity Method Investment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equity method investment balances were as follows (in thousands):</w:t>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826"/>
        <w:gridCol w:w="726"/>
        <w:gridCol w:w="728"/>
        <w:gridCol w:w="358"/>
        <w:gridCol w:w="1226"/>
        <w:gridCol w:w="185"/>
        <w:gridCol w:w="109"/>
        <w:gridCol w:w="109"/>
        <w:gridCol w:w="109"/>
        <w:gridCol w:w="517"/>
        <w:gridCol w:w="517"/>
        <w:gridCol w:w="735"/>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2025, the Company entered into a share purchase agreement with RIZAP Group, Inc. under which it acquired approximately 28% of the outstanding shares of MarushoHotta Co., Ltd. (“MHT”), a publicly traded company listed in Tokyo for ¥1,676,551,082 ($11.5 million).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identify any indicators of impairment as of the reporting date. The value of Bakkt's investment in MHT based on the public trading price as of September 30, 2025 was approximately $79.5 million.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consisted of the following (in thousands):</w:t>
      </w:r>
    </w:p>
    <w:tbl>
      <w:tblPr>
        <w:tblW w:w="6746" w:type="dxa"/>
        <w:jc w:val="left"/>
        <w:tblInd w:w="0" w:type="dxa"/>
        <w:tblLayout w:type="fixed"/>
        <w:tblCellMar>
          <w:top w:w="28" w:type="dxa"/>
          <w:left w:w="28" w:type="dxa"/>
          <w:bottom w:w="28" w:type="dxa"/>
          <w:right w:w="28" w:type="dxa"/>
        </w:tblCellMar>
      </w:tblPr>
      <w:tblGrid>
        <w:gridCol w:w="1043"/>
        <w:gridCol w:w="916"/>
        <w:gridCol w:w="921"/>
        <w:gridCol w:w="397"/>
        <w:gridCol w:w="1165"/>
        <w:gridCol w:w="207"/>
        <w:gridCol w:w="109"/>
        <w:gridCol w:w="109"/>
        <w:gridCol w:w="109"/>
        <w:gridCol w:w="344"/>
        <w:gridCol w:w="1175"/>
        <w:gridCol w:w="25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clearinghouse</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cryptocurrency it owns as indefinite-lived intangible assets and initially measures such crypto assets at cost (under a first-in, first-out basis). These assets are not amortized, but are measured at fair value each reporting period with changes recognized in net income (loss). Bakkt generally holds a nominal amount of each crypto asset it supports on its platform to facilitate trades and settlements, if necessary. The crypto assets are reported in "Other assets" on the consolidated balance sheets and fair value changes are recognized in "other (expense) income, net" on the consolidated statements of operations. The Company's owned crypto assets are typically liquidated on a daily basis during the fulfillment of customer orders and settlement with liquidity providers. Fair value changes were not material for the three and nine months ended September 30, 2025. Bakkt's owned crypto assets were $1.7 million and $1.2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September 30, 2025 and December 31, 2024. We classify cash flows from cryptocurrency within cash flows from operating activities.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Accounts Payable and Accrued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consisted of the following (in thousands):</w:t>
      </w:r>
    </w:p>
    <w:tbl>
      <w:tblPr>
        <w:tblW w:w="6701" w:type="dxa"/>
        <w:jc w:val="left"/>
        <w:tblInd w:w="0" w:type="dxa"/>
        <w:tblLayout w:type="fixed"/>
        <w:tblCellMar>
          <w:top w:w="28" w:type="dxa"/>
          <w:left w:w="28" w:type="dxa"/>
          <w:bottom w:w="28" w:type="dxa"/>
          <w:right w:w="28" w:type="dxa"/>
        </w:tblCellMar>
      </w:tblPr>
      <w:tblGrid>
        <w:gridCol w:w="1027"/>
        <w:gridCol w:w="902"/>
        <w:gridCol w:w="906"/>
        <w:gridCol w:w="358"/>
        <w:gridCol w:w="1226"/>
        <w:gridCol w:w="185"/>
        <w:gridCol w:w="109"/>
        <w:gridCol w:w="109"/>
        <w:gridCol w:w="109"/>
        <w:gridCol w:w="344"/>
        <w:gridCol w:w="1175"/>
        <w:gridCol w:w="25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clients and customers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Purchasing card payable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 payable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(in thousands):</w:t>
      </w:r>
    </w:p>
    <w:tbl>
      <w:tblPr>
        <w:tblW w:w="7645" w:type="dxa"/>
        <w:jc w:val="left"/>
        <w:tblInd w:w="0" w:type="dxa"/>
        <w:tblLayout w:type="fixed"/>
        <w:tblCellMar>
          <w:top w:w="28" w:type="dxa"/>
          <w:left w:w="28" w:type="dxa"/>
          <w:bottom w:w="28" w:type="dxa"/>
          <w:right w:w="28" w:type="dxa"/>
        </w:tblCellMar>
      </w:tblPr>
      <w:tblGrid>
        <w:gridCol w:w="1368"/>
        <w:gridCol w:w="1202"/>
        <w:gridCol w:w="1210"/>
        <w:gridCol w:w="397"/>
        <w:gridCol w:w="1165"/>
        <w:gridCol w:w="207"/>
        <w:gridCol w:w="109"/>
        <w:gridCol w:w="109"/>
        <w:gridCol w:w="109"/>
        <w:gridCol w:w="380"/>
        <w:gridCol w:w="1110"/>
        <w:gridCol w:w="279"/>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 liability</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 (in thousands):</w:t>
      </w:r>
    </w:p>
    <w:tbl>
      <w:tblPr>
        <w:tblW w:w="6926" w:type="dxa"/>
        <w:jc w:val="left"/>
        <w:tblInd w:w="0" w:type="dxa"/>
        <w:tblLayout w:type="fixed"/>
        <w:tblCellMar>
          <w:top w:w="28" w:type="dxa"/>
          <w:left w:w="28" w:type="dxa"/>
          <w:bottom w:w="28" w:type="dxa"/>
          <w:right w:w="28" w:type="dxa"/>
        </w:tblCellMar>
      </w:tblPr>
      <w:tblGrid>
        <w:gridCol w:w="1108"/>
        <w:gridCol w:w="973"/>
        <w:gridCol w:w="979"/>
        <w:gridCol w:w="358"/>
        <w:gridCol w:w="1226"/>
        <w:gridCol w:w="185"/>
        <w:gridCol w:w="109"/>
        <w:gridCol w:w="109"/>
        <w:gridCol w:w="109"/>
        <w:gridCol w:w="344"/>
        <w:gridCol w:w="1175"/>
        <w:gridCol w:w="251"/>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7.Convertible Debenture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we entered into a private placement with YA II PN, LTD. (the "Private Placement"), a Cayman Islands exempt limited company (the “Investor”). The Private Placement closed on June 18, 2025.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Private Placement, the Investor purchased a $25 million convertible debenture (the “Convertible Debenture”) from the Company for a price of $23.75 million. The Company used the net proceeds from the Private Placement for working capital and general corporate purposes.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so long as there was a balance outstanding under the Convertible Debenture, the Investor, in its sole discretion, could deliver to the Company a conversion notice (the “Conversion Notice”) to cause any portion of the outstanding and unpaid balance under the Convertible Debenture to be converted into the Company’s Class A common stock (the “Class A Common Stock”).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the Company received Conversion Notices from the Investor to convert $17.5 million of the Convertible Debenture into Class A Common Stock. In total, 1,746,552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Stock were issued to the Investor with respect to the conversions. On September 15, 2025, the Company elected to redeem the remaining $7.5 million of Convertible Debentures for cash, including a redemption premium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8.Tax Receivable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exchange such Paired Interests for Class A Common Stock on a one-for-one basis, subject to the terms of the Amended and Restated Exchange Agreement, dated as of May 3, 2022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exchanges are expected to result in increases in the tax basis of the tangible and intangible assets of Opco. These increases in tax basis may reduce the amount of tax that the Company would otherwise be required to pay in the future. These increases in tax basis may also decrease gains (or increase losses) on future dispositions of certain capital assets to the extent tax basis is allocated to those capital assets.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 provides for the payment by the Company to exchanging holders of Opco Common Units of 85% of certain net income tax benefits, if any, that the Company realizes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the Company's actual income tax liability (calculated with certain assumptions) to the amount of such taxes that the Company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the Company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2025, 1,063,576 Opco Common Units had been exchanged for Class A Common Stock. Based on the Company's history of taxable losses, the Company has concluded that it is not probable to expect cash tax payments in the foreseeable future and as such, no value has been recorded under the TRA as of September 30, 2025. Refer to Note 15 regarding the contingency related to the TRA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9.Related Parties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Marketing Agreement</w:t>
      </w:r>
    </w:p>
    <w:p>
      <w:pPr>
        <w:pStyle w:val="TextBody"/>
        <w:bidi w:val="0"/>
        <w:spacing w:lineRule="auto" w:line="333" w:before="240" w:after="283"/>
        <w:ind w:left="0" w:right="0" w:firstLine="720"/>
        <w:jc w:val="left"/>
        <w:rPr/>
      </w:pPr>
      <w:r>
        <w:rPr>
          <w:rFonts w:ascii="Times New Roman;serif" w:hAnsi="Times New Roman;serif"/>
          <w:b w:val="false"/>
          <w:color w:val="000000"/>
          <w:sz w:val="20"/>
        </w:rPr>
        <w:t>In August 2025, the Company entered into agreements with a family member of an executive of the Company for branding and website management services and public relations and social media management services.</w:t>
      </w:r>
      <w:r>
        <w:rPr>
          <w:color w:val="000000"/>
        </w:rPr>
        <w:t xml:space="preserve"> </w:t>
      </w:r>
      <w:r>
        <w:rPr>
          <w:rFonts w:ascii="Times New Roman;serif" w:hAnsi="Times New Roman;serif"/>
          <w:b w:val="false"/>
          <w:color w:val="000000"/>
          <w:sz w:val="20"/>
        </w:rPr>
        <w:t xml:space="preserve">The fees payable under these agreements are approximately $0.2 million; no amounts were paid under such agreements as of September 30, 2025. </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Commercial Agreement With DTR</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we entered into a Commercial Agreement (the “Commercial Agreement”) with Distributed Technologies Research Global, Ltd. ("DTR"), which sets forth the terms and conditions governing the integration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Bakkt’s various solutions related to financial transaction processing and cryptocurrency trading with DTR’s technology related to the execution of global payments powered by stablecoins.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 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do not apply with respect to any intellectual property or data that is not created or provided by the other party, combined with other products or processes not provided by the other party, or where the other party continues the alleged infringing activity. </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 of Bakkt Trust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17, 2025, Bakkt entered into an agreement with Intercontinental Exchange Holdings, Inc.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of Bakkt Trust was completed on May 15, 2025. As a result of the sale, Bakkt recognized a loss of $2.3 million reflected in Other (expense) income, net in the consolidated statement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 to pass through of a portion of third-party software costs and time incurred by Bakkt employees supporting Bakkt Trust. The TSA can be terminated with six months' notice by either party for cause or by mutual agreement of the parties. The amount of fees charged to ICE under the TSA were not material for the three-month period ended September 30, 2025. Amounts billed under the TSA are generally recognized as a recovery of expenses incurred or as a component of "Other (expense) income, net" in the consolidated statements of operations. The amount of any receivables owed to Bakkt under the TSA were not material as of September 30, 2025. </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ICE Credit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2024, Bakkt and Opco entered into a revolving credit facility with ICE (the “ICE Credit Facility”), a major shareholder, (the “Lender”), with certain subsidiaries of Bakkt party thereto from time to time, as guarantors, whereby the Lender agreed to provide a $40.0 million secured revolving line of credit to the Company for working capital and general corporate purposes. For the period beginning December 31, 2024 through March 30, 2025, Opco could borrow up to an aggregate principal amount (excluding any capitalized interest) of $10.0 million. For the period beginning March 31 through June 29, 2025, Opco could borrow up to an aggregate principal amount (excluding any capitalized interest)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$20.0 million. From the period beginning June 30 through September 29, 2025, Opco could borrow up to an aggregate principal amount (excluding any capitalized interest) of $30.0 million.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under the ICE Credit Facility did not amortize. Borrowings under the ICE Credit Facility accrued interest at a rate equal to, at Opco’s election, either the secured overnight financing rate (“SOFR”) for a term of one, three or six months plus 12%, or the prime rate plus 11%. Interest was payable quarterly in arrears with respect to borrowings bearing interest at the prime rate or on the last day of an interest period, but at least every three months, with respect to borrowings bearing interest at the term SOFR rate; provided, that Opco could elect to pay interest in kind by adding such interest amount to the principal amount of the outstanding borrowings under the ICE Credit Facility. For any interest period for which Opco elected to pay interest in kind, the applicable margin on the outstanding loans would increase by 1% per annum. Under certain circumstances, a default interest rate would apply on all obligations during the existence of an event of default under the ICE Credit Facility at a per annum rate equal to 2% above the otherwise applicable interest rate.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Opco paid a commitment fee of 0.5% per annum on the daily average of the available commitment that could be borrowed, less the outstanding principal amount of all loans (excluding any capitalized interest). Fees were payable in cash quarterly and at maturity. Loans under the ICE Credit Facility could be prepaid without penalty, subject to customary breakage costs for loans bearing interest at the term SOFR rate. Amounts repaid under the ICE Credit Facility could be reborrowed prior to the maturity date, subject to certain customary conditions set forth in the ICE Credit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ICE Credit Facility contained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contained various customary events of default that included,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under the ICE Credit Facility were required to be guaranteed by Bakkt and certain material domestic subsidiaries of the Company and secured by substantially all of the personal property of the Company and such subsidiary guarantors.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2025, the Company drew down $5.0 million under ICE Credit Facility. As of March 31, 2025, approximately $5.0 million of borrowings were outstanding under the ICE Credit Facility. On June 18, 2025, the Company repaid all principal and accrued interest then outstanding on the ICE Credit Facility.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17, 2025, the Company, the Borrower and ICE entered into an amendment to the ICE Credit Facility to permit the issuance of the Convertible Debenture described in Note 7.</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2025, the Company terminated the ICE Credit Facility and repaid all fees due thereunder through the date of termination.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interest expense of $0.2 million for the three and nine months ended September 30, 2025. No interest costs were incurred related to the ICE Credit Facility for the three and nine months ended September 30, 2024 since no borrowings were made under the ICE Credit Facility as of September 30, 2024. The effective interest rate on the ICE Credit Facility as of payoff on June 18, 2025 was 16.3%.</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ICE Management and Technical Support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consummation of the VIH Business Combination, the Company entered into a Transition Services Agreement with ICE (the “ICE TSA”), pursuant to which ICE provided insurance, digital warehouse, data center, technical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support, and other transition-related services in exchange for quarterly service fees payable by us. The ICE TSA terminated in December 2023. Bakkt did not recognize any expense related to the ICE TSA for the three and nine months ended September 30, 2025 and September 30, 2024. As of September 30, 2025 and December 31, 2024, zero and $2.4 million was recorded as “Due to related party” in the consolidated balance sheets related to the ICE TSA,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there were 7,140,383 public warrants to purchase Class A Common Stock (the "Public Warrants") outstanding. The Public Warrants may only be exercised for a whole number of shares. No fractional shares will be issued upon exercise of the Public Warrants.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proceeds were received from the exercise of the Public Warrants during the three months ended September 30, 2025. During the nine months ended September 30, 2025 and three and nine months ended September 30, 2024, the Company received an immaterial amount of proceeds from the exercise of the Public Warrants. From the change in fair value of the warrant liability, Bakkt recognized a gain of $0.9 million and a loss of $1.9 million during the three and nine months ended September 30, 2025, respectively. During the three and nine months ended September 30, 2024, Bakkt recognized a gain of $20.0 million and a gain of $13.9 million, respectively.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further in Note 11, in connection with the Concurrent Offerings (as defined below), Bakkt issued and sold to the Third-Party Purchasers (as defined below) an aggregate of 1,396,701 shares of the Company’s Class A Common Stock, including 196,701 shares of Class A Common Stock issued upon exercise of certain of the 2024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(“2024 Pre-Funded Warrants”) to purchase an aggregate of 448,742 shares of Class A Common Stock.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under the terms of the ICE Offering (as defined below) the Company entered into a securities purchase agreement (the “ICE Purchase Agreement” and, together with the Third-Party Purchase Agreement, the “Purchase Agreements”) with ICE, pursuant to which Bakkt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1 and Class 2 Warrants each have an exercise price of $25.50 and have a five-and-a-half year term. The Class 1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1 Warrants and Class 2 Warrants issued on April 25, 2024 were valued at $2.6 million using the Black-Scholes-Merton model for Class 1 Warrants and a binomial lattice model for the Class 2 Warrants. Prior to the second quarter of 2024, the Company used a Monte Carlo simulation to measure the fair value of the Class 2 Warrants. During the second quarter of 2024, management 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Class 1 Warrants and Class 2 Warrants exercisable for 2,017,850 shares of Class A Common Stock remain outstanding. Bakkt recognized a loss from the change in fair value of the warrant liability associated with the Class 1 and Class 2 Warrants of $35.3 million and $14.8 million during the three and nine months ended September 30, 2025, respectively. The Company recognized a gain from the change in fair value of the warrant liability associated with the Class 1 and Class 2 Warrants during the three and nine months ended September 30, 2024 of $19.4 million and $15.2 million, respectively. During the three months ended March 31, 2024, holders exercised all of the Pre-Funded Warrants. The proceeds received from the exercise of 2024 Pre-Funded Warrants were immaterial.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further in Note 11, in connection with the Underwriting Agreement entered into on July 28, 2025, the Company issued pre-funded warrants (the “2025 Pre-Funded Warrants”) to purchase an aggregate of 746,373 shares of the Company’s Class A common stock, par value $0.0001 per share. The 2025 Pre-Funded Warrants were issued as part of the Company’s public offering of Class A common stock and were sold at a price of $9.9999 per warrant, representing the $10.00 per share public offering price less the $0.0001 per share exercise price. Each Pre-Funded Warrant is exercisable at any time after the date of issuance until exercised in full, subject to certain ownership limitations. During the three months ended September 30, 2025, 718,108 pre-funded warrants were exercised for 718,098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11.Equity</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Equity Offering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(the “Offering”). The price to the public in the Offering was $10.00 per Share and $9.9999 per 2025 Pre-Funded Warrant, which was the price per share at which the Shares were being sold to the public in the Offering, minus the $0.0001 exercise price per Pre-Funded Warrant. See Note 10 for further details regarding the 2025 Pre-Funded Warrants.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Offering closed on July 30, 2025. The proceeds to the Company from the Offering were $70.4 million, net of fees to the underwriters and other offering expenses payable by the Company. Bakkt intends to use the net proceeds from the Offering to purchase Bitcoin and other digital assets in accordance with its Investment Policy, for working capital, and for general corporate purposes.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Underwriting Agreement contains customary representations, warranties and agreements by the Company (including a lock-up agreement, pursuant to which, subject to specified exceptions, the Company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ICE also entered into lock-up agreements, pursuant to which, subject to specified exceptions, they agreed not to offer or transfer their Shares during the 90-day period following the date of the Underwriting Agreement.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2024 Registered Direct Offering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29, 2024, Bakkt entered into a securities purchase agreement with certain institutional investors (the “Third-Party Purchasers”), pursuant to which the Company agreed to sell and issue a combination of Class A Common Stock, Class 1 Warrants, Class 2 Warrants and 2024 Pre-Funded Warrants in a registered direct offering (the “Third-Party Offering”). Refer to Note 10 for further details regarding the Class 1 Warrants, Class 2 Warrants and 2024 Pre-Funded Warrants. In a concurrent registered direct offering (the “ICE Offering” and, together with the Third-Party Offering, the “Concurrent Offerings”) on February 29, 2024, Bakkt entered into a securities purchase agreement with ICE (a related party), pursuant to which the Company agreed to sell and issue a combination of Class A Common Stock, Class 1 Warrants and Class 2 Warrants. Bakkt raised net proceeds from the Third-Party Offering of approximately $37.6 million,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deducting the placement agent’s fees and offering expenses payable by the Company, and raised net proceeds from the ICE Offering of approximately $9.8 million, after deducting offering expenses payable by the Company. Approximately $2.4 million of proceeds from the ICE Offering were received concurrently with the closing of the Third-Party Offering, with the remaining $7.4 million received in a subsequent closing of the ICE Offering on April 25, 2024 after the Company obtained stockholder approval for such issuance. Bakkt intends to use the net proceeds from the Concurrent Offerings for working capital and other general corporate purposes. </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September 30, 2025, no shares of preferred stock have been issued.</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September 30, 2025 and December 31, 2024, there were 16,466,495 and 6,510,885 shares of Class A Common Stock issued and outstanding, respectively.</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Increase of Authorized Capital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June 17, 2025, we were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September 30, 2025, no dividends have been declared.</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A Common Stock are entitled to share ratably in all assets remaining after payment of Bakkt's debts and other liabilities, subject to prior distribution rights of preferred stock or any class or series of stock having a preference over the Class A Common Stock, then outstanding, if any.</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Bakkt is authorized to issue 10,000,000 shares with par value $0.0001 per share. These shares have no economic value but entitle the holder to one vote per share. Class V Common Stock are "Paired Interests" that may be exchanged for one share of the Company's Class A Common Stock or a cash amount in accordance with Opco's Fourth Amended and Restated Limited Liability Company Agreement (the "LLC Agreement") and the Exchange Agreement. Holders of Paired Interests became eligible on April 16, 2022 under the Exchange Agreement to exchange their Paired Interests for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Stock, or, at Bakkt's election, cash in lieu thereof. During the three and nine months ended September 30, 2025, holders of Paired Interests exchanged 2,501 and 3,728 Paired Interests for the Company's Class A Common Stock, respectively, and Bakkt did not elect to settle any such exchanges in cash. As of September 30, 2025 and December 31, 2024, there were 7,174,575 and 7,178,303 shares of Class V Common Stock issued and outstanding, respectively.</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Dividends will not be declared or paid on the Class V Common Stock. </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V Common Stock shall not be entitled to receive any of our assets.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Restrictions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any outstanding share of Class V Common Stock ceases to be held directly or indirectly by a holder of Opco Common Units, such share will automatically be transferred to Bakkt and cancelled for no consideration. The Company will not issue additional shares of Class V Common Stock, other than in connection with the valid issuance or transfer of Opco Common Units in accordance with the LLC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Noncontrolling Interest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interest in Opco as of September 30, 2025 and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30"/>
        <w:gridCol w:w="1364"/>
        <w:gridCol w:w="1374"/>
        <w:gridCol w:w="540"/>
        <w:gridCol w:w="541"/>
        <w:gridCol w:w="429"/>
        <w:gridCol w:w="271"/>
        <w:gridCol w:w="271"/>
        <w:gridCol w:w="676"/>
        <w:gridCol w:w="109"/>
        <w:gridCol w:w="109"/>
        <w:gridCol w:w="109"/>
        <w:gridCol w:w="540"/>
        <w:gridCol w:w="541"/>
        <w:gridCol w:w="429"/>
        <w:gridCol w:w="261"/>
        <w:gridCol w:w="257"/>
        <w:gridCol w:w="754"/>
      </w:tblGrid>
      <w:tr>
        <w:trPr/>
        <w:tc>
          <w:tcPr>
            <w:tcW w:w="163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Opco </w:t>
              <w:br/>
              <w:t>Common Units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Opco </w:t>
              <w:br/>
              <w:t>Common Units</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 common units held by Bakkt Holdings, Inc.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16,466,495 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6,510,885 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 common units held by noncontrolling interest holders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7,174,575 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7,178,303 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Opco common units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23,641,070 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13,689,188 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and nine months ended September 30, 2025 was 35.5% and 45.0%, respectively.</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Members’ Equity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VIH Business Combination, Opco had three classes of voting units – Class A, Class B and Class C voting units – and incentive units granted under the Second Amended and Restated Bakkt Equity Incentive Plan (the “Opco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VIH Business Combination, the Opco equity holders converted 16,000,000 Opco Class A voting units, 7,698,138 Opco Class B voting units, and 10,810,810 Opco Class C voting units to 7,597,331 shares of Class V common stock on a pro rata basis. Additionally, Bakkt issued 698,934 shares of Class V common stock related to the outstanding Opco incentive units.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all Class C Warrants, vested and unvested, expired unexercised. Because Class C Warrants expired in 2024, no expense was recorded for the three and nine months ended September 30, 2025, and no expense was recognized for the three and nine months ended September 30, 2024, since the service conditions were not probable of being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12.Share-Based and Unit-Based Compensation</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2021 Incentive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2021 Omnibus Incentive Plan, as amended (the “2021 Incentive Plan”), became effective on the Closing Date with the approval of VIH’s shareholders and the Board. The 2021 Incentive Plan allows the Company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Incentive Plan was amended to increase the shares reserved for issuance under the 2021 Incentive Plan by 1,063,618 shares. On May 31, 2024, the 2021 Incentive Plan was again amended to increase the shares reserved for issuance under the 2021 Incentive Plan by 938,625 shares for a new aggregate total of 3,034,920 shares. On June 17, 2025, the 2021 Incentive Plan was once more amended to increase the shares reserved for issuance under the 2021 Incentive Plan by 979,201 shares for a new aggregate of 4,014,121 shares. No award granted under the 2021 Incentive Plan may vest earlier than the first anniversary of the date of grant, subject to limited exceptions.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 xml:space="preserve">Inducement Awards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Naheta’s appointment as Co-CEO, Mr. Naheta received (i) 1,607,717 PSUs and (2) 11,426 RSUs (together, the “Inducement Grant”). The RSUs vest on March 19, 2026, subject to Mr. Naheta’s continued service with the Company. The PSUs vest over a three-year performance period based on attainment of stock price appreciation metrics that are measured based on a rolling 90-day volume weighted average price. The Inducement Grant is subject to the terms of the 2021 Incentive Plan as if granted thereunder. </w:t>
      </w:r>
    </w:p>
    <w:p>
      <w:pPr>
        <w:pStyle w:val="TextBody"/>
        <w:bidi w:val="0"/>
        <w:spacing w:lineRule="auto" w:line="333" w:before="24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on July 29, 2025, the Board and its Compensation Committee (the “Compensation Committee”) granted stock options to select members of management to purchase up to 2,000,000 shares of Class A Common Stock (the “Options”), subject to approval by the Company's shareholders, which approval was obtained on October 31, 2025. For accounting purposes, the Options were not deemed to be granted until shareholder approval was obtained on October 31, 2025, and therefore the expense was recognized for the Options during the three months or nine months ended September 30,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Options are structured as a commitment by the grantee to exercise a predetermined number of Options every quarter for eight quarters (such committed number of Options, the “Mandatory Exercise Options”) at an exercise price per share of $10.00, which reflected the fair market value of a share of Class A Common Stock on the date of the grant. For each quarter in which the grantee exercises the Mandatory Exercise Options, the grantee will be entitled to exercise an additional number of Options (the “Optional Exercise Options”), which Optional Exercise Options will become exercisable for a period of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In order to further facilitate management’s continued participation and investment in Company growth, in the event that any Options are forfeited by a grantee in accordance with the forfeiture terms set forth above, the Options will be available for reallocation and future grant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granted 44,220 and 932,101 RSUs, respectively, to employees and directors. During the three and nine months ended September 30, 2025, the Company granted 0 and 1,793,873 PSUs, respectively. During the three and nine months ended September 30, 2024, Bakkt granted 15,756 and 1,044,308 RSUs, respectively, to employees and directors. During the three and nine months ended September 30, 2024, Bakkt granted 221,065 PSUs.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recorded $4.5 million and $10.0 million of share-based compensation expense related to RSUs during the three and nine months ended September 30, 2025, respectively. During the three and nine months ended September 30, 2024, the Company recorded $2.1 million and $11.7 million of share-based compensation expense related to RSUs, respectively. The Company recorded $3.3 million and $6.5 million of share-based compensation expense related to PSUs during the three and nine months ended September 30, 2025. During the three and nine ended September 30, 2024, the Company recorded $0.2 million and $0.5 million respectively of share-based compensation expense related to PSUs. Share-based compensation expense for both RSUs and PSUs, is included in “Compensation and benefits” in the consolidated statements of operations, except where classified as Restructuring expenses for certain accelerated vestings as described below.</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Unrecognized compensation expense as of September 30, 2025 and December 31, 2024 was $13.0 million and $11.7 million, respectively, for the RSUs and PSUs. The unrecognized compensation expense as of September 30, 2025 and December 31, 2024 will be recognized over a weighted-average period of 0.94 years and 1.36 years, respectively.</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RSU and PSU Activity</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RSU and PSU activity for the nine months ended September 30, 2025 and September 30, 2024 (in thousands, except per unit data):</w:t>
      </w:r>
    </w:p>
    <w:tbl>
      <w:tblPr>
        <w:tblW w:w="10205" w:type="dxa"/>
        <w:jc w:val="left"/>
        <w:tblInd w:w="0" w:type="dxa"/>
        <w:tblLayout w:type="fixed"/>
        <w:tblCellMar>
          <w:top w:w="28" w:type="dxa"/>
          <w:left w:w="28" w:type="dxa"/>
          <w:bottom w:w="28" w:type="dxa"/>
          <w:right w:w="28" w:type="dxa"/>
        </w:tblCellMar>
      </w:tblPr>
      <w:tblGrid>
        <w:gridCol w:w="747"/>
        <w:gridCol w:w="643"/>
        <w:gridCol w:w="489"/>
        <w:gridCol w:w="505"/>
        <w:gridCol w:w="451"/>
        <w:gridCol w:w="452"/>
        <w:gridCol w:w="109"/>
        <w:gridCol w:w="109"/>
        <w:gridCol w:w="109"/>
        <w:gridCol w:w="826"/>
        <w:gridCol w:w="826"/>
        <w:gridCol w:w="829"/>
        <w:gridCol w:w="109"/>
        <w:gridCol w:w="109"/>
        <w:gridCol w:w="109"/>
        <w:gridCol w:w="430"/>
        <w:gridCol w:w="1257"/>
        <w:gridCol w:w="222"/>
        <w:gridCol w:w="109"/>
        <w:gridCol w:w="109"/>
        <w:gridCol w:w="109"/>
        <w:gridCol w:w="298"/>
        <w:gridCol w:w="1022"/>
        <w:gridCol w:w="227"/>
      </w:tblGrid>
      <w:tr>
        <w:trPr/>
        <w:tc>
          <w:tcPr>
            <w:tcW w:w="74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 and PSUs</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2024</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9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Bakkt recorded $3.2 million and $5.1 million, respectively of share-based compensation expense related to the accelerated vesting of awards for certain employees, primarily related to the Sale of Bakkt Trust and termination of former executives. Of these amounts, the accelerated expense recorded for Andy Main's separation as CEO was $3.2 million. During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September 30, 2024, we recorded zero and $4.9 million, respectively, of share-based compensation expense related to the accelerated vesting of awards for certain employees, primarily related to the termination of a former executive. Acceleration of share-based compensation expense related to the Company's restructuring efforts is included in “Restructuring expenses” in the consolidated statements of operations.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fair value of vested RSU and PSU awards was $4.0 million and $10.9 million for the three and nine months ended September 30, 2025, respectively. Total fair value of vested RSU and PSU awards was $0.3 million and $6.8 million for the three and nine months ended September 30, 2024, respectively.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RSUs and PSUs used in determining share-based compensation expense is based on the closing price of Common Stock on the grant date for standard RSUs and PSUs.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tbl>
      <w:tblPr>
        <w:tblW w:w="3374" w:type="dxa"/>
        <w:jc w:val="center"/>
        <w:tblInd w:w="0" w:type="dxa"/>
        <w:tblLayout w:type="fixed"/>
        <w:tblCellMar>
          <w:top w:w="28" w:type="dxa"/>
          <w:left w:w="28" w:type="dxa"/>
          <w:bottom w:w="28" w:type="dxa"/>
          <w:right w:w="28" w:type="dxa"/>
        </w:tblCellMar>
      </w:tblPr>
      <w:tblGrid>
        <w:gridCol w:w="733"/>
        <w:gridCol w:w="643"/>
        <w:gridCol w:w="648"/>
        <w:gridCol w:w="274"/>
        <w:gridCol w:w="274"/>
        <w:gridCol w:w="802"/>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stock price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$8.71 - $12.79</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2 - 3 years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Coefficient of variation</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3.79% - 3.98%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PSUs provide an opportunity for the recipient to receive a number of shares of Common Stock based on various performance metrics. Upon vesting, each PSU equals one share of Common Stock. The Company accrues compensation expense for the PSUs based on management's assessment of the probable outcome of the performance conditions. PSUs awarded in 2025 are subject to market-based vesting conditions tied to the Company’s stock performance. Specifically, PSUs vest based on the achievement of a target stock price, determined using the volume-weighted average price ("VWAP") of the Common Stock over a specified period. Vesting occurs only if the Company's average stock price meets or exceeds predetermined VWAP thresholds during the measurement period and the recipients provide at least one year of service. The metrics for PSUs granted during 2024 relate to the Company's performance during fiscal year 2024, as measured against objective performance goals approved by the Board. The actual number of units earned range from 0% to 150% or 200% of the target number of units depending on the metric and achievement of the 2024 performance goals. PSUs granted in 2024 vest in two equal annual installments from 2025 to 2026. The metrics for PSUs granted during 2023 relate to Bakkt's performance during fiscal year 2023, as measured against objective performance goals approved by the Board. The actual number of units earned range from 0% to 150% of the target number of units depending upon achievement of the 2023 performance goals. PSUs granted in 2023 vest in three equal annual installments from 2024 to 2026. The metrics for PSUs granted during 2022 relate to the Company's performance during fiscal years 2022, 2023 and 2024, as measured against objective performance goals as determined by the Board. The actual number of units earned range from 0% to 150% of the target number of units depending upon achievement of each year’s performance goals. PSUs granted in 2022 vest in three equal annual installments, subject to a catch-up provision over the three annual performance targets.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the Company transferred to NewCo, and NewCo assumed, the Company’s rights and obligations under each (a) stock option to purchase a share of Common Stock (each, a “Stock Option”), (b) time-based RSUs, (c) PSUs and (d) right to acquire, receive or vest in a share of Common Stock (which, for the avoidance of doubt, excluded any awards granted under the Opco Plan) (each, a “Stock Award” and together with the Stock Options, the RSUs and the PSUs, the “Awards”) that was outstanding immediately prior to the effective time of the Restructuring. The Awards were converted into awards denominated in shares of NewCo Class A Common Stock of the same class and with the same rights and privileges and the same terms and conditions as were applicable immediately prior to the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including, for Stock Options, at an exercise price per share equal to the exercise price per share for the applicable share of Common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Opco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Common Stock upon the occurrence of certain events following vesting of the participation units. Refer to Note 11 to the consolidated financial statements included in the Company's 2024 Form 10-K where the modifications to the Opco Plan are described in detail.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were terminated without cause after the Closing Date vested in the unvested portion of their awards immediately upon their termination date. There has not been, and will not be, any additional awards made under the Opco Plan following the VIH Business Combination.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each membership unit of Bakkt Management, LLC (the “Management Vehicle”) issued and outstanding immediately prior to the Reorganization was exchanged for the corresponding common unit of Opco (each such unit, an “Opco Incentive Unit”) granted under the Opco Plan, as amended, held by the Management Vehicle, together with the share of NewCo Class V Common Stock paired therewith, and each Opco Incentive Unit, together with the share of NewCo Class V Common Stock paired therewith, issued and outstanding immediately prior to the Reorganization was exchanged for the right to receive one validly issued, fully paid and nonassessable share of NewCo Class A Common Stock.</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Incentive Unit Activity</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common incentive unit activity under the Opco Plan for the nine months ended September 30, 2025 and September 30, 2024 (in thousands, except per unit data):</w:t>
      </w:r>
    </w:p>
    <w:tbl>
      <w:tblPr>
        <w:tblW w:w="10205" w:type="dxa"/>
        <w:jc w:val="left"/>
        <w:tblInd w:w="0" w:type="dxa"/>
        <w:tblLayout w:type="fixed"/>
        <w:tblCellMar>
          <w:top w:w="28" w:type="dxa"/>
          <w:left w:w="28" w:type="dxa"/>
          <w:bottom w:w="28" w:type="dxa"/>
          <w:right w:w="28" w:type="dxa"/>
        </w:tblCellMar>
      </w:tblPr>
      <w:tblGrid>
        <w:gridCol w:w="804"/>
        <w:gridCol w:w="591"/>
        <w:gridCol w:w="594"/>
        <w:gridCol w:w="605"/>
        <w:gridCol w:w="605"/>
        <w:gridCol w:w="607"/>
        <w:gridCol w:w="892"/>
        <w:gridCol w:w="892"/>
        <w:gridCol w:w="894"/>
        <w:gridCol w:w="428"/>
        <w:gridCol w:w="1463"/>
        <w:gridCol w:w="221"/>
        <w:gridCol w:w="311"/>
        <w:gridCol w:w="1066"/>
        <w:gridCol w:w="232"/>
      </w:tblGrid>
      <w:tr>
        <w:trPr/>
        <w:tc>
          <w:tcPr>
            <w:tcW w:w="8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Incentive Units</w:t>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Common Incentive Units</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4"/>
        <w:gridCol w:w="591"/>
        <w:gridCol w:w="594"/>
        <w:gridCol w:w="605"/>
        <w:gridCol w:w="605"/>
        <w:gridCol w:w="607"/>
        <w:gridCol w:w="892"/>
        <w:gridCol w:w="892"/>
        <w:gridCol w:w="894"/>
        <w:gridCol w:w="428"/>
        <w:gridCol w:w="1463"/>
        <w:gridCol w:w="221"/>
        <w:gridCol w:w="311"/>
        <w:gridCol w:w="1066"/>
        <w:gridCol w:w="232"/>
      </w:tblGrid>
      <w:tr>
        <w:trPr/>
        <w:tc>
          <w:tcPr>
            <w:tcW w:w="8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Incentive Units</w:t>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Common Incentive Units</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w:t>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2024</w:t>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make any cash payments to settle vested participation units during the nine months ended September 30, 2025 or September 30, 2024.</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October 31, 2025, there are no outstanding incentive units remaining under the Opco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13.Net Loss per share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loss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 potentially dilutive securities that would be anti-dilutive are not included in the calculation of diluted earnings per share attributable to controlling interest.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denominators of the basic and diluted per share computations for net income (loss)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95"/>
        <w:gridCol w:w="1115"/>
        <w:gridCol w:w="1087"/>
        <w:gridCol w:w="318"/>
        <w:gridCol w:w="958"/>
        <w:gridCol w:w="149"/>
        <w:gridCol w:w="109"/>
        <w:gridCol w:w="109"/>
        <w:gridCol w:w="109"/>
        <w:gridCol w:w="308"/>
        <w:gridCol w:w="915"/>
        <w:gridCol w:w="158"/>
        <w:gridCol w:w="109"/>
        <w:gridCol w:w="109"/>
        <w:gridCol w:w="109"/>
        <w:gridCol w:w="266"/>
        <w:gridCol w:w="925"/>
        <w:gridCol w:w="143"/>
        <w:gridCol w:w="109"/>
        <w:gridCol w:w="109"/>
        <w:gridCol w:w="109"/>
        <w:gridCol w:w="263"/>
        <w:gridCol w:w="915"/>
        <w:gridCol w:w="209"/>
      </w:tblGrid>
      <w:tr>
        <w:trPr/>
        <w:tc>
          <w:tcPr>
            <w:tcW w:w="14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 – basic and diluted:</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from continuing operations attributable to noncontrolling interest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 attributable to Bakkt Holdings, Inc.</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attributable to Bakkt Holdings, Inc.</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attributable to Bakkt Holdings, Inc.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 – basic and diluted:</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13,015,011 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6,361,793 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8,783,195 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5,642,609 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continuing operations attributable to Bakkt Holdings, Inc.</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 attributable to Bakkt Holdings, Inc.</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Bakkt Holdings, Inc.</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Potential common shares issuable to employees or directors upon exercise or conversion of shares under our share-based and unit-based compensation plans, conversion of debentures, and exercise of warrants are excluded from the computation of diluted earnings per common share when the effect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potential common shares excluded from diluted earnings per common share as their effect would be anti-dilutive (in thousands):</w:t>
      </w:r>
    </w:p>
    <w:tbl>
      <w:tblPr>
        <w:tblW w:w="10205" w:type="dxa"/>
        <w:jc w:val="left"/>
        <w:tblInd w:w="0" w:type="dxa"/>
        <w:tblLayout w:type="fixed"/>
        <w:tblCellMar>
          <w:top w:w="28" w:type="dxa"/>
          <w:left w:w="28" w:type="dxa"/>
          <w:bottom w:w="28" w:type="dxa"/>
          <w:right w:w="28" w:type="dxa"/>
        </w:tblCellMar>
      </w:tblPr>
      <w:tblGrid>
        <w:gridCol w:w="1165"/>
        <w:gridCol w:w="950"/>
        <w:gridCol w:w="954"/>
        <w:gridCol w:w="523"/>
        <w:gridCol w:w="516"/>
        <w:gridCol w:w="518"/>
        <w:gridCol w:w="109"/>
        <w:gridCol w:w="109"/>
        <w:gridCol w:w="109"/>
        <w:gridCol w:w="523"/>
        <w:gridCol w:w="516"/>
        <w:gridCol w:w="518"/>
        <w:gridCol w:w="109"/>
        <w:gridCol w:w="109"/>
        <w:gridCol w:w="109"/>
        <w:gridCol w:w="500"/>
        <w:gridCol w:w="494"/>
        <w:gridCol w:w="495"/>
        <w:gridCol w:w="109"/>
        <w:gridCol w:w="109"/>
        <w:gridCol w:w="109"/>
        <w:gridCol w:w="465"/>
        <w:gridCol w:w="446"/>
        <w:gridCol w:w="641"/>
      </w:tblGrid>
      <w:tr>
        <w:trPr/>
        <w:tc>
          <w:tcPr>
            <w:tcW w:w="116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(treasury stock)</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(treasury stock)</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1 and Class 2 warrants (treasury stock)</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 warrants (if-converted)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 common units (if-converted)</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12,229 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10,805 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12,229 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10,805 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14.Capital Requirements</w:t>
      </w:r>
    </w:p>
    <w:p>
      <w:pPr>
        <w:pStyle w:val="TextBody"/>
        <w:bidi w:val="0"/>
        <w:spacing w:lineRule="auto" w:line="333" w:before="240" w:after="283"/>
        <w:ind w:left="0" w:right="0" w:firstLine="720"/>
        <w:jc w:val="both"/>
        <w:rPr/>
      </w:pPr>
      <w:r>
        <w:rPr>
          <w:rFonts w:ascii="Times New Roman;serif" w:hAnsi="Times New Roman;serif"/>
          <w:b/>
          <w:color w:val="000000"/>
          <w:sz w:val="20"/>
          <w:shd w:fill="FFFFFF" w:val="clear"/>
        </w:rPr>
        <w:t>Bakkt Crypto</w:t>
      </w:r>
      <w:r>
        <w:rPr>
          <w:color w:val="000000"/>
          <w:shd w:fill="FFFFFF" w:val="clear"/>
        </w:rPr>
        <w:t xml:space="preserve"> </w:t>
      </w:r>
      <w:r>
        <w:rPr>
          <w:rFonts w:ascii="Times New Roman;serif" w:hAnsi="Times New Roman;serif"/>
          <w:b w:val="false"/>
          <w:color w:val="0C0C0C"/>
          <w:sz w:val="20"/>
          <w:shd w:fill="FFFFFF" w:val="clear"/>
        </w:rPr>
        <w:t>holds a BitLicense from the New York Department of Financial Services ("NYDFS"), which subjects it to NYDFS’s oversight with respect to business activities conducted in New York State and with New York residents, and</w:t>
      </w:r>
      <w:r>
        <w:rPr>
          <w:color w:val="000000"/>
        </w:rPr>
        <w:t xml:space="preserve"> </w:t>
      </w:r>
      <w:r>
        <w:rPr>
          <w:rFonts w:ascii="Times New Roman;serif" w:hAnsi="Times New Roman;serif"/>
          <w:b w:val="false"/>
          <w:color w:val="000000"/>
          <w:sz w:val="20"/>
          <w:shd w:fill="FFFFFF" w:val="clear"/>
        </w:rPr>
        <w:t xml:space="preserve">is required to maintain a capital balance equal to the greater of a predefined minimum amount or the sum of </w:t>
      </w:r>
      <w:r>
        <w:rPr>
          <w:rFonts w:ascii="Times New Roman;serif" w:hAnsi="Times New Roman;serif"/>
          <w:b w:val="false"/>
          <w:color w:val="000000"/>
          <w:sz w:val="20"/>
        </w:rPr>
        <w:t>the required percentages established for transmitted assets, cold wallet and hot wallet custody assets, and predefined wind-down costs</w:t>
      </w:r>
      <w:r>
        <w:rPr>
          <w:rFonts w:ascii="Times New Roman;serif" w:hAnsi="Times New Roman;serif"/>
          <w:b w:val="false"/>
          <w:color w:val="000000"/>
          <w:sz w:val="20"/>
          <w:shd w:fill="FFFFFF" w:val="clear"/>
        </w:rPr>
        <w:t>,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LLC and Bakkt Marketplace, LLC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Bakkt received approval from NYDFS to merge, and has since merged, Bakkt Crypto Solutions, LLC and Bakkt Marketplace, LLC into one legal entity, now referred to as Bakkt Crypto.</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December 31, 2024, Bakkt Crypto was in compliance with its respective regulatory capital requirements. </w:t>
      </w:r>
      <w:r>
        <w:rPr>
          <w:rFonts w:ascii="Times New Roman;serif" w:hAnsi="Times New Roman;serif"/>
          <w:b w:val="false"/>
          <w:color w:val="000000"/>
          <w:sz w:val="20"/>
        </w:rPr>
        <w:t>The minimum capital requirements to which Bakkt Crypto is subject may restrict its ability to transfer cash. The Company may be required to transfer cash to Bakkt Crypto such that it can continue to meet minimum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15.Commitments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sponsors a 401(k) defined contribution plan covering all eligible U.S. employees. Both Company and employee contributions to the 401(k) plan are discretionary. For the three and nine months ended September 30, 2025, the Company recognized approximately $0.1 million and $0.4 million, respectively of matching contributions to the 401(k). For the three and nine months ended September 30, 2024, the Company recorded approximately $0.2 million and $0.7 million, respectively of expenses related to the 401(k) plan, which is included in "Compensation and benefits" in the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TRA with certain Opco equity holders. As of September 30, 2025, the Company has not recorded a liability under the TRA related to the income tax benefits originating from the exchanges of Opco Common Units as it is not probable that the Company will realize such tax benefits. The amounts payable under the TRA will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in the Company's consolidated statements of operations and comprehensive loss at that time.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Refer to Note 20 for further details.</w:t>
      </w:r>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 2025, a putative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("Bank of America"). The complaint seeks damages, as well as fees and costs. The Company intends to defend the matter vigorously; however, it is refraining from expressing any judgment upon the likelihood of a favorable or unfavorable outcome in this matter given the early stage of the litigation. On September 15, 2025, plaintiff filed an amended complaint. The Company anticipates moving to dismiss all claims.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6, 2025, a verified stockholder derivative complaint captioned Kaivani v. Alexander, et. al., No. 25-cv-03196-MLB was filed in the United States District Court for the Northern District of Georgia against the Company and various officers and directors. The complaint asserted various claims for breach of fiduciary duty, unjust enrichment, and pursuant to Sections 10(b), 20(a), and 14(a) of the Securities Exchange Act of 1934 against defendants. The claims were premised on the same allegations as the federal securities litigation described above. On June 27, 2025, plaintiff filed a notice of voluntary dismissal without prejudice in this action.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2025, July 16, 2025, and July 18, 2025, the Company’s Board of Directors received demand letters from three shareholders (including Mr. Kaivani, who filed and withdrew the federal derivative litigation described above) (collectively, the “Demands”). These Demands are premised on the same alleged misconduct as the federal securities litigation described above, and seek (i) an internal investigation, (ii) a civil action, if applicable, and (iii) various Board actions in connection with the alleged misconduct. Defendants have asked these shareholders to pause the Board’s consideration of these Demands until resolution of Defendants’ anticipated motion to dismiss the federal securities litigation; to date, two of the three shareholders have so agreed.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 up requests for additional documents and information, and the Company responded to those requests on a timely basis. On March 3, 2025, the SEC concluded its inquiry of Bakkt Crypto and, based on the information it had at such time, the SEC advised the Company that it did not intend to recommend an enforcement action against Bakkt Crypto.</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Cryptocurrency Held on Platform</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 therefore has not accrued a liability for losses as of September 30, 2025 or December 31, 2024. The Company has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Purchasing Card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7, 2022, Bakkt entered into a corporate card services agreement with Bank of America to provide a purchasing card facility that it utilizes for redemption purchases made from vendors as part of its loyalty redemption platform. Total borrowing capacity under the facility was $35 million and there was no defined maturity date. Expenditures made using the purchasing card facility were payable at least bi-monthly, were not subject to formula-based restrictions and did not bear interest if amounts outstanding were paid when due and in full. The purchasing card facility required the Company to maintain a concentration account with the lender subject to a minimum liquidity maintenance requirement of $7.0 million along with the accounts receivable of the Company's subsidiary, within the Loyalty Business. Bakkt Holdings, Inc. served as the guarantor on behalf of the subsidiary under the commercial purchasing card facility. Bakkt began using the purchasing card facility in August 2022.</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2024, Bank of America required Bakkt to pledge as collateral the amounts which were previously required to be maintained in the concentration account. In April 2024, Bank of America reduced the credit line associated with the purchasing card facility from $35.0 million to $20.0 million. In January 2025, Bank of America further reduced the credit line associated with the purchasing card facility from $20.0 million to $18.0 million and changed payment frequency to weekly. In March 2025, Bank of America further reduced the credit line associated with the purchasing card facility from $18.0 million to $15.0 million.</w:t>
      </w:r>
    </w:p>
    <w:p>
      <w:pPr>
        <w:pStyle w:val="TextBody"/>
        <w:bidi w:val="0"/>
        <w:spacing w:before="0" w:after="0"/>
        <w:jc w:val="both"/>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we terminated the purchasing card facility in anticipation of the sale of the Loyalty business. Bakkt Holdings, Inc. was released as a guarantor under the commercial purchasing card facility, and our cash collateral requirement was reduced from $7.0 million to $1.5 million as security for any remaining redemption activity processed under the facility.</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2021, the Company entered into a four-year cloud computing arrangement which includes minimum contractual payments due to the third-party provider. In December 2023, the Company agreed to amend the contract and extend the payment period for an additional year. During the year ended December 31, 2023, the Company entered into a five-year strategic marketing agreement which required a committed spend. In July 2024, the Company terminated the strategic marketing agreement, which required a settlement payment of $1.1 million and resulted in the release from future obligations. As of September 30, 2025, the Company's outstanding purchase obligations, net of the settlement described above, consisted of the following future minimum commitments (in thousands):</w:t>
      </w:r>
    </w:p>
    <w:tbl>
      <w:tblPr>
        <w:tblW w:w="9058" w:type="dxa"/>
        <w:jc w:val="left"/>
        <w:tblInd w:w="0" w:type="dxa"/>
        <w:tblLayout w:type="fixed"/>
        <w:tblCellMar>
          <w:top w:w="28" w:type="dxa"/>
          <w:left w:w="28" w:type="dxa"/>
          <w:bottom w:w="28" w:type="dxa"/>
          <w:right w:w="28" w:type="dxa"/>
        </w:tblCellMar>
      </w:tblPr>
      <w:tblGrid>
        <w:gridCol w:w="658"/>
        <w:gridCol w:w="577"/>
        <w:gridCol w:w="580"/>
        <w:gridCol w:w="334"/>
        <w:gridCol w:w="977"/>
        <w:gridCol w:w="173"/>
        <w:gridCol w:w="109"/>
        <w:gridCol w:w="109"/>
        <w:gridCol w:w="109"/>
        <w:gridCol w:w="211"/>
        <w:gridCol w:w="616"/>
        <w:gridCol w:w="109"/>
        <w:gridCol w:w="109"/>
        <w:gridCol w:w="109"/>
        <w:gridCol w:w="109"/>
        <w:gridCol w:w="257"/>
        <w:gridCol w:w="495"/>
        <w:gridCol w:w="133"/>
        <w:gridCol w:w="109"/>
        <w:gridCol w:w="109"/>
        <w:gridCol w:w="109"/>
        <w:gridCol w:w="479"/>
        <w:gridCol w:w="923"/>
        <w:gridCol w:w="247"/>
        <w:gridCol w:w="109"/>
        <w:gridCol w:w="109"/>
        <w:gridCol w:w="109"/>
        <w:gridCol w:w="211"/>
        <w:gridCol w:w="61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Cooperation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19, 2025, the Company entered into a Cooperation Agreement with Distributed Technologies Research Global Ltd. (“DTR”) and Mr.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18 to our consolidated financial statements included in the Form 10-K where the Cooperation Agreement is described in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Sale of Loyalty Business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Opco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“Transaction”).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consideration to be paid to Opco in connection with the Transaction is $1.00, subject to certain adjustments following the Closing (as defined in the Purchase Agreement). At the Closing, Opco shall deliver the equity of the Acquired Entities, together with an amount of cash equal to $11 million plus (i) the amount of the most negative working capital of the business that existed in the twelve months prior to the closing date and (ii) the amount of estimated 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Closing was greater than the greatest absolute value of working capital that existed in the twelve months following the closing date. If the value of working capital delivered to the Purchaser at the Closing was greater that such greatest absolute value, the Purchaser shall pay to Opco the difference between the value of working capital delivered to the Purchaser at the Closing and such greatest absolute value.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management estimates the Company will recognize a loss on sale of the Loyalty Business of approximately $20.5 million, which will be recognized as of the October 1, 2025 Closing of the sale.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covenants, as well as certain indemnification provisions, with respect to Opco and the Acquired Companies, on the one hand, and the Purchaser, on the other. Furthermore, in connection with the Transaction, the Company plans to enter into ancillary agreements including (i) a note issued by the Purchaser to Opco pursuant to which Opco will loan to the Purchaser an amount equal to the restricted cash held by the Acquired Entities for the lesser of 18 months or the time the agreement is terminated pursuant to which such cash is restricted, (ii) the escrow agreement described above, and (iii) a transition services agreement pursuant to which Opco and the Purchaser or their respective affiliates will provide certain transition services to one another (the “Ancillary Agreements”). Consummation of the Transaction is subject to the satisfaction or waiver of certain conditions, including, but not limited to, the execution of certain of the Ancillary Agreements, the completion by the Purchaser of certain operational integrations, and the assignment of certain contracts to the Purchaser.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16.Income Taxes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the business combination that caused Bakkt to become a publicly traded company in 2021,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on a pro rata basis. The Company's income tax benefit (expense) primarily relates to the Company’s allocable share of any taxable income or loss of Opco following the 2021 business combination. In addition, Opco’s wholly owned corporate subsidiaries that are consolidated for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purposes but separately taxed for federal, state, and foreign income tax purposes as corporations are generating federal, state, and foreign income tax expense.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effective tax rates of 0.2% and (0.5)% for the three and nine months ended September 30, 2025. respectively, differ from statutory rates primarily due to the noncontrolling interest that is not taxed to the Company and the absence of taxable income to realize the Company's net operating losses and other deferred tax assets.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of (40.2)% and (0.2)% for the three and nine months ended September 30, 2024. respectively, differ from statutory rates primarily due to the noncontrolling interest that is not taxed to the Company and the absence of taxable income to realize the Company's net operating losses and other deferred tax assets.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Deferred tax assets are reduced by a valuation allowance if, based on the weight of available evidence, it is more likely than not that some portion or all of the deferred tax assets will not be realized. The realizability of the Company's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September 30, 2025 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the Company believed that it was not more likely than not that the net deferred tax assets would be realizable and thus maintained a full valuation allowance.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September 30, 2025 or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by President Trump. Key provisions of the Act include the reinstatement of 100% bonus depreciation, the immediate expensing of domestic research and experimentation expenditures, and modifications to the limitation on business interest deductions. While Bakkt management continues to evaluate the impact that the OBBBA will have on the Company's consolidated financial statements and disclosures, Bakkt management does not anticipate a 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17.Leases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real estate for office space under operating leases. Management considers a lease to have commenced on the date when the Company is granted access to the leased asset.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Company's real estate leasing agreements include terms requiring it to reimburse the lessor for the Company's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 rates for all of the Company's leases are based on its estimated incremental borrowing rate since the rates implicit in the leases were not determinable. The Company's incremental borrowing rate is based on Bakkt management’s estimate of the rate of interest the Company would have to pay to borrow on a fully collateralized basis over a similar term an amount equal to the lease payments in a similar economic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the practical expedient under which lease components are not be separated from the non-lease components for all classes of underlying assets. Accordingly, each lease component and the non-lease components related to the lease component are accounted for as a single lease component.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jointly and severally liable with the third-party assignee for the obligations under the New York office lease. For the nine month period ended September 30, 2025 the Company recognized income of approximately $1.8 million related to the Lease Assignment, net of approximately $0.9 million paid to the third-party assignee under the Lease Assignment, all of which is recognized in Other (expense) income, net in the consolidated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21, 2023, the Company signed an agreement to sublease a portion of its then corporate headquarters office space in Alpharetta, Georgia. The sublease commenced in March 2024. As of September 30, 2025, the Company does not have any active finance leases. Several of these leases include escalation clauses for adjusting rentals.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real estate lease has a remaining lease term as of September 30, 2025 of 84 months. The Company's real estate lease does not contain an option to terminate the lease without cause at the option of either party during the lease term.</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As of September 30, 2025, the weighted average remaining lease term for the Company's operating leases was approximately 84 months, and the weighted average discount rate was 5.0%. As of </w:t>
      </w:r>
      <w:r>
        <w:rPr>
          <w:rFonts w:ascii="Times New Roman;serif" w:hAnsi="Times New Roman;serif"/>
          <w:b w:val="false"/>
          <w:color w:val="000000"/>
          <w:sz w:val="20"/>
          <w:shd w:fill="FFFFFF" w:val="clear"/>
        </w:rPr>
        <w:t xml:space="preserve">December 31, 2024, </w:t>
      </w:r>
      <w:r>
        <w:rPr>
          <w:rFonts w:ascii="Times New Roman;serif" w:hAnsi="Times New Roman;serif"/>
          <w:b w:val="false"/>
          <w:color w:val="000000"/>
          <w:sz w:val="20"/>
        </w:rPr>
        <w:t>the weighted average remaining lease term for the Company's operating leases was approximately 85 months, and the weighted average discount rate was 5.0%. The Company was party to short-term leases during the three and nine months ended September 30, 2025 and September 30, 2024, which resulted in less than $0.1 million of rent expense, for all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18.Fair Value Measurements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measured at fair value on a recurring basis are classified as Level 1, Level 2 and Level 3 as follows (in thousands):</w:t>
      </w:r>
    </w:p>
    <w:tbl>
      <w:tblPr>
        <w:tblW w:w="7899" w:type="dxa"/>
        <w:jc w:val="left"/>
        <w:tblInd w:w="0" w:type="dxa"/>
        <w:tblLayout w:type="fixed"/>
        <w:tblCellMar>
          <w:top w:w="28" w:type="dxa"/>
          <w:left w:w="28" w:type="dxa"/>
          <w:bottom w:w="28" w:type="dxa"/>
          <w:right w:w="28" w:type="dxa"/>
        </w:tblCellMar>
      </w:tblPr>
      <w:tblGrid>
        <w:gridCol w:w="1405"/>
        <w:gridCol w:w="1242"/>
        <w:gridCol w:w="1253"/>
        <w:gridCol w:w="211"/>
        <w:gridCol w:w="721"/>
        <w:gridCol w:w="109"/>
        <w:gridCol w:w="211"/>
        <w:gridCol w:w="616"/>
        <w:gridCol w:w="109"/>
        <w:gridCol w:w="211"/>
        <w:gridCol w:w="616"/>
        <w:gridCol w:w="109"/>
        <w:gridCol w:w="211"/>
        <w:gridCol w:w="721"/>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Class 1 and Class 2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tbl>
      <w:tblPr>
        <w:tblW w:w="7696" w:type="dxa"/>
        <w:jc w:val="left"/>
        <w:tblInd w:w="0" w:type="dxa"/>
        <w:tblLayout w:type="fixed"/>
        <w:tblCellMar>
          <w:top w:w="28" w:type="dxa"/>
          <w:left w:w="28" w:type="dxa"/>
          <w:bottom w:w="28" w:type="dxa"/>
          <w:right w:w="28" w:type="dxa"/>
        </w:tblCellMar>
      </w:tblPr>
      <w:tblGrid>
        <w:gridCol w:w="1411"/>
        <w:gridCol w:w="1240"/>
        <w:gridCol w:w="1248"/>
        <w:gridCol w:w="211"/>
        <w:gridCol w:w="721"/>
        <w:gridCol w:w="109"/>
        <w:gridCol w:w="211"/>
        <w:gridCol w:w="616"/>
        <w:gridCol w:w="109"/>
        <w:gridCol w:w="213"/>
        <w:gridCol w:w="411"/>
        <w:gridCol w:w="110"/>
        <w:gridCol w:w="211"/>
        <w:gridCol w:w="721"/>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Class 1 and Class 2 warrants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crypto assets was determined using Level 2 inputs which included using the value of the crypto asset determined as the mid-point of a bid-ask spread in the market management determined to be the principal market for the related crypto assets as of September 30, 2025.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derivative asset is comprised of a put/call option associated with a participation right on a third-party ownership interest in a publicly traded company. The fair value of the derivative asset was determined using a binomial model and Black-Scholes-Merton equation, both of which utilize certain Level 3 inputs.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Level 3 assets measured at fair value for the nine months ended September 30, 2025. Both observable and unobservable inputs were used to determine the fair value of positions that the Company has classified within the Level 3 category.</w:t>
      </w:r>
    </w:p>
    <w:tbl>
      <w:tblPr>
        <w:tblW w:w="4379" w:type="dxa"/>
        <w:jc w:val="left"/>
        <w:tblInd w:w="0" w:type="dxa"/>
        <w:tblLayout w:type="fixed"/>
        <w:tblCellMar>
          <w:top w:w="28" w:type="dxa"/>
          <w:left w:w="28" w:type="dxa"/>
          <w:bottom w:w="28" w:type="dxa"/>
          <w:right w:w="28" w:type="dxa"/>
        </w:tblCellMar>
      </w:tblPr>
      <w:tblGrid>
        <w:gridCol w:w="1038"/>
        <w:gridCol w:w="910"/>
        <w:gridCol w:w="917"/>
        <w:gridCol w:w="294"/>
        <w:gridCol w:w="1006"/>
        <w:gridCol w:w="21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Inputs used to calculate the estimated fair value of the derivative assets at September 30, 2025 were as follows:</w:t>
      </w:r>
    </w:p>
    <w:tbl>
      <w:tblPr>
        <w:tblW w:w="3793" w:type="dxa"/>
        <w:jc w:val="left"/>
        <w:tblInd w:w="0" w:type="dxa"/>
        <w:tblLayout w:type="fixed"/>
        <w:tblCellMar>
          <w:top w:w="28" w:type="dxa"/>
          <w:left w:w="28" w:type="dxa"/>
          <w:bottom w:w="28" w:type="dxa"/>
          <w:right w:w="28" w:type="dxa"/>
        </w:tblCellMar>
      </w:tblPr>
      <w:tblGrid>
        <w:gridCol w:w="826"/>
        <w:gridCol w:w="725"/>
        <w:gridCol w:w="728"/>
        <w:gridCol w:w="308"/>
        <w:gridCol w:w="308"/>
        <w:gridCol w:w="898"/>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Mean monthly return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maturity (years)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 (months)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month</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 liability is valued based on quoted prices in active markets and is classified within Level 1.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c5ea9f5d89204bb685e3d617180d88f8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unobservable inputs used for the fair value measurement of the Class 1 Warrants and Class 2 Warrants liabilities as of September 30, 2025 are summarized as follows: </w:t>
      </w:r>
    </w:p>
    <w:tbl>
      <w:tblPr>
        <w:tblW w:w="2908" w:type="dxa"/>
        <w:jc w:val="left"/>
        <w:tblInd w:w="0" w:type="dxa"/>
        <w:tblLayout w:type="fixed"/>
        <w:tblCellMar>
          <w:top w:w="28" w:type="dxa"/>
          <w:left w:w="28" w:type="dxa"/>
          <w:bottom w:w="28" w:type="dxa"/>
          <w:right w:w="28" w:type="dxa"/>
        </w:tblCellMar>
      </w:tblPr>
      <w:tblGrid>
        <w:gridCol w:w="771"/>
        <w:gridCol w:w="678"/>
        <w:gridCol w:w="680"/>
        <w:gridCol w:w="226"/>
        <w:gridCol w:w="226"/>
        <w:gridCol w:w="327"/>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Continuous risk-free rate</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day the 2025 Pre-Funded Warrants were issued, Bakkt common stock closed the day at $10.00 per share. This equaled the issue price of the private placement. The 2025 Pre-Funded Warrants were issued at this $10.00 price less the nominal exercise price. The Company's common stock closed the previous day at $17.17, however it traded down substantially upon news of the private placement. Thus, we believe the proceeds received for the 2025 Pre-Funded Warrants represents fair value of the Pre-Funded Warrants as of their issuance date and as of September 30, 2025 for the unexercised warrants as of that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19.Segment Reporting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September 30, 2024, all material operations are within the United States. Bakkt's chief operating decision maker allocates resources and assesses performance based upon financial information at the consolidated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significant segment expenses provided to the CODM for the three and nine months ended September 30, 2025, and September 30, 2024 (in thousands):</w:t>
      </w:r>
    </w:p>
    <w:tbl>
      <w:tblPr>
        <w:tblW w:w="10205" w:type="dxa"/>
        <w:jc w:val="center"/>
        <w:tblInd w:w="0" w:type="dxa"/>
        <w:tblLayout w:type="fixed"/>
        <w:tblCellMar>
          <w:top w:w="28" w:type="dxa"/>
          <w:left w:w="28" w:type="dxa"/>
          <w:bottom w:w="28" w:type="dxa"/>
          <w:right w:w="28" w:type="dxa"/>
        </w:tblCellMar>
      </w:tblPr>
      <w:tblGrid>
        <w:gridCol w:w="867"/>
        <w:gridCol w:w="701"/>
        <w:gridCol w:w="598"/>
        <w:gridCol w:w="323"/>
        <w:gridCol w:w="1215"/>
        <w:gridCol w:w="179"/>
        <w:gridCol w:w="109"/>
        <w:gridCol w:w="109"/>
        <w:gridCol w:w="109"/>
        <w:gridCol w:w="323"/>
        <w:gridCol w:w="1215"/>
        <w:gridCol w:w="179"/>
        <w:gridCol w:w="109"/>
        <w:gridCol w:w="109"/>
        <w:gridCol w:w="109"/>
        <w:gridCol w:w="297"/>
        <w:gridCol w:w="1323"/>
        <w:gridCol w:w="165"/>
        <w:gridCol w:w="109"/>
        <w:gridCol w:w="109"/>
        <w:gridCol w:w="109"/>
        <w:gridCol w:w="293"/>
        <w:gridCol w:w="1306"/>
        <w:gridCol w:w="240"/>
      </w:tblGrid>
      <w:tr>
        <w:trPr/>
        <w:tc>
          <w:tcPr>
            <w:tcW w:w="86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2,036,070 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1,654,814 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w:t>
            </w:r>
            <w:r>
              <w:rPr>
                <w:rFonts w:ascii="Times New Roman;serif" w:hAnsi="Times New Roman;serif"/>
                <w:b w:val="false"/>
                <w:color w:val="000000"/>
                <w:sz w:val="12"/>
              </w:rPr>
              <w:t>1</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compensation</w:t>
            </w:r>
            <w:r>
              <w:rPr>
                <w:rFonts w:ascii="Times New Roman;serif" w:hAnsi="Times New Roman;serif"/>
                <w:b w:val="false"/>
                <w:color w:val="000000"/>
                <w:sz w:val="12"/>
              </w:rPr>
              <w:t>1</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Occupancy</w:t>
            </w:r>
            <w:r>
              <w:rPr>
                <w:rFonts w:ascii="Times New Roman;serif" w:hAnsi="Times New Roman;serif"/>
                <w:b w:val="false"/>
                <w:color w:val="000000"/>
                <w:sz w:val="12"/>
              </w:rPr>
              <w:t>2</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Marketing and promotions</w:t>
            </w:r>
            <w:r>
              <w:rPr>
                <w:rFonts w:ascii="Times New Roman;serif" w:hAnsi="Times New Roman;serif"/>
                <w:b w:val="false"/>
                <w:color w:val="000000"/>
                <w:sz w:val="12"/>
              </w:rPr>
              <w:t>3</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insurance</w:t>
            </w:r>
            <w:r>
              <w:rPr>
                <w:rFonts w:ascii="Times New Roman;serif" w:hAnsi="Times New Roman;serif"/>
                <w:b w:val="false"/>
                <w:color w:val="000000"/>
                <w:sz w:val="12"/>
              </w:rPr>
              <w:t>4</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operating costs</w:t>
            </w:r>
            <w:r>
              <w:rPr>
                <w:rFonts w:ascii="Times New Roman;serif" w:hAnsi="Times New Roman;serif"/>
                <w:b w:val="false"/>
                <w:color w:val="000000"/>
                <w:sz w:val="12"/>
              </w:rPr>
              <w:t>5</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2,012,524 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1,636,514 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 per Consolidated Statements of Operations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427,474 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341,470 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2,092,889 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1,727,407 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from continuing operations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(72,593)</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net</w:t>
            </w:r>
            <w:r>
              <w:rPr>
                <w:rFonts w:ascii="Times New Roman;serif" w:hAnsi="Times New Roman;serif"/>
                <w:b w:val="false"/>
                <w:color w:val="000000"/>
                <w:sz w:val="12"/>
              </w:rPr>
              <w:t>6</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2"/>
        <w:gridCol w:w="2875"/>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Personnel includes payroll and benefits, excluding stock-based compensation, which is included in Non-cash compensation. Both are reported as part of Compensation and benefits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includes facility related expenses such as rent and is reported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insurance primarily consists of business liability insurance premiums and is recorded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 consist primarily of Restructuring costs and Impairment of long-lived assets as presented on the statements of operations, as well as costs that are reported as Selling, general and administrative, Other operating expenses, and Compensation and benefits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 consists primarily of Interest income, net, (Loss) gain from change in fair value of warrant liability and derivatives, and Other expense, net, and Income tax (expense) benefit as presented in the consolidated statements of operations.</w:t>
            </w:r>
          </w:p>
        </w:tc>
      </w:tr>
    </w:tbl>
    <w:p>
      <w:pPr>
        <w:pStyle w:val="TextBody"/>
        <w:bidi w:val="0"/>
        <w:spacing w:lineRule="auto" w:line="333"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26, 2025, the Company received notice from Public Platform LLC (“Public”) that it was exercising its rights under its commercial agreement with the Company to initiate the offboarding of its customers from the Company’s platform. Public completed the offboarding from our platform on October 25, 2025. Public represented approximately 9% of the Company’s crypto services revenue for the year ended December 31, 2024, and approximately 18% of crypto services revenue for the nine months ended September 30, 2025. The Company expects the offboarding of Public to result in a decline in crypto services revenue beginning in the fourth quarter of 2025. Management is actively assessing the impact of this change and is pursuing alternative customer and partner relationships to mitigate the effect on future segment performance.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Company's largest client, Webull Pay LLC (“Webull”), notified the Company that it would not renew its agreement with Bakkt when it ended on June 14, 2025, although the Company continues to service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limited number of states under an amended agreement with Webull. Webull represented approximately 74% of the Company’s Crypto services revenue for the year ended December 31, 2024.</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Bakkt also received notice from Bank of America Corporation (“Bank of America”) on March 14, 2025 that Bank of America would not renew its commercial agreement with Bakkt's Loyalty Business. As a result, such agreement expired in accordance with its terms on April 22, 2025, subject to the Company’s obligation to provide transition services for up to a 12-month period. Bank of America represented approximately 16% of the Company's Loyalty Business’s net revenue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pPr>
      <w:r>
        <w:rPr>
          <w:rFonts w:ascii="Times New Roman;serif" w:hAnsi="Times New Roman;serif"/>
          <w:b/>
          <w:color w:val="000000"/>
          <w:sz w:val="20"/>
        </w:rPr>
        <w:t>20.</w:t>
      </w:r>
      <w:r>
        <w:rPr>
          <w:rFonts w:ascii="Times New Roman;serif" w:hAnsi="Times New Roman;serif"/>
          <w:b/>
          <w:color w:val="231F20"/>
          <w:sz w:val="20"/>
        </w:rPr>
        <w:t>Subsequent Events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Lease Termination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2025, Bakkt executed a Termination of Lease Agreement (the "Lease Termination") for its corporate headquarters office space in Alpharetta, Georgia. The Lease Termination releases the Company from all lease obligations at that location as of September 30, 2025, including the obligations related to the portion of the lease that was sub-let as described in Note 17.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Up-C Collapse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completed an internal reorganization to streamline its corporate structure by eliminating the Company’s umbrella partnership-C-corporation (“Up-C”) structure (the “Reorganization”).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Bakkt Opco Holdings, LLC,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the right to receive a corresponding number of validly issued, fully paid and nonassessable share of NewCo Class A Common Stock. </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Amendment to Tax Receivable Agreement &amp; Contribution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Bakkt, ICE and Mr. Naheta entered into an amendment (the “TRA Amendment”) to the TRA, dated as of October 15, 2021, by and among the Company and the persons named therein, as well as a Contribution Agreement relating to their respective rights under the TRA (as amended, the “Contribution Agreement”). Pursuant to the TRA amendment and the Contribution Agreement, ICE and Mr. Naheta agreed that they would, at closing, (i) contribute their rights under the TRA to NewCo in exchange for a cash payment from NewCo equal to the respective amount to which ICE and Mr. Naheta would otherwise be entitled under the TRA (as amended), (ii) Mr. Naheta would further contribute such cash payable to Mr. Naheta to NewCo in exchange for shares of NewCo Class A Common Stock, and (iii) ICE would further contribute such cash payable to ICE to NewCo in exchange for shares of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A Non-Voting Convertible Preferred Stock (“NewCo Preferred Stock”) of NewCo, each convertible into one share of NewCo Class A Common Stock (such conversion being conditional upon the expiry or termination of the waiting period (and any extension thereof, including pursuant to any timing agreement) applicable to it under the Hart-Scott-Rodino Antitrust Improvements Act of 1976, as amended (the “HSR Act”)), and further agreed that the respective obligations of ICE and Mr. Naheta, on the one hand, and NewCo, on the other hand, to transfer the foregoing cash amounts will be net-settled and offset against one another. In addition, the TRA Amendment sets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 At the completion of the Reorganization, the Company issued 465,890 and 69,733 shares of NewCo Class A Common Stock to ICE and Mr. Naheta, respectively. The cash payments to be made to TRA holders other than ICE and Mr. Naheta are $5.7 million.</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Loyalty Business Sale Closing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2025, Bakkt completed the sale of the Loyalty business to Project Labrador Holdco, LLC. At the Closing, the Company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Opco also placed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deposited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shall pay to Opco the difference between the value of working capital delivered to the Purchaser at the Closing and such greatest absolute value. In addition, at the Closing, approximately $5,000,000 in restricted cash was loaned to the Purchaser by Opco pursuant to the Purchase Agreement and unsecured subordinated promissory notes to support obligations under certain agreements of the Acquired Entities. Such notes are expected to be repaid by the Purchaser when such cash is no longer restricted.</w:t>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Loyalty Business,the Company entered into a transition services agreement pursuant to which the Company and the Purchaser or their respective affiliates will provide certain transition services to one another.</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2025 Pre-Funded 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28, 2025, the remaining issued and outstanding 28,265 2025 Pre-Funded Warrants were exercised for 28,264 Class A Common Stock shares.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before="240" w:after="283"/>
        <w:jc w:val="both"/>
        <w:rPr/>
      </w:pPr>
      <w:r>
        <w:rPr>
          <w:rFonts w:ascii="Times New Roman;serif" w:hAnsi="Times New Roman;serif"/>
          <w:b w:val="false"/>
          <w:i/>
          <w:color w:val="231F20"/>
          <w:sz w:val="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serif" w:hAnsi="Times New Roman;serif"/>
          <w:b w:val="false"/>
          <w:i/>
          <w:color w:val="000000"/>
          <w:sz w:val="20"/>
        </w:rPr>
        <w:t>September 30, 2025</w:t>
      </w:r>
      <w:r>
        <w:rPr>
          <w:color w:val="231F20"/>
        </w:rPr>
        <w:t xml:space="preserve"> </w:t>
      </w:r>
      <w:r>
        <w:rPr>
          <w:rFonts w:ascii="Times New Roman;serif" w:hAnsi="Times New Roman;serif"/>
          <w:b w:val="false"/>
          <w:i/>
          <w:color w:val="231F20"/>
          <w:sz w:val="20"/>
        </w:rPr>
        <w:t xml:space="preserve">(this "Report") and in our Annual Report on Form 10-K for the fiscal year ended </w:t>
      </w:r>
      <w:r>
        <w:rPr>
          <w:rFonts w:ascii="Times New Roman;serif" w:hAnsi="Times New Roman;serif"/>
          <w:b w:val="false"/>
          <w:i/>
          <w:color w:val="000000"/>
          <w:sz w:val="20"/>
          <w:shd w:fill="FFFFFF" w:val="clear"/>
        </w:rPr>
        <w:t>December 31, 2024 (our "Form 10-K")</w:t>
      </w:r>
      <w:r>
        <w:rPr>
          <w:rFonts w:ascii="Times New Roman;serif" w:hAnsi="Times New Roman;serif"/>
          <w:b w:val="false"/>
          <w:i/>
          <w:color w:val="231F20"/>
          <w:sz w:val="20"/>
        </w:rPr>
        <w:t xml:space="preserve">, which is incorporated herein by reference. References in this section to “we,” “us,” “our,” “Bakkt” or the “Company” and like terms refer to Bakkt Holdings, Inc. and its subsidiaries for the </w:t>
      </w:r>
      <w:r>
        <w:rPr>
          <w:rFonts w:ascii="Times New Roman;serif" w:hAnsi="Times New Roman;serif"/>
          <w:b w:val="false"/>
          <w:i/>
          <w:color w:val="000000"/>
          <w:sz w:val="20"/>
        </w:rPr>
        <w:t>three and nine months ending September 30, 2025,</w:t>
      </w:r>
      <w:r>
        <w:rPr>
          <w:color w:val="231F20"/>
        </w:rPr>
        <w:t xml:space="preserve"> </w:t>
      </w:r>
      <w:r>
        <w:rPr>
          <w:rFonts w:ascii="Times New Roman;serif" w:hAnsi="Times New Roman;serif"/>
          <w:b w:val="false"/>
          <w:i/>
          <w:color w:val="231F20"/>
          <w:sz w:val="20"/>
        </w:rPr>
        <w:t xml:space="preserve">unless the context otherwise requires. Some of the information contained in this discussion and analysis or set forth elsewhere in this 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w:t>
      </w:r>
      <w:r>
        <w:rPr>
          <w:rFonts w:ascii="Times New Roman;serif" w:hAnsi="Times New Roman;serif"/>
          <w:b w:val="false"/>
          <w:i/>
          <w:color w:val="231F20"/>
          <w:sz w:val="20"/>
          <w:shd w:fill="FFFFFF" w:val="clear"/>
        </w:rPr>
        <w:t>Factors that could cause or contribute to such differences include, but are not limited to, those factors discussed above in “Cautionary Statement Regarding Forward-Looking Statements” and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333" w:before="240" w:after="283"/>
        <w:jc w:val="both"/>
        <w:rPr>
          <w:rFonts w:ascii="Times New Roman;serif" w:hAnsi="Times New Roman;serif"/>
          <w:b w:val="false"/>
          <w:color w:val="0C0C0C"/>
          <w:sz w:val="20"/>
        </w:rPr>
      </w:pPr>
      <w:r>
        <w:rPr>
          <w:rFonts w:ascii="Times New Roman;serif" w:hAnsi="Times New Roman;serif"/>
          <w:b w:val="false"/>
          <w:color w:val="0C0C0C"/>
          <w:sz w:val="20"/>
        </w:rPr>
        <w:t>In this section and elsewhere in this Report, we use the following terms, which are defined as follows:</w:t>
      </w:r>
    </w:p>
    <w:p>
      <w:pPr>
        <w:pStyle w:val="TextBody"/>
        <w:bidi w:val="0"/>
        <w:spacing w:lineRule="auto" w:line="333" w:before="240" w:after="283"/>
        <w:ind w:left="0" w:right="0" w:hanging="360"/>
        <w:jc w:val="both"/>
        <w:rPr/>
      </w:pPr>
      <w:r>
        <w:rPr>
          <w:color w:val="000000"/>
        </w:rPr>
        <w:t>•</w:t>
      </w:r>
      <w:r>
        <w:rPr>
          <w:rFonts w:ascii="Times New Roman;serif" w:hAnsi="Times New Roman;serif"/>
          <w:b/>
          <w:color w:val="000000"/>
          <w:sz w:val="20"/>
        </w:rPr>
        <w:t>"Client"</w:t>
      </w:r>
      <w:r>
        <w:rPr>
          <w:color w:val="000000"/>
        </w:rPr>
        <w:t xml:space="preserve"> </w:t>
      </w:r>
      <w:r>
        <w:rPr>
          <w:rFonts w:ascii="Times New Roman;serif" w:hAnsi="Times New Roman;serif"/>
          <w:b w:val="false"/>
          <w:color w:val="000000"/>
          <w:sz w:val="20"/>
        </w:rPr>
        <w:t xml:space="preserve">means businesses with whom we contract to provide services to customers on our platform, and includes financial institutions, hedge funds, merchants, retailers, third party partners and other businesses (except in the accompanying </w:t>
      </w:r>
      <w:r>
        <w:rPr>
          <w:rFonts w:ascii="Times New Roman;serif" w:hAnsi="Times New Roman;serif"/>
          <w:b w:val="false"/>
          <w:color w:val="231F20"/>
          <w:sz w:val="20"/>
        </w:rPr>
        <w:t xml:space="preserve">notes to the consolidated financial statements, where we refer to revenue earned from customers, instead of clients. The term customers is </w:t>
      </w:r>
      <w:r>
        <w:rPr>
          <w:rFonts w:ascii="Times New Roman;serif" w:hAnsi="Times New Roman;serif"/>
          <w:b w:val="false"/>
          <w:color w:val="000000"/>
          <w:sz w:val="20"/>
        </w:rPr>
        <w:t xml:space="preserve">in accordance with the Financial Accounting Standards Board (“FASB”) Accounting Standards Codification (“ASC”) Topic </w:t>
      </w:r>
      <w:r>
        <w:rPr>
          <w:rFonts w:ascii="Times New Roman;serif" w:hAnsi="Times New Roman;serif"/>
          <w:b w:val="false"/>
          <w:color w:val="231F20"/>
          <w:sz w:val="20"/>
        </w:rPr>
        <w:t xml:space="preserve">606, </w:t>
      </w:r>
      <w:r>
        <w:rPr>
          <w:rFonts w:ascii="Times New Roman;serif" w:hAnsi="Times New Roman;serif"/>
          <w:b w:val="false"/>
          <w:i/>
          <w:color w:val="231F20"/>
          <w:sz w:val="20"/>
        </w:rPr>
        <w:t>Revenue from Contracts with Customers</w:t>
      </w:r>
      <w:r>
        <w:rPr>
          <w:color w:val="231F20"/>
        </w:rPr>
        <w:t xml:space="preserve"> </w:t>
      </w:r>
      <w:r>
        <w:rPr>
          <w:rFonts w:ascii="Times New Roman;serif" w:hAnsi="Times New Roman;serif"/>
          <w:b w:val="false"/>
          <w:color w:val="231F20"/>
          <w:sz w:val="20"/>
        </w:rPr>
        <w:t>("ASC 606").)</w:t>
      </w:r>
    </w:p>
    <w:p>
      <w:pPr>
        <w:pStyle w:val="TextBody"/>
        <w:bidi w:val="0"/>
        <w:spacing w:lineRule="auto" w:line="333" w:before="240" w:after="283"/>
        <w:ind w:left="0" w:right="0" w:hanging="360"/>
        <w:jc w:val="both"/>
        <w:rPr/>
      </w:pPr>
      <w:r>
        <w:rPr>
          <w:color w:val="000000"/>
        </w:rPr>
        <w:t>•</w:t>
      </w:r>
      <w:r>
        <w:rPr>
          <w:rFonts w:ascii="Times New Roman;serif" w:hAnsi="Times New Roman;serif"/>
          <w:b/>
          <w:color w:val="000000"/>
          <w:sz w:val="20"/>
        </w:rPr>
        <w:t>"Crypto" or "Crypto asset"</w:t>
      </w:r>
      <w:r>
        <w:rPr>
          <w:color w:val="000000"/>
        </w:rPr>
        <w:t xml:space="preserve"> </w:t>
      </w:r>
      <w:r>
        <w:rPr>
          <w:rFonts w:ascii="Times New Roman;serif" w:hAnsi="Times New Roman;serif"/>
          <w:b w:val="false"/>
          <w:color w:val="000000"/>
          <w:sz w:val="20"/>
        </w:rPr>
        <w:t>means an asset that is built using blockchain technology, including virtual currencies (as used in the State of New York), coins, cryptocurrencies, stablecoins, and other tokens. Our platform enables transactions in certain supported crypto assets. For purposes of this Form 10-Q, we use crypto assets, virtual currency, coins, and tokens interchangeably.</w:t>
      </w:r>
    </w:p>
    <w:p>
      <w:pPr>
        <w:pStyle w:val="TextBody"/>
        <w:bidi w:val="0"/>
        <w:spacing w:lineRule="auto" w:line="333" w:before="240" w:after="283"/>
        <w:ind w:left="0" w:right="0" w:hanging="360"/>
        <w:jc w:val="both"/>
        <w:rPr/>
      </w:pPr>
      <w:r>
        <w:rPr>
          <w:color w:val="000000"/>
        </w:rPr>
        <w:t>•</w:t>
      </w:r>
      <w:r>
        <w:rPr>
          <w:rFonts w:ascii="Times New Roman;serif" w:hAnsi="Times New Roman;serif"/>
          <w:b/>
          <w:color w:val="000000"/>
          <w:sz w:val="20"/>
        </w:rPr>
        <w:t>"Customer"</w:t>
      </w:r>
      <w:r>
        <w:rPr>
          <w:color w:val="000000"/>
        </w:rPr>
        <w:t xml:space="preserve"> </w:t>
      </w:r>
      <w:r>
        <w:rPr>
          <w:rFonts w:ascii="Times New Roman;serif" w:hAnsi="Times New Roman;serif"/>
          <w:b w:val="false"/>
          <w:color w:val="000000"/>
          <w:sz w:val="20"/>
        </w:rPr>
        <w:t>means an individual user of our platform. Customers include customers of our clients who transact in crypto through, and have accounts on, our platform (except as defined for ASC 606 purposes above).</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333" w:before="240" w:after="283"/>
        <w:ind w:left="0" w:right="0" w:firstLine="720"/>
        <w:jc w:val="both"/>
        <w:rPr>
          <w:rFonts w:ascii="Times New Roman;serif" w:hAnsi="Times New Roman;serif"/>
          <w:b w:val="false"/>
          <w:color w:val="151515"/>
          <w:sz w:val="20"/>
        </w:rPr>
      </w:pPr>
      <w:r>
        <w:rPr>
          <w:rFonts w:ascii="Times New Roman;serif" w:hAnsi="Times New Roman;serif"/>
          <w:b w:val="false"/>
          <w:color w:val="151515"/>
          <w:sz w:val="20"/>
        </w:rPr>
        <w:t xml:space="preserve">Founded in 2018, Bakkt is building the backbone of next-generation financial infrastructure. We provide solutions that enable institutional participation in the digital asset economy — spanning crypto assets trading, tokenization, stablecoin payments, and artificial intelligence-driven finance. With the scale, security, and regulatory compliance demanded by global institutions, we are positioned at the center of a generational transformation in what money is, how it moves, and how markets operate. </w:t>
      </w:r>
    </w:p>
    <w:p>
      <w:pPr>
        <w:pStyle w:val="TextBody"/>
        <w:bidi w:val="0"/>
        <w:spacing w:lineRule="auto" w:line="333" w:before="240" w:after="283"/>
        <w:ind w:left="0" w:right="0" w:firstLine="720"/>
        <w:jc w:val="both"/>
        <w:rPr/>
      </w:pPr>
      <w:r>
        <w:rPr>
          <w:rFonts w:ascii="Times New Roman;serif" w:hAnsi="Times New Roman;serif"/>
          <w:b w:val="false"/>
          <w:color w:val="151515"/>
          <w:sz w:val="20"/>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480" w:after="240"/>
        <w:jc w:val="both"/>
        <w:rPr/>
      </w:pPr>
      <w:r>
        <w:rPr/>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Third-Quarter Highlights and Trends</w:t>
      </w:r>
    </w:p>
    <w:p>
      <w:pPr>
        <w:pStyle w:val="TextBody"/>
        <w:bidi w:val="0"/>
        <w:spacing w:lineRule="auto" w:line="333" w:before="240" w:after="283"/>
        <w:ind w:left="0" w:right="0" w:firstLine="720"/>
        <w:jc w:val="both"/>
        <w:rPr>
          <w:rFonts w:ascii="Times New Roman;serif" w:hAnsi="Times New Roman;serif"/>
          <w:b w:val="false"/>
          <w:color w:val="151515"/>
          <w:sz w:val="20"/>
        </w:rPr>
      </w:pPr>
      <w:r>
        <w:rPr>
          <w:rFonts w:ascii="Times New Roman;serif" w:hAnsi="Times New Roman;serif"/>
          <w:b w:val="false"/>
          <w:color w:val="151515"/>
          <w:sz w:val="20"/>
        </w:rPr>
        <w:t>We believe that our third-quarter results and recent actions marked a major inflection point in our transformation into a pure-play digital asset infrastructure company:</w:t>
      </w:r>
    </w:p>
    <w:p>
      <w:pPr>
        <w:pStyle w:val="TextBody"/>
        <w:bidi w:val="0"/>
        <w:spacing w:lineRule="auto" w:line="333" w:before="240" w:after="283"/>
        <w:ind w:left="0" w:right="0" w:hanging="180"/>
        <w:jc w:val="both"/>
        <w:rPr/>
      </w:pPr>
      <w:r>
        <w:rPr>
          <w:color w:val="000000"/>
        </w:rPr>
        <w:t>•</w:t>
      </w:r>
      <w:r>
        <w:rPr>
          <w:rFonts w:ascii="Times New Roman;serif" w:hAnsi="Times New Roman;serif"/>
          <w:b w:val="false"/>
          <w:color w:val="151515"/>
          <w:sz w:val="20"/>
        </w:rPr>
        <w:t>We completed the divestiture of our Loyalty Business, completing our exit from all non-core operations;</w:t>
      </w:r>
    </w:p>
    <w:p>
      <w:pPr>
        <w:pStyle w:val="TextBody"/>
        <w:bidi w:val="0"/>
        <w:spacing w:lineRule="auto" w:line="333" w:before="240" w:after="283"/>
        <w:ind w:left="0" w:right="0" w:hanging="180"/>
        <w:jc w:val="both"/>
        <w:rPr/>
      </w:pPr>
      <w:r>
        <w:rPr>
          <w:color w:val="000000"/>
        </w:rPr>
        <w:t>•</w:t>
      </w:r>
      <w:r>
        <w:rPr>
          <w:rFonts w:ascii="Times New Roman;serif" w:hAnsi="Times New Roman;serif"/>
          <w:b w:val="false"/>
          <w:color w:val="000000"/>
          <w:sz w:val="20"/>
        </w:rPr>
        <w:t>We streamlined our activities into trading, payments and international markets, marking a critical step in our evolution into a unified digital asset infrastructure platform;</w:t>
      </w:r>
    </w:p>
    <w:p>
      <w:pPr>
        <w:pStyle w:val="TextBody"/>
        <w:bidi w:val="0"/>
        <w:spacing w:lineRule="auto" w:line="333" w:before="240" w:after="283"/>
        <w:ind w:left="0" w:right="0" w:hanging="180"/>
        <w:jc w:val="both"/>
        <w:rPr/>
      </w:pPr>
      <w:r>
        <w:rPr>
          <w:color w:val="151515"/>
        </w:rPr>
        <w:t>•</w:t>
      </w:r>
      <w:r>
        <w:rPr>
          <w:rFonts w:ascii="Times New Roman;serif" w:hAnsi="Times New Roman;serif"/>
          <w:b w:val="false"/>
          <w:color w:val="151515"/>
          <w:sz w:val="20"/>
        </w:rPr>
        <w:t>We simplified our capital structure through the collapse of our legacy Up-C structure, unifying all shareholders under a single class of stock; and</w:t>
      </w:r>
    </w:p>
    <w:p>
      <w:pPr>
        <w:pStyle w:val="TextBody"/>
        <w:bidi w:val="0"/>
        <w:spacing w:lineRule="auto" w:line="333" w:before="240" w:after="283"/>
        <w:ind w:left="0" w:right="0" w:hanging="180"/>
        <w:jc w:val="both"/>
        <w:rPr/>
      </w:pPr>
      <w:r>
        <w:rPr>
          <w:color w:val="151515"/>
        </w:rPr>
        <w:t>•</w:t>
      </w:r>
      <w:r>
        <w:rPr>
          <w:rFonts w:ascii="Times New Roman;serif" w:hAnsi="Times New Roman;serif"/>
          <w:b w:val="false"/>
          <w:color w:val="151515"/>
          <w:sz w:val="20"/>
        </w:rPr>
        <w:t>We redeemed the remaining balance of the Convertible Debenture, resulting in a long term debt-free balance sheet.</w:t>
      </w:r>
    </w:p>
    <w:p>
      <w:pPr>
        <w:pStyle w:val="TextBody"/>
        <w:bidi w:val="0"/>
        <w:spacing w:lineRule="auto" w:line="333" w:before="240" w:after="283"/>
        <w:ind w:left="0" w:right="0" w:firstLine="180"/>
        <w:jc w:val="both"/>
        <w:rPr>
          <w:rFonts w:ascii="Times New Roman;serif" w:hAnsi="Times New Roman;serif"/>
          <w:b/>
          <w:color w:val="000000"/>
          <w:sz w:val="20"/>
        </w:rPr>
      </w:pPr>
      <w:r>
        <w:rPr>
          <w:rFonts w:ascii="Times New Roman;serif" w:hAnsi="Times New Roman;serif"/>
          <w:b/>
          <w:color w:val="000000"/>
          <w:sz w:val="20"/>
        </w:rPr>
        <w:t>Crypto Market Developments</w:t>
      </w:r>
    </w:p>
    <w:p>
      <w:pPr>
        <w:pStyle w:val="TextBody"/>
        <w:bidi w:val="0"/>
        <w:spacing w:lineRule="auto" w:line="333" w:before="240" w:after="283"/>
        <w:ind w:left="0" w:right="0" w:firstLine="720"/>
        <w:jc w:val="both"/>
        <w:rPr>
          <w:rFonts w:ascii="Times New Roman;serif" w:hAnsi="Times New Roman;serif"/>
          <w:b w:val="false"/>
          <w:color w:val="151515"/>
          <w:sz w:val="20"/>
        </w:rPr>
      </w:pPr>
      <w:r>
        <w:rPr>
          <w:rFonts w:ascii="Times New Roman;serif" w:hAnsi="Times New Roman;serif"/>
          <w:b w:val="false"/>
          <w:color w:val="151515"/>
          <w:sz w:val="20"/>
        </w:rPr>
        <w:t>The U.S. cryptocurrency market has undergone a significant transformation, driven by a maturing regulatory environment, increased institutional participation, and sustained retail adoption. This positive momentum creates a favorable backdrop for Bakkt's continued growth. Key market drivers include:</w:t>
      </w:r>
    </w:p>
    <w:p>
      <w:pPr>
        <w:pStyle w:val="TextBody"/>
        <w:bidi w:val="0"/>
        <w:spacing w:before="0" w:after="0"/>
        <w:ind w:left="0" w:right="0" w:firstLine="720"/>
        <w:jc w:val="both"/>
        <w:rPr/>
      </w:pPr>
      <w:r>
        <w:rPr/>
      </w:r>
    </w:p>
    <w:p>
      <w:pPr>
        <w:pStyle w:val="TextBody"/>
        <w:bidi w:val="0"/>
        <w:spacing w:lineRule="auto" w:line="333" w:before="0" w:after="0"/>
        <w:ind w:left="0" w:right="0" w:hanging="180"/>
        <w:jc w:val="both"/>
        <w:rPr/>
      </w:pPr>
      <w:r>
        <w:rPr>
          <w:color w:val="151515"/>
        </w:rPr>
        <w:t>•</w:t>
      </w:r>
      <w:r>
        <w:rPr>
          <w:rFonts w:ascii="Times New Roman;serif" w:hAnsi="Times New Roman;serif"/>
          <w:b/>
          <w:color w:val="000000"/>
          <w:sz w:val="20"/>
        </w:rPr>
        <w:t>Political Shift and Pro-Innovation Policy:</w:t>
      </w:r>
      <w:r>
        <w:rPr>
          <w:color w:val="000000"/>
        </w:rPr>
        <w:t xml:space="preserve"> </w:t>
      </w:r>
      <w:r>
        <w:rPr>
          <w:rFonts w:ascii="Times New Roman;serif" w:hAnsi="Times New Roman;serif"/>
          <w:b w:val="false"/>
          <w:color w:val="000000"/>
          <w:sz w:val="20"/>
        </w:rPr>
        <w:t xml:space="preserve">The current political climate is increasingly supportive of digital assets. Recent actions, including the establishment of a Strategic Bitcoin Reserve and the signing of the </w:t>
      </w:r>
      <w:r>
        <w:rPr>
          <w:rFonts w:ascii="Times New Roman;serif" w:hAnsi="Times New Roman;serif"/>
          <w:b/>
          <w:color w:val="000000"/>
          <w:sz w:val="20"/>
        </w:rPr>
        <w:t>GENIUS Act</w:t>
      </w:r>
      <w:r>
        <w:rPr>
          <w:rFonts w:ascii="Times New Roman;serif" w:hAnsi="Times New Roman;serif"/>
          <w:b w:val="false"/>
          <w:color w:val="000000"/>
          <w:sz w:val="20"/>
        </w:rPr>
        <w:t xml:space="preserve">, signal a commitment to positioning the U.S. as a global leader in blockchain innovation. The bipartisan push for the </w:t>
      </w:r>
      <w:r>
        <w:rPr>
          <w:rFonts w:ascii="Times New Roman;serif" w:hAnsi="Times New Roman;serif"/>
          <w:b/>
          <w:color w:val="000000"/>
          <w:sz w:val="20"/>
        </w:rPr>
        <w:t>Blockchain Regulatory Certainty Act</w:t>
      </w:r>
      <w:r>
        <w:rPr>
          <w:color w:val="000000"/>
        </w:rPr>
        <w:t xml:space="preserve"> </w:t>
      </w:r>
      <w:r>
        <w:rPr>
          <w:rFonts w:ascii="Times New Roman;serif" w:hAnsi="Times New Roman;serif"/>
          <w:b w:val="false"/>
          <w:color w:val="000000"/>
          <w:sz w:val="20"/>
        </w:rPr>
        <w:t>(often referred to as the 'Clarity Act') also aims to provide clear rules for non-custodial service providers, fostering a more stable environment for developers.</w:t>
      </w:r>
    </w:p>
    <w:p>
      <w:pPr>
        <w:pStyle w:val="TextBody"/>
        <w:bidi w:val="0"/>
        <w:spacing w:lineRule="auto" w:line="333" w:before="0" w:after="0"/>
        <w:ind w:left="0" w:right="0" w:hanging="360"/>
        <w:jc w:val="both"/>
        <w:rPr/>
      </w:pPr>
      <w:r>
        <w:rPr>
          <w:color w:val="000000"/>
        </w:rPr>
        <w:t>•</w:t>
      </w:r>
      <w:r>
        <w:rPr>
          <w:rFonts w:ascii="Times New Roman;serif" w:hAnsi="Times New Roman;serif"/>
          <w:b/>
          <w:color w:val="000000"/>
          <w:sz w:val="20"/>
        </w:rPr>
        <w:t>Legislative Progress:</w:t>
      </w:r>
      <w:r>
        <w:rPr>
          <w:color w:val="000000"/>
        </w:rPr>
        <w:t xml:space="preserve"> </w:t>
      </w:r>
      <w:r>
        <w:rPr>
          <w:rFonts w:ascii="Times New Roman;serif" w:hAnsi="Times New Roman;serif"/>
          <w:b w:val="false"/>
          <w:color w:val="000000"/>
          <w:sz w:val="20"/>
        </w:rPr>
        <w:t xml:space="preserve">The newly enacted </w:t>
      </w:r>
      <w:r>
        <w:rPr>
          <w:rFonts w:ascii="Times New Roman;serif" w:hAnsi="Times New Roman;serif"/>
          <w:b/>
          <w:color w:val="000000"/>
          <w:sz w:val="20"/>
        </w:rPr>
        <w:t>GENIUS Act</w:t>
      </w:r>
      <w:r>
        <w:rPr>
          <w:color w:val="000000"/>
        </w:rPr>
        <w:t xml:space="preserve"> </w:t>
      </w:r>
      <w:r>
        <w:rPr>
          <w:rFonts w:ascii="Times New Roman;serif" w:hAnsi="Times New Roman;serif"/>
          <w:b w:val="false"/>
          <w:color w:val="000000"/>
          <w:sz w:val="20"/>
        </w:rPr>
        <w:t>is a landmark piece of legislation that provides a comprehensive regulatory framework for stablecoins. By mandating full reserve backing and defining stablecoins as a distinct asset class (not a security or commodity), the Act enhances consumer protection and provides the regulatory certainty needed to unlock significant growth in this sector.</w:t>
      </w:r>
    </w:p>
    <w:p>
      <w:pPr>
        <w:pStyle w:val="TextBody"/>
        <w:bidi w:val="0"/>
        <w:spacing w:lineRule="auto" w:line="333" w:before="0" w:after="0"/>
        <w:ind w:left="0" w:right="0" w:hanging="360"/>
        <w:jc w:val="both"/>
        <w:rPr/>
      </w:pPr>
      <w:r>
        <w:rPr>
          <w:color w:val="000000"/>
        </w:rPr>
        <w:t>•</w:t>
      </w:r>
      <w:r>
        <w:rPr>
          <w:rFonts w:ascii="Times New Roman;serif" w:hAnsi="Times New Roman;serif"/>
          <w:b/>
          <w:color w:val="000000"/>
          <w:sz w:val="20"/>
        </w:rPr>
        <w:t>Broadening Adoption:</w:t>
      </w:r>
      <w:r>
        <w:rPr>
          <w:color w:val="000000"/>
        </w:rPr>
        <w:t xml:space="preserve"> </w:t>
      </w:r>
      <w:r>
        <w:rPr>
          <w:rFonts w:ascii="Times New Roman;serif" w:hAnsi="Times New Roman;serif"/>
          <w:b w:val="false"/>
          <w:color w:val="000000"/>
          <w:sz w:val="20"/>
        </w:rPr>
        <w:t>The market continues to see robust adoption. According to the 2025 "Security.org" report, approximately 28% of U.S. adults now own cryptocurrency, a figure that has nearly doubled since 2021. This demonstrates growing public confidence and a lasting shift in consumer behavior.</w:t>
      </w: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Recent Developments</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Up-C Collapse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On November 3, 2025, we completed an internal reorganization to streamline our corporate structure by eliminating the Company’s umbrella partnership-C corporation (“Up-C”) structure (the “Reorganization”).</w:t>
      </w:r>
      <w:r>
        <w:rPr>
          <w:color w:val="000000"/>
        </w:rPr>
        <w:t xml:space="preserve"> </w:t>
      </w:r>
      <w:r>
        <w:rPr>
          <w:rFonts w:ascii="Times New Roman;serif" w:hAnsi="Times New Roman;serif"/>
          <w:b w:val="false"/>
          <w:color w:val="000000"/>
          <w:sz w:val="20"/>
        </w:rPr>
        <w:t xml:space="preserve">As part of the Reorganization, NewCo replaced the Company as a listed holding company. In connection with the Reorganization, (i) holders of shares of Class A Common Stock ceased to hold such shares and received an equivalent number of shares of NewCo Class A Common Stock that have the same voting and economic rights as Class A Common Stock, (ii) holders of shares of Class V Common Stock ceased to hold such shares and received an equivalent number of shares of of NewCo Class V Common Stock that have the same voting and economic rights as the Bakkt Class V Common Stock, (iii) holders of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ceased to 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the right to receive a corresponding number of validly issued, fully paid and nonassessable share of NewCo Class A Common Stock.</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Amendment to Tax Receivable Agreement &amp; Contribution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we, ICE and Mr. Naheta entered into the TRA Amendment as well as the Contribution Agreement. Pursuant to the TRA Amendment and the Contribution Agreement, ICE and Mr. Naheta agreed that they would, at closing, (i) contribute their rights under the TRA to NewCo in exchange for a cash payment from NewCo equal to the respective amount to which ICE and Mr. Naheta would otherwise be entitled under the TRA (as amended), (ii) Mr. Naheta would further contribute such cash payable to Mr. Naheta to NewCo in exchange for shares of NewCo Class A Common Stock, and (iii) ICE would further contribute such cash payable to ICE to NewCo in exchange for shares of NewCo Preferred Stock, each convertible into one share of NewCo Class A Common Stock (such conversion being conditional upon the expiry or termination of the waiting period (and any extension thereof, including pursuant to any timing agreement) applicable to it under the HSR Act), and further agreed that the respective obligations of ICE and Mr. Naheta, on the one hand, and NewCo, on the other hand, to transfer the foregoing cash amounts will be net-settled and offset against one another. In addition, the TRA Amendment sets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Loyalty Business Sale Closing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2025, we completed the sale of the Loyalty Business to Project Labrador Holdco, LLC. At the Closing, Opco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Opco also placed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deposited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shall pay to Opco the difference between the value of working capital delivered to the Purchaser at the Closing and such greatest absolute value. In addition, at the Closing, approximately $5,000,000 in restricted cash was loaned to the Purchaser by Opco pursuant to the Purchase Agreement and unsecured subordinated promissory notes to support obligations under certain agreements of the Acquired Entities. Such notes are expected to be repaid by the Purchaser when such cash is no longer restricted.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 Awards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on July 29, 2025, the Board and its Compensation Committee granted the Options to select members of management, subject to approval by the Company’s shareholders, which approval was obtained on October 31,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Options are structured as a commitment by the grantee to exercise a predetermined number of Options every quarter for eight quarters (i.e., the Mandatory Exercise Options) at an exercise price per share equal to $10.00, which reflects the fair market value of a share of Class A Common Stock on the date of the grant. For each quarter in which the grantee exercises the Mandatory Exercise Options, the grantee will be entitled to exercise an additional number of Options (i.e., the Optional Exercise Options), which Optional Exercise Options will become exercisable for a period of up to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In order to further facilitate management’s continued participation and investment in Company growth, in the event that any Options are forfeited by a grantee in accordance with the forfeiture terms set forth above, the Options will be available for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Key Factors Affecting Our Performance</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Growing Our Client Base</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Our ability to increase revenue is dependent upon the successful growth of our client base on the platform. We collaborate with leading brands and have built an extensive network across numerous industries including financial institutions, merchants and travel and entertainment. To date, management has focused on client acquisition primarily through a business-to-business-to-consumer ("B2B2C") model. Our goal is to provide these clients with opportunities to leverage our capabilities either through their existing environment or by leveraging our platform. Our acquisition of Bakkt Crypto Solutions complements our B2B2C growth strategy by broadening our business partnerships to fintechs and neobanks. </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Product Expansion and Innovation</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The crypto marketplace is rapidly evolving. The continued attractiveness of our platform to clients is contingent upon the sustained ability to innovate and expand product offerings. Meeting the evolving technological demands and capabilities required by the client base is critical for realizing continued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Competition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on a single, highly secure, institutional-grade technology platform.</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General Economic and Market Conditions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See </w:t>
      </w:r>
      <w:r>
        <w:rPr>
          <w:rFonts w:ascii="Times New Roman;serif" w:hAnsi="Times New Roman;serif"/>
          <w:b w:val="false"/>
          <w:i/>
          <w:color w:val="231F20"/>
          <w:sz w:val="20"/>
        </w:rPr>
        <w:t>"Crypto Market Developments"</w:t>
      </w:r>
      <w:r>
        <w:rPr>
          <w:color w:val="231F20"/>
        </w:rPr>
        <w:t xml:space="preserve"> </w:t>
      </w:r>
      <w:r>
        <w:rPr>
          <w:rFonts w:ascii="Times New Roman;serif" w:hAnsi="Times New Roman;serif"/>
          <w:b w:val="false"/>
          <w:color w:val="231F20"/>
          <w:sz w:val="20"/>
        </w:rPr>
        <w:t>above</w:t>
      </w:r>
      <w:r>
        <w:rPr>
          <w:rFonts w:ascii="Times New Roman;serif" w:hAnsi="Times New Roman;serif"/>
          <w:b w:val="false"/>
          <w:i/>
          <w:color w:val="231F20"/>
          <w:sz w:val="20"/>
        </w:rPr>
        <w:t>.</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Regulations in U.S. &amp; International Markets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We are seeking to bring trust and transparency to </w:t>
      </w:r>
      <w:r>
        <w:rPr>
          <w:rFonts w:ascii="Times New Roman;serif" w:hAnsi="Times New Roman;serif"/>
          <w:b w:val="false"/>
          <w:color w:val="000000"/>
          <w:sz w:val="20"/>
        </w:rPr>
        <w:t>crypto</w:t>
      </w:r>
      <w:r>
        <w:rPr>
          <w:rFonts w:ascii="Times New Roman;serif" w:hAnsi="Times New Roman;serif"/>
          <w:b w:val="false"/>
          <w:color w:val="231F20"/>
          <w:sz w:val="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As investment continues, the intersection of technology and finance will require ongoing engagement as new applications emerge. Crypto asset and distributed ledger technology have significant, positive potential with proper collaboration between industry and regulators. </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Cryptocurrency Held on Platform</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held cryptocurrency in custodial products on its platform for client customers totaling $1,427.1 million at fair value as of September 30, 2025. In accordance with the SEC Staff Accounting Bulletin No. 122, these assets are not recorded in the Company’s consolidated balance sheets. Similarly, as the Company has an obligation to securely store cryptocurrency on its platform, it had a corresponding unrecorded liability of $1,427.1 million as of September 30, 2025. Since the risk of loss related to the obligation to safeguard crypto assets for users of its platform is remote, the Company did not record a liability for such risk of loss as of September 30, 2025 and December 31, 2024 in the Company’s consolidated balance sheets.</w:t>
      </w:r>
    </w:p>
    <w:p>
      <w:pPr>
        <w:pStyle w:val="TextBody"/>
        <w:bidi w:val="0"/>
        <w:spacing w:lineRule="auto" w:line="333" w:before="240" w:after="283"/>
        <w:jc w:val="both"/>
        <w:rPr>
          <w:rFonts w:ascii="Times New Roman;serif" w:hAnsi="Times New Roman;serif"/>
          <w:b/>
          <w:color w:val="0C0C0C"/>
          <w:sz w:val="20"/>
        </w:rPr>
      </w:pPr>
      <w:r>
        <w:rPr>
          <w:rFonts w:ascii="Times New Roman;serif" w:hAnsi="Times New Roman;serif"/>
          <w:b/>
          <w:color w:val="0C0C0C"/>
          <w:sz w:val="20"/>
        </w:rPr>
        <w:t>Key Performance Indicators</w:t>
      </w:r>
    </w:p>
    <w:p>
      <w:pPr>
        <w:pStyle w:val="TextBody"/>
        <w:bidi w:val="0"/>
        <w:spacing w:lineRule="auto" w:line="333" w:before="240" w:after="283"/>
        <w:ind w:left="0" w:right="0" w:firstLine="720"/>
        <w:jc w:val="both"/>
        <w:rPr>
          <w:rFonts w:ascii="Times New Roman;serif" w:hAnsi="Times New Roman;serif"/>
          <w:b w:val="false"/>
          <w:color w:val="0C0C0C"/>
          <w:sz w:val="20"/>
        </w:rPr>
      </w:pPr>
      <w:r>
        <w:rPr>
          <w:rFonts w:ascii="Times New Roman;serif" w:hAnsi="Times New Roman;serif"/>
          <w:b w:val="false"/>
          <w:color w:val="0C0C0C"/>
          <w:sz w:val="20"/>
        </w:rPr>
        <w:t xml:space="preserve">We are in the process of updating our key performance indicators (“KPIs”) to reflect the strategic direction of our crypto business and sale of the loyalty business. </w:t>
      </w:r>
    </w:p>
    <w:p>
      <w:pPr>
        <w:pStyle w:val="TextBody"/>
        <w:bidi w:val="0"/>
        <w:spacing w:lineRule="auto" w:line="333" w:before="240" w:after="283"/>
        <w:ind w:left="0" w:right="0" w:hanging="360"/>
        <w:jc w:val="both"/>
        <w:rPr/>
      </w:pPr>
      <w:r>
        <w:rPr>
          <w:color w:val="0C0C0C"/>
        </w:rPr>
        <w:t>•</w:t>
      </w:r>
      <w:r>
        <w:rPr>
          <w:rFonts w:ascii="Times New Roman;serif" w:hAnsi="Times New Roman;serif"/>
          <w:b/>
          <w:i/>
          <w:color w:val="000000"/>
          <w:sz w:val="20"/>
        </w:rPr>
        <w:t>Notional traded volume.</w:t>
      </w:r>
      <w:r>
        <w:rPr>
          <w:color w:val="000000"/>
        </w:rPr>
        <w:t xml:space="preserve"> </w:t>
      </w:r>
      <w:r>
        <w:rPr>
          <w:rFonts w:ascii="Times New Roman;serif" w:hAnsi="Times New Roman;serif"/>
          <w:b w:val="false"/>
          <w:color w:val="0C0C0C"/>
          <w:sz w:val="20"/>
        </w:rPr>
        <w:t xml:space="preserve">We define notional traded volume as the total notional volume of crypto transactions. The figures we use represent gross values recorded as of the order date. Notional traded volumes were $400.3 million and $2,025.3 million during the </w:t>
      </w:r>
      <w:r>
        <w:rPr>
          <w:rFonts w:ascii="Times New Roman;serif" w:hAnsi="Times New Roman;serif"/>
          <w:b w:val="false"/>
          <w:color w:val="000000"/>
          <w:sz w:val="20"/>
        </w:rPr>
        <w:t>three and nine months ending September 30, 2025, respectively</w:t>
      </w:r>
      <w:r>
        <w:rPr>
          <w:rFonts w:ascii="Times New Roman;serif" w:hAnsi="Times New Roman;serif"/>
          <w:b w:val="false"/>
          <w:color w:val="0C0C0C"/>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hanging="360"/>
        <w:jc w:val="both"/>
        <w:rPr/>
      </w:pPr>
      <w:r>
        <w:rPr>
          <w:color w:val="0C0C0C"/>
        </w:rPr>
        <w:t>•</w:t>
      </w:r>
      <w:r>
        <w:rPr>
          <w:rFonts w:ascii="Times New Roman;serif" w:hAnsi="Times New Roman;serif"/>
          <w:b/>
          <w:i/>
          <w:color w:val="000000"/>
          <w:sz w:val="20"/>
        </w:rPr>
        <w:t>Assets under custody.</w:t>
      </w:r>
      <w:r>
        <w:rPr>
          <w:color w:val="000000"/>
        </w:rPr>
        <w:t xml:space="preserve"> </w:t>
      </w:r>
      <w:r>
        <w:rPr>
          <w:rFonts w:ascii="Times New Roman;serif" w:hAnsi="Times New Roman;serif"/>
          <w:b w:val="false"/>
          <w:color w:val="0C0C0C"/>
          <w:sz w:val="20"/>
        </w:rPr>
        <w:t xml:space="preserve">We define assets under custody as the sum of coin quantities held by customers multiplied by the final quote for each coin on the last day of the period. Assets under custody were $1,427.1 and $2,301.9 million </w:t>
      </w:r>
      <w:r>
        <w:rPr>
          <w:rFonts w:ascii="Times New Roman;serif" w:hAnsi="Times New Roman;serif"/>
          <w:b w:val="false"/>
          <w:color w:val="000000"/>
          <w:sz w:val="20"/>
        </w:rPr>
        <w:t>as of September 30, 2025 and December 31, 2024, respectively.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evolve our KPIs in future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40" w:after="240"/>
        <w:ind w:left="0" w:right="0" w:firstLine="720"/>
        <w:jc w:val="both"/>
        <w:rPr/>
      </w:pPr>
      <w:r>
        <w:rPr>
          <w:rFonts w:ascii="Times New Roman;serif" w:hAnsi="Times New Roman;serif"/>
          <w:b w:val="false"/>
          <w:color w:val="231F20"/>
          <w:sz w:val="20"/>
        </w:rPr>
        <w:t xml:space="preserve">The following table is our consolidated statements of operations </w:t>
      </w:r>
      <w:r>
        <w:rPr>
          <w:rFonts w:ascii="Times New Roman;serif" w:hAnsi="Times New Roman;serif"/>
          <w:b w:val="false"/>
          <w:color w:val="000000"/>
          <w:sz w:val="20"/>
        </w:rPr>
        <w:t xml:space="preserve">for the three and nine months ended September 30, 2025 and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 respectively</w:t>
      </w:r>
      <w:r>
        <w:rPr>
          <w:color w:val="231F20"/>
        </w:rPr>
        <w:t xml:space="preserve"> </w:t>
      </w:r>
      <w:r>
        <w:rPr>
          <w:rFonts w:ascii="Times New Roman;serif" w:hAnsi="Times New Roman;serif"/>
          <w:b w:val="false"/>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1198"/>
        <w:gridCol w:w="877"/>
        <w:gridCol w:w="882"/>
        <w:gridCol w:w="109"/>
        <w:gridCol w:w="109"/>
        <w:gridCol w:w="109"/>
        <w:gridCol w:w="277"/>
        <w:gridCol w:w="1042"/>
        <w:gridCol w:w="153"/>
        <w:gridCol w:w="109"/>
        <w:gridCol w:w="109"/>
        <w:gridCol w:w="109"/>
        <w:gridCol w:w="277"/>
        <w:gridCol w:w="1042"/>
        <w:gridCol w:w="153"/>
        <w:gridCol w:w="109"/>
        <w:gridCol w:w="109"/>
        <w:gridCol w:w="109"/>
        <w:gridCol w:w="245"/>
        <w:gridCol w:w="1090"/>
        <w:gridCol w:w="136"/>
        <w:gridCol w:w="109"/>
        <w:gridCol w:w="109"/>
        <w:gridCol w:w="109"/>
        <w:gridCol w:w="243"/>
        <w:gridCol w:w="1083"/>
        <w:gridCol w:w="199"/>
      </w:tblGrid>
      <w:tr>
        <w:trPr/>
        <w:tc>
          <w:tcPr>
            <w:tcW w:w="11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 2024</w:t>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2,036,070 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1,654,814 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2,012,524 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communication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427,474 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341,470 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2,092,889 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1,727,407 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(54,671)</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Three Months Ended September 30, 2025 compared to Three Months Ended September 30, 2024</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Financial Summary</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three months ended September 30, 2025 included the following notable items relative to the three months ended September 30, 2024:</w:t>
      </w:r>
    </w:p>
    <w:p>
      <w:pPr>
        <w:pStyle w:val="TextBody"/>
        <w:bidi w:val="0"/>
        <w:spacing w:lineRule="auto" w:line="333" w:before="240" w:after="283"/>
        <w:ind w:left="0" w:right="0" w:hanging="360"/>
        <w:jc w:val="both"/>
        <w:rPr/>
      </w:pPr>
      <w:r>
        <w:rPr>
          <w:color w:val="231F20"/>
        </w:rPr>
        <w:t>•</w:t>
      </w:r>
      <w:r>
        <w:rPr>
          <w:rFonts w:ascii="Times New Roman;serif" w:hAnsi="Times New Roman;serif"/>
          <w:b w:val="false"/>
          <w:color w:val="231F20"/>
          <w:sz w:val="20"/>
        </w:rPr>
        <w:t xml:space="preserve">Revenue increased </w:t>
      </w:r>
      <w:r>
        <w:rPr>
          <w:rFonts w:ascii="Times New Roman;serif" w:hAnsi="Times New Roman;serif"/>
          <w:b w:val="false"/>
          <w:color w:val="000000"/>
          <w:sz w:val="20"/>
        </w:rPr>
        <w:t>$85.9 million</w:t>
      </w:r>
      <w:r>
        <w:rPr>
          <w:color w:val="231F20"/>
        </w:rPr>
        <w:t xml:space="preserve"> </w:t>
      </w:r>
      <w:r>
        <w:rPr>
          <w:rFonts w:ascii="Times New Roman;serif" w:hAnsi="Times New Roman;serif"/>
          <w:b w:val="false"/>
          <w:color w:val="231F20"/>
          <w:sz w:val="20"/>
        </w:rPr>
        <w:t xml:space="preserve">primarily driven by an increase in crypto trading volume compared to the prior year </w:t>
      </w:r>
      <w:r>
        <w:rPr>
          <w:rFonts w:ascii="Times New Roman;serif" w:hAnsi="Times New Roman;serif"/>
          <w:b w:val="false"/>
          <w:color w:val="000000"/>
          <w:sz w:val="20"/>
        </w:rPr>
        <w:t>third</w:t>
      </w:r>
      <w:r>
        <w:rPr>
          <w:color w:val="231F20"/>
        </w:rPr>
        <w:t xml:space="preserve"> </w:t>
      </w:r>
      <w:r>
        <w:rPr>
          <w:rFonts w:ascii="Times New Roman;serif" w:hAnsi="Times New Roman;serif"/>
          <w:b w:val="false"/>
          <w:color w:val="231F20"/>
          <w:sz w:val="20"/>
        </w:rPr>
        <w:t>quarter; and</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231F20"/>
          <w:sz w:val="20"/>
        </w:rPr>
        <w:t xml:space="preserve">Operating expenses increased </w:t>
      </w:r>
      <w:r>
        <w:rPr>
          <w:rFonts w:ascii="Times New Roman;serif" w:hAnsi="Times New Roman;serif"/>
          <w:b w:val="false"/>
          <w:color w:val="000000"/>
          <w:sz w:val="20"/>
        </w:rPr>
        <w:t>$86.0 million</w:t>
      </w:r>
      <w:r>
        <w:rPr>
          <w:color w:val="231F20"/>
        </w:rPr>
        <w:t xml:space="preserve"> </w:t>
      </w:r>
      <w:r>
        <w:rPr>
          <w:rFonts w:ascii="Times New Roman;serif" w:hAnsi="Times New Roman;serif"/>
          <w:b w:val="false"/>
          <w:color w:val="231F20"/>
          <w:sz w:val="20"/>
        </w:rPr>
        <w:t>primarily driven by higher crypto trading costs in connection with higher crypto trading volume compared to the prior year third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Revenue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consist of crypto revenue. We earn revenue when consumers use our services to buy, sell, and store crypto. Substantially all of our crypto services revenue transaction revenue from crypto buy/sell trades where we earn a spread on both legs of the transaction (reported gross).</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Crypto Services Revenue</w:t>
      </w:r>
    </w:p>
    <w:tbl>
      <w:tblPr>
        <w:tblW w:w="10205" w:type="dxa"/>
        <w:jc w:val="left"/>
        <w:tblInd w:w="0" w:type="dxa"/>
        <w:tblLayout w:type="fixed"/>
        <w:tblCellMar>
          <w:top w:w="28" w:type="dxa"/>
          <w:left w:w="28" w:type="dxa"/>
          <w:bottom w:w="28" w:type="dxa"/>
          <w:right w:w="28" w:type="dxa"/>
        </w:tblCellMar>
      </w:tblPr>
      <w:tblGrid>
        <w:gridCol w:w="472"/>
        <w:gridCol w:w="415"/>
        <w:gridCol w:w="416"/>
        <w:gridCol w:w="533"/>
        <w:gridCol w:w="2089"/>
        <w:gridCol w:w="275"/>
        <w:gridCol w:w="109"/>
        <w:gridCol w:w="109"/>
        <w:gridCol w:w="109"/>
        <w:gridCol w:w="533"/>
        <w:gridCol w:w="2089"/>
        <w:gridCol w:w="275"/>
        <w:gridCol w:w="109"/>
        <w:gridCol w:w="109"/>
        <w:gridCol w:w="109"/>
        <w:gridCol w:w="211"/>
        <w:gridCol w:w="721"/>
        <w:gridCol w:w="109"/>
        <w:gridCol w:w="109"/>
        <w:gridCol w:w="109"/>
        <w:gridCol w:w="109"/>
        <w:gridCol w:w="233"/>
        <w:gridCol w:w="233"/>
        <w:gridCol w:w="620"/>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services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402,211 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316,333 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services revenue increased by </w:t>
      </w:r>
      <w:r>
        <w:rPr>
          <w:rFonts w:ascii="Times New Roman;serif" w:hAnsi="Times New Roman;serif"/>
          <w:b w:val="false"/>
          <w:color w:val="000000"/>
          <w:sz w:val="20"/>
        </w:rPr>
        <w:t>$85.9 million, or 27.1%,</w:t>
      </w:r>
      <w:r>
        <w:rPr>
          <w:color w:val="231F20"/>
        </w:rPr>
        <w:t xml:space="preserve"> </w:t>
      </w:r>
      <w:r>
        <w:rPr>
          <w:rFonts w:ascii="Times New Roman;serif" w:hAnsi="Times New Roman;serif"/>
          <w:b w:val="false"/>
          <w:color w:val="231F20"/>
          <w:sz w:val="20"/>
        </w:rPr>
        <w:t xml:space="preserve">for the three months ended September 30, 2025 compared to the three months ended September 30, 2024. The increase was primarily driven by improved market trading volume for crypto as compared to the prior year </w:t>
      </w:r>
      <w:r>
        <w:rPr>
          <w:rFonts w:ascii="Times New Roman;serif" w:hAnsi="Times New Roman;serif"/>
          <w:b w:val="false"/>
          <w:color w:val="000000"/>
          <w:sz w:val="20"/>
        </w:rPr>
        <w:t>third</w:t>
      </w:r>
      <w:r>
        <w:rPr>
          <w:color w:val="231F20"/>
        </w:rPr>
        <w:t xml:space="preserve"> </w:t>
      </w:r>
      <w:r>
        <w:rPr>
          <w:rFonts w:ascii="Times New Roman;serif" w:hAnsi="Times New Roman;serif"/>
          <w:b w:val="false"/>
          <w:color w:val="231F20"/>
          <w:sz w:val="20"/>
        </w:rPr>
        <w:t>quarter.</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Crypto Costs</w:t>
      </w:r>
    </w:p>
    <w:tbl>
      <w:tblPr>
        <w:tblW w:w="10205" w:type="dxa"/>
        <w:jc w:val="left"/>
        <w:tblInd w:w="0" w:type="dxa"/>
        <w:tblLayout w:type="fixed"/>
        <w:tblCellMar>
          <w:top w:w="28" w:type="dxa"/>
          <w:left w:w="28" w:type="dxa"/>
          <w:bottom w:w="28" w:type="dxa"/>
          <w:right w:w="28" w:type="dxa"/>
        </w:tblCellMar>
      </w:tblPr>
      <w:tblGrid>
        <w:gridCol w:w="472"/>
        <w:gridCol w:w="415"/>
        <w:gridCol w:w="416"/>
        <w:gridCol w:w="533"/>
        <w:gridCol w:w="2089"/>
        <w:gridCol w:w="275"/>
        <w:gridCol w:w="109"/>
        <w:gridCol w:w="109"/>
        <w:gridCol w:w="109"/>
        <w:gridCol w:w="533"/>
        <w:gridCol w:w="2089"/>
        <w:gridCol w:w="275"/>
        <w:gridCol w:w="109"/>
        <w:gridCol w:w="109"/>
        <w:gridCol w:w="109"/>
        <w:gridCol w:w="211"/>
        <w:gridCol w:w="721"/>
        <w:gridCol w:w="109"/>
        <w:gridCol w:w="109"/>
        <w:gridCol w:w="109"/>
        <w:gridCol w:w="109"/>
        <w:gridCol w:w="233"/>
        <w:gridCol w:w="233"/>
        <w:gridCol w:w="620"/>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costs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396,815 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312,841 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costs represent the gross value of crypto sold by our customers on our platform. These costs are measured at the executed price at the time of the trade. Crypto costs increased by </w:t>
      </w:r>
      <w:r>
        <w:rPr>
          <w:rFonts w:ascii="Times New Roman;serif" w:hAnsi="Times New Roman;serif"/>
          <w:b w:val="false"/>
          <w:color w:val="000000"/>
          <w:sz w:val="20"/>
        </w:rPr>
        <w:t>$84.0 million</w:t>
      </w:r>
      <w:r>
        <w:rPr>
          <w:rFonts w:ascii="Times New Roman;serif" w:hAnsi="Times New Roman;serif"/>
          <w:b w:val="false"/>
          <w:color w:val="231F20"/>
          <w:sz w:val="20"/>
        </w:rPr>
        <w:t xml:space="preserve">, or </w:t>
      </w:r>
      <w:r>
        <w:rPr>
          <w:rFonts w:ascii="Times New Roman;serif" w:hAnsi="Times New Roman;serif"/>
          <w:b w:val="false"/>
          <w:color w:val="000000"/>
          <w:sz w:val="20"/>
        </w:rPr>
        <w:t>26.8%,</w:t>
      </w:r>
      <w:r>
        <w:rPr>
          <w:color w:val="231F20"/>
        </w:rPr>
        <w:t xml:space="preserve"> </w:t>
      </w:r>
      <w:r>
        <w:rPr>
          <w:rFonts w:ascii="Times New Roman;serif" w:hAnsi="Times New Roman;serif"/>
          <w:b w:val="false"/>
          <w:color w:val="231F20"/>
          <w:sz w:val="20"/>
        </w:rPr>
        <w:t>for the three months ended September 30, 2025 compared to the three months ended September 30, 2024</w:t>
      </w:r>
      <w:r>
        <w:rPr>
          <w:rFonts w:ascii="Times New Roman;serif" w:hAnsi="Times New Roman;serif"/>
          <w:b w:val="false"/>
          <w:color w:val="231F20"/>
          <w:sz w:val="20"/>
          <w:shd w:fill="FFFFFF" w:val="clear"/>
        </w:rPr>
        <w:t>.</w:t>
      </w:r>
      <w:r>
        <w:rPr>
          <w:color w:val="231F20"/>
        </w:rPr>
        <w:t xml:space="preserve"> </w:t>
      </w:r>
      <w:r>
        <w:rPr>
          <w:rFonts w:ascii="Times New Roman;serif" w:hAnsi="Times New Roman;serif"/>
          <w:b w:val="false"/>
          <w:color w:val="231F20"/>
          <w:sz w:val="20"/>
        </w:rPr>
        <w:t xml:space="preserve">The increase reflects improved crypto market trading relative to the prior year </w:t>
      </w:r>
      <w:r>
        <w:rPr>
          <w:rFonts w:ascii="Times New Roman;serif" w:hAnsi="Times New Roman;serif"/>
          <w:b w:val="false"/>
          <w:color w:val="000000"/>
          <w:sz w:val="20"/>
        </w:rPr>
        <w:t>third</w:t>
      </w:r>
      <w:r>
        <w:rPr>
          <w:color w:val="231F20"/>
        </w:rPr>
        <w:t xml:space="preserve"> </w:t>
      </w:r>
      <w:r>
        <w:rPr>
          <w:rFonts w:ascii="Times New Roman;serif" w:hAnsi="Times New Roman;serif"/>
          <w:b w:val="false"/>
          <w:color w:val="231F20"/>
          <w:sz w:val="20"/>
        </w:rPr>
        <w:t>quarter.</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Execution, Clearing and Brokerage Fees</w:t>
      </w:r>
    </w:p>
    <w:tbl>
      <w:tblPr>
        <w:tblW w:w="10205" w:type="dxa"/>
        <w:jc w:val="left"/>
        <w:tblInd w:w="0" w:type="dxa"/>
        <w:tblLayout w:type="fixed"/>
        <w:tblCellMar>
          <w:top w:w="28" w:type="dxa"/>
          <w:left w:w="28" w:type="dxa"/>
          <w:bottom w:w="28" w:type="dxa"/>
          <w:right w:w="28" w:type="dxa"/>
        </w:tblCellMar>
      </w:tblPr>
      <w:tblGrid>
        <w:gridCol w:w="839"/>
        <w:gridCol w:w="721"/>
        <w:gridCol w:w="723"/>
        <w:gridCol w:w="552"/>
        <w:gridCol w:w="1620"/>
        <w:gridCol w:w="288"/>
        <w:gridCol w:w="109"/>
        <w:gridCol w:w="109"/>
        <w:gridCol w:w="109"/>
        <w:gridCol w:w="552"/>
        <w:gridCol w:w="1620"/>
        <w:gridCol w:w="288"/>
        <w:gridCol w:w="109"/>
        <w:gridCol w:w="109"/>
        <w:gridCol w:w="109"/>
        <w:gridCol w:w="211"/>
        <w:gridCol w:w="616"/>
        <w:gridCol w:w="109"/>
        <w:gridCol w:w="109"/>
        <w:gridCol w:w="109"/>
        <w:gridCol w:w="109"/>
        <w:gridCol w:w="233"/>
        <w:gridCol w:w="233"/>
        <w:gridCol w:w="619"/>
      </w:tblGrid>
      <w:tr>
        <w:trPr/>
        <w:tc>
          <w:tcPr>
            <w:tcW w:w="83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Execution, clearing and brokerage fees</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Execution, clearing and brokerage fees primarily represent payments to clients in exchange for driving order flow to our platform. Execution, clearing and brokerage fees increased by </w:t>
      </w:r>
      <w:r>
        <w:rPr>
          <w:rFonts w:ascii="Times New Roman;serif" w:hAnsi="Times New Roman;serif"/>
          <w:b w:val="false"/>
          <w:color w:val="000000"/>
          <w:sz w:val="20"/>
        </w:rPr>
        <w:t>$1.8 million</w:t>
      </w:r>
      <w:r>
        <w:rPr>
          <w:color w:val="231F20"/>
        </w:rPr>
        <w:t xml:space="preserve"> </w:t>
      </w:r>
      <w:r>
        <w:rPr>
          <w:rFonts w:ascii="Times New Roman;serif" w:hAnsi="Times New Roman;serif"/>
          <w:b w:val="false"/>
          <w:color w:val="231F20"/>
          <w:sz w:val="20"/>
        </w:rPr>
        <w:t>during the three months ended September 30, 2025</w:t>
      </w:r>
      <w:r>
        <w:rPr>
          <w:rFonts w:ascii="Times New Roman;serif" w:hAnsi="Times New Roman;serif"/>
          <w:b w:val="false"/>
          <w:color w:val="231F20"/>
          <w:sz w:val="20"/>
          <w:shd w:fill="FFFFFF" w:val="clear"/>
        </w:rPr>
        <w:t>.</w:t>
      </w:r>
      <w:r>
        <w:rPr>
          <w:color w:val="231F20"/>
        </w:rPr>
        <w:t xml:space="preserve"> </w:t>
      </w:r>
      <w:r>
        <w:rPr>
          <w:rFonts w:ascii="Times New Roman;serif" w:hAnsi="Times New Roman;serif"/>
          <w:b w:val="false"/>
          <w:color w:val="231F20"/>
          <w:sz w:val="20"/>
        </w:rPr>
        <w:t>The increase reflects increased crypto transaction volume as described above.</w:t>
      </w:r>
    </w:p>
    <w:p>
      <w:pPr>
        <w:pStyle w:val="TextBody"/>
        <w:bidi w:val="0"/>
        <w:spacing w:before="0" w:after="0"/>
        <w:jc w:val="both"/>
        <w:rPr/>
      </w:pPr>
      <w:r>
        <w:rPr/>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Compensation and Benefits</w:t>
      </w:r>
    </w:p>
    <w:tbl>
      <w:tblPr>
        <w:tblW w:w="10205" w:type="dxa"/>
        <w:jc w:val="left"/>
        <w:tblInd w:w="0" w:type="dxa"/>
        <w:tblLayout w:type="fixed"/>
        <w:tblCellMar>
          <w:top w:w="28" w:type="dxa"/>
          <w:left w:w="28" w:type="dxa"/>
          <w:bottom w:w="28" w:type="dxa"/>
          <w:right w:w="28" w:type="dxa"/>
        </w:tblCellMar>
      </w:tblPr>
      <w:tblGrid>
        <w:gridCol w:w="719"/>
        <w:gridCol w:w="633"/>
        <w:gridCol w:w="583"/>
        <w:gridCol w:w="579"/>
        <w:gridCol w:w="1697"/>
        <w:gridCol w:w="302"/>
        <w:gridCol w:w="109"/>
        <w:gridCol w:w="109"/>
        <w:gridCol w:w="109"/>
        <w:gridCol w:w="579"/>
        <w:gridCol w:w="1697"/>
        <w:gridCol w:w="302"/>
        <w:gridCol w:w="109"/>
        <w:gridCol w:w="109"/>
        <w:gridCol w:w="109"/>
        <w:gridCol w:w="211"/>
        <w:gridCol w:w="667"/>
        <w:gridCol w:w="109"/>
        <w:gridCol w:w="109"/>
        <w:gridCol w:w="109"/>
        <w:gridCol w:w="109"/>
        <w:gridCol w:w="263"/>
        <w:gridCol w:w="263"/>
        <w:gridCol w:w="620"/>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Compensation and benefits expense include all salaries and benefits, compensation for contract labor, incentive programs for employees, payroll taxes, share-based and unit-based compensation and other employee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restructured our personnel to reduce headcount and adjusted our expense base to better align with our operational priorities and business strategy. </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Compensation and benefits decreased by $1.8 million, or 18.1%, for the three months ended September 30, 2025 compared to the three months ended September 30, 2024. The decrease was primarily due to decreases of $6.2 million in salaries and wages, and bonuses, slightly offset by an increase of $3.9 million in non-cash compensation.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Professional Services</w:t>
      </w:r>
    </w:p>
    <w:tbl>
      <w:tblPr>
        <w:tblW w:w="10205" w:type="dxa"/>
        <w:jc w:val="left"/>
        <w:tblInd w:w="0" w:type="dxa"/>
        <w:tblLayout w:type="fixed"/>
        <w:tblCellMar>
          <w:top w:w="28" w:type="dxa"/>
          <w:left w:w="28" w:type="dxa"/>
          <w:bottom w:w="28" w:type="dxa"/>
          <w:right w:w="28" w:type="dxa"/>
        </w:tblCellMar>
      </w:tblPr>
      <w:tblGrid>
        <w:gridCol w:w="605"/>
        <w:gridCol w:w="492"/>
        <w:gridCol w:w="494"/>
        <w:gridCol w:w="630"/>
        <w:gridCol w:w="1848"/>
        <w:gridCol w:w="329"/>
        <w:gridCol w:w="109"/>
        <w:gridCol w:w="109"/>
        <w:gridCol w:w="109"/>
        <w:gridCol w:w="630"/>
        <w:gridCol w:w="1848"/>
        <w:gridCol w:w="329"/>
        <w:gridCol w:w="109"/>
        <w:gridCol w:w="109"/>
        <w:gridCol w:w="109"/>
        <w:gridCol w:w="211"/>
        <w:gridCol w:w="616"/>
        <w:gridCol w:w="109"/>
        <w:gridCol w:w="109"/>
        <w:gridCol w:w="109"/>
        <w:gridCol w:w="109"/>
        <w:gridCol w:w="233"/>
        <w:gridCol w:w="233"/>
        <w:gridCol w:w="617"/>
      </w:tblGrid>
      <w:tr>
        <w:trPr/>
        <w:tc>
          <w:tcPr>
            <w:tcW w:w="6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Professional services expense includes fees for accounting, legal and regulatory fees. Professional services increased by $2.1 million, or </w:t>
      </w:r>
      <w:r>
        <w:rPr>
          <w:rFonts w:ascii="Times New Roman;serif" w:hAnsi="Times New Roman;serif"/>
          <w:b w:val="false"/>
          <w:color w:val="000000"/>
          <w:sz w:val="20"/>
        </w:rPr>
        <w:t>39.4%</w:t>
      </w:r>
      <w:r>
        <w:rPr>
          <w:rFonts w:ascii="Times New Roman;serif" w:hAnsi="Times New Roman;serif"/>
          <w:b w:val="false"/>
          <w:color w:val="231F20"/>
          <w:sz w:val="20"/>
        </w:rPr>
        <w:t>, for the three months ended September 30, 2025 compared to the three months ended September 30, 2024. The increase was primarily due to an increase in strategic and transformational initiatives and transaction activity during the three months ended September 30, 2025.</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Technology and Communication</w:t>
      </w:r>
    </w:p>
    <w:tbl>
      <w:tblPr>
        <w:tblW w:w="10205" w:type="dxa"/>
        <w:jc w:val="left"/>
        <w:tblInd w:w="0" w:type="dxa"/>
        <w:tblLayout w:type="fixed"/>
        <w:tblCellMar>
          <w:top w:w="28" w:type="dxa"/>
          <w:left w:w="28" w:type="dxa"/>
          <w:bottom w:w="28" w:type="dxa"/>
          <w:right w:w="28" w:type="dxa"/>
        </w:tblCellMar>
      </w:tblPr>
      <w:tblGrid>
        <w:gridCol w:w="808"/>
        <w:gridCol w:w="710"/>
        <w:gridCol w:w="695"/>
        <w:gridCol w:w="569"/>
        <w:gridCol w:w="1669"/>
        <w:gridCol w:w="297"/>
        <w:gridCol w:w="109"/>
        <w:gridCol w:w="109"/>
        <w:gridCol w:w="109"/>
        <w:gridCol w:w="569"/>
        <w:gridCol w:w="1669"/>
        <w:gridCol w:w="297"/>
        <w:gridCol w:w="109"/>
        <w:gridCol w:w="109"/>
        <w:gridCol w:w="109"/>
        <w:gridCol w:w="279"/>
        <w:gridCol w:w="477"/>
        <w:gridCol w:w="145"/>
        <w:gridCol w:w="109"/>
        <w:gridCol w:w="109"/>
        <w:gridCol w:w="109"/>
        <w:gridCol w:w="211"/>
        <w:gridCol w:w="211"/>
        <w:gridCol w:w="618"/>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Technology and communication</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$0.1 million, or 2.4%, for the three months ended September 30, 2025 compared to the three months ended September 30, 2024. The decrease was primarily due to a decrease of $0.4 million in hosting fees, $0.2 million in software license fees, and $0.1 million in telecommunications. We expect these costs to decline in the future as we optimize our operational footprint.</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826"/>
        <w:gridCol w:w="726"/>
        <w:gridCol w:w="663"/>
        <w:gridCol w:w="548"/>
        <w:gridCol w:w="1606"/>
        <w:gridCol w:w="286"/>
        <w:gridCol w:w="109"/>
        <w:gridCol w:w="109"/>
        <w:gridCol w:w="109"/>
        <w:gridCol w:w="548"/>
        <w:gridCol w:w="1606"/>
        <w:gridCol w:w="286"/>
        <w:gridCol w:w="109"/>
        <w:gridCol w:w="109"/>
        <w:gridCol w:w="109"/>
        <w:gridCol w:w="211"/>
        <w:gridCol w:w="664"/>
        <w:gridCol w:w="109"/>
        <w:gridCol w:w="109"/>
        <w:gridCol w:w="109"/>
        <w:gridCol w:w="109"/>
        <w:gridCol w:w="263"/>
        <w:gridCol w:w="263"/>
        <w:gridCol w:w="619"/>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w:t>
      </w:r>
      <w:r>
        <w:rPr>
          <w:color w:val="000000"/>
        </w:rPr>
        <w:t xml:space="preserve"> </w:t>
      </w:r>
      <w:r>
        <w:rPr>
          <w:rFonts w:ascii="Times New Roman;serif" w:hAnsi="Times New Roman;serif"/>
          <w:b w:val="false"/>
          <w:color w:val="231F20"/>
          <w:sz w:val="20"/>
        </w:rPr>
        <w:t xml:space="preserve">campaigns, promotional activities with clients, conferences and user events, and brand-building activities. Selling, general and administrative expenses do not include any headcount cost, which is reflected in "Compensation and benefits" on the consolidated statements of operations. We expect these costs will decrease as a percentage of our revenue in future years as we gain improved operating leverage from our projected revenue growth and exercise prudent expense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Selling, general and administrative costs decreased by $4.6 million, or 59.0%, for the three months ended September 30, 2025 compared to the three months ended September 30, 2024. The decrease was primarily due to a decrease of $1.8 million in general insurance compared the previous year </w:t>
      </w:r>
      <w:r>
        <w:rPr>
          <w:rFonts w:ascii="Times New Roman;serif" w:hAnsi="Times New Roman;serif"/>
          <w:b w:val="false"/>
          <w:color w:val="000000"/>
          <w:sz w:val="20"/>
        </w:rPr>
        <w:t>third</w:t>
      </w:r>
      <w:r>
        <w:rPr>
          <w:color w:val="231F20"/>
        </w:rPr>
        <w:t xml:space="preserve"> </w:t>
      </w:r>
      <w:r>
        <w:rPr>
          <w:rFonts w:ascii="Times New Roman;serif" w:hAnsi="Times New Roman;serif"/>
          <w:b w:val="false"/>
          <w:color w:val="231F20"/>
          <w:sz w:val="20"/>
        </w:rPr>
        <w:t>quarter.</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778"/>
        <w:gridCol w:w="640"/>
        <w:gridCol w:w="629"/>
        <w:gridCol w:w="696"/>
        <w:gridCol w:w="1538"/>
        <w:gridCol w:w="361"/>
        <w:gridCol w:w="109"/>
        <w:gridCol w:w="109"/>
        <w:gridCol w:w="109"/>
        <w:gridCol w:w="696"/>
        <w:gridCol w:w="1538"/>
        <w:gridCol w:w="361"/>
        <w:gridCol w:w="109"/>
        <w:gridCol w:w="109"/>
        <w:gridCol w:w="109"/>
        <w:gridCol w:w="279"/>
        <w:gridCol w:w="477"/>
        <w:gridCol w:w="145"/>
        <w:gridCol w:w="109"/>
        <w:gridCol w:w="109"/>
        <w:gridCol w:w="109"/>
        <w:gridCol w:w="233"/>
        <w:gridCol w:w="233"/>
        <w:gridCol w:w="620"/>
      </w:tblGrid>
      <w:tr>
        <w:trPr/>
        <w:tc>
          <w:tcPr>
            <w:tcW w:w="77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increased by $46.0 thousand, or 43.0%, for the three months ended September 30, 2025 compared to the three months ended September 30, 2024. The increase is primarily related to capitalized software development.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Related Party Expenses</w:t>
      </w:r>
    </w:p>
    <w:tbl>
      <w:tblPr>
        <w:tblW w:w="10205" w:type="dxa"/>
        <w:jc w:val="left"/>
        <w:tblInd w:w="0" w:type="dxa"/>
        <w:tblLayout w:type="fixed"/>
        <w:tblCellMar>
          <w:top w:w="28" w:type="dxa"/>
          <w:left w:w="28" w:type="dxa"/>
          <w:bottom w:w="28" w:type="dxa"/>
          <w:right w:w="28" w:type="dxa"/>
        </w:tblCellMar>
      </w:tblPr>
      <w:tblGrid>
        <w:gridCol w:w="609"/>
        <w:gridCol w:w="535"/>
        <w:gridCol w:w="538"/>
        <w:gridCol w:w="814"/>
        <w:gridCol w:w="1569"/>
        <w:gridCol w:w="423"/>
        <w:gridCol w:w="109"/>
        <w:gridCol w:w="109"/>
        <w:gridCol w:w="109"/>
        <w:gridCol w:w="691"/>
        <w:gridCol w:w="1530"/>
        <w:gridCol w:w="363"/>
        <w:gridCol w:w="109"/>
        <w:gridCol w:w="109"/>
        <w:gridCol w:w="109"/>
        <w:gridCol w:w="237"/>
        <w:gridCol w:w="541"/>
        <w:gridCol w:w="123"/>
        <w:gridCol w:w="109"/>
        <w:gridCol w:w="109"/>
        <w:gridCol w:w="109"/>
        <w:gridCol w:w="315"/>
        <w:gridCol w:w="316"/>
        <w:gridCol w:w="620"/>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Related party expenses consist of fees for transition services agreements. Related party expenses decreased by $0.2 million, or </w:t>
      </w:r>
      <w:r>
        <w:rPr>
          <w:rFonts w:ascii="Times New Roman;serif" w:hAnsi="Times New Roman;serif"/>
          <w:b w:val="false"/>
          <w:color w:val="000000"/>
          <w:sz w:val="20"/>
        </w:rPr>
        <w:t>(100.0%)</w:t>
      </w:r>
      <w:r>
        <w:rPr>
          <w:rFonts w:ascii="Times New Roman;serif" w:hAnsi="Times New Roman;serif"/>
          <w:b w:val="false"/>
          <w:color w:val="231F20"/>
          <w:sz w:val="20"/>
        </w:rPr>
        <w:t>, for the three months ended September 30, 2025 compared to the three months ended September 30, 2024. The decrease was due to the termination of the ICE transition services agreement in December 2023.</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Impairment of long-lived assets</w:t>
      </w:r>
    </w:p>
    <w:tbl>
      <w:tblPr>
        <w:tblW w:w="10205" w:type="dxa"/>
        <w:jc w:val="left"/>
        <w:tblInd w:w="0" w:type="dxa"/>
        <w:tblLayout w:type="fixed"/>
        <w:tblCellMar>
          <w:top w:w="28" w:type="dxa"/>
          <w:left w:w="28" w:type="dxa"/>
          <w:bottom w:w="28" w:type="dxa"/>
          <w:right w:w="28" w:type="dxa"/>
        </w:tblCellMar>
      </w:tblPr>
      <w:tblGrid>
        <w:gridCol w:w="759"/>
        <w:gridCol w:w="636"/>
        <w:gridCol w:w="638"/>
        <w:gridCol w:w="857"/>
        <w:gridCol w:w="857"/>
        <w:gridCol w:w="859"/>
        <w:gridCol w:w="109"/>
        <w:gridCol w:w="109"/>
        <w:gridCol w:w="109"/>
        <w:gridCol w:w="690"/>
        <w:gridCol w:w="1524"/>
        <w:gridCol w:w="358"/>
        <w:gridCol w:w="109"/>
        <w:gridCol w:w="109"/>
        <w:gridCol w:w="109"/>
        <w:gridCol w:w="237"/>
        <w:gridCol w:w="541"/>
        <w:gridCol w:w="123"/>
        <w:gridCol w:w="109"/>
        <w:gridCol w:w="109"/>
        <w:gridCol w:w="109"/>
        <w:gridCol w:w="263"/>
        <w:gridCol w:w="263"/>
        <w:gridCol w:w="619"/>
      </w:tblGrid>
      <w:tr>
        <w:trPr/>
        <w:tc>
          <w:tcPr>
            <w:tcW w:w="75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long-lived assets decreased by $0.3 million, or (35.5%) for the three months ended September 30, 2025 compared to the three months ended September 30, 2024. During the quarter ended September 30, 2025, we recorded impairment charges of $0.5 million related to internally developed software assets that are in the process of being replaced with upgraded trading technology.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Restructuring Expenses</w:t>
      </w:r>
    </w:p>
    <w:tbl>
      <w:tblPr>
        <w:tblW w:w="10205" w:type="dxa"/>
        <w:jc w:val="left"/>
        <w:tblInd w:w="0" w:type="dxa"/>
        <w:tblLayout w:type="fixed"/>
        <w:tblCellMar>
          <w:top w:w="28" w:type="dxa"/>
          <w:left w:w="28" w:type="dxa"/>
          <w:bottom w:w="28" w:type="dxa"/>
          <w:right w:w="28" w:type="dxa"/>
        </w:tblCellMar>
      </w:tblPr>
      <w:tblGrid>
        <w:gridCol w:w="645"/>
        <w:gridCol w:w="566"/>
        <w:gridCol w:w="552"/>
        <w:gridCol w:w="622"/>
        <w:gridCol w:w="1825"/>
        <w:gridCol w:w="325"/>
        <w:gridCol w:w="109"/>
        <w:gridCol w:w="109"/>
        <w:gridCol w:w="109"/>
        <w:gridCol w:w="744"/>
        <w:gridCol w:w="1643"/>
        <w:gridCol w:w="386"/>
        <w:gridCol w:w="109"/>
        <w:gridCol w:w="109"/>
        <w:gridCol w:w="109"/>
        <w:gridCol w:w="211"/>
        <w:gridCol w:w="616"/>
        <w:gridCol w:w="109"/>
        <w:gridCol w:w="109"/>
        <w:gridCol w:w="109"/>
        <w:gridCol w:w="109"/>
        <w:gridCol w:w="285"/>
        <w:gridCol w:w="285"/>
        <w:gridCol w:w="410"/>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Restructuring expenses of </w:t>
      </w:r>
      <w:r>
        <w:rPr>
          <w:rFonts w:ascii="Times New Roman;serif" w:hAnsi="Times New Roman;serif"/>
          <w:b w:val="false"/>
          <w:color w:val="000000"/>
          <w:sz w:val="20"/>
        </w:rPr>
        <w:t>$5.1 million</w:t>
      </w:r>
      <w:r>
        <w:rPr>
          <w:color w:val="231F20"/>
        </w:rPr>
        <w:t xml:space="preserve"> </w:t>
      </w:r>
      <w:r>
        <w:rPr>
          <w:rFonts w:ascii="Times New Roman;serif" w:hAnsi="Times New Roman;serif"/>
          <w:b w:val="false"/>
          <w:color w:val="231F20"/>
          <w:sz w:val="20"/>
        </w:rPr>
        <w:t>during the three months ended September 30, 2025 consist of severance costs related to the May 2, 2024 reduction in force that resulted in the termination of 28 employees.</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Loss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910"/>
        <w:gridCol w:w="800"/>
        <w:gridCol w:w="803"/>
        <w:gridCol w:w="439"/>
        <w:gridCol w:w="1630"/>
        <w:gridCol w:w="227"/>
        <w:gridCol w:w="109"/>
        <w:gridCol w:w="109"/>
        <w:gridCol w:w="109"/>
        <w:gridCol w:w="463"/>
        <w:gridCol w:w="1586"/>
        <w:gridCol w:w="239"/>
        <w:gridCol w:w="109"/>
        <w:gridCol w:w="109"/>
        <w:gridCol w:w="109"/>
        <w:gridCol w:w="211"/>
        <w:gridCol w:w="765"/>
        <w:gridCol w:w="109"/>
        <w:gridCol w:w="109"/>
        <w:gridCol w:w="109"/>
        <w:gridCol w:w="109"/>
        <w:gridCol w:w="303"/>
        <w:gridCol w:w="303"/>
        <w:gridCol w:w="436"/>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from change in fair value of warrant liability</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(37,187)</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recorded a loss of $37.2 million during the three months ended September 30, 2025 for the change in fair value on the revaluation of our warrant liabilities associated with our public warrants and the Class 1 and Class 2 warrants from the 2024 Concurrent Offerings. We recorded a loss of $20.0 million during the three months ended September 30, 2024 for the change in fair value on the revaluation of our warrant liabilities. These are non-cash losses and/or gains which are driven by fluctuations in the market price of our public warrants and valuation of our Class 1 and Class 2 warrants from the Concurrent Offerings.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Other (Expense) Income, net</w:t>
      </w:r>
    </w:p>
    <w:tbl>
      <w:tblPr>
        <w:tblW w:w="10205" w:type="dxa"/>
        <w:jc w:val="left"/>
        <w:tblInd w:w="0" w:type="dxa"/>
        <w:tblLayout w:type="fixed"/>
        <w:tblCellMar>
          <w:top w:w="28" w:type="dxa"/>
          <w:left w:w="28" w:type="dxa"/>
          <w:bottom w:w="28" w:type="dxa"/>
          <w:right w:w="28" w:type="dxa"/>
        </w:tblCellMar>
      </w:tblPr>
      <w:tblGrid>
        <w:gridCol w:w="673"/>
        <w:gridCol w:w="592"/>
        <w:gridCol w:w="594"/>
        <w:gridCol w:w="536"/>
        <w:gridCol w:w="1835"/>
        <w:gridCol w:w="277"/>
        <w:gridCol w:w="109"/>
        <w:gridCol w:w="109"/>
        <w:gridCol w:w="109"/>
        <w:gridCol w:w="707"/>
        <w:gridCol w:w="1562"/>
        <w:gridCol w:w="367"/>
        <w:gridCol w:w="109"/>
        <w:gridCol w:w="109"/>
        <w:gridCol w:w="109"/>
        <w:gridCol w:w="211"/>
        <w:gridCol w:w="721"/>
        <w:gridCol w:w="109"/>
        <w:gridCol w:w="109"/>
        <w:gridCol w:w="109"/>
        <w:gridCol w:w="109"/>
        <w:gridCol w:w="303"/>
        <w:gridCol w:w="303"/>
        <w:gridCol w:w="43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Other (expense) income, net primarily consists of non-operating gains and losses. During the three months ended September 30, 2025, we had other income of $40.9 million primarily related to $43.4 million net earnings impact related to the fair value of a derivative instrument, partially offset by a $2.6 million loss on the extinguishment of debt. During the three months ended September 30, 2024, we had other income of $0.3 million primarily related to foreign currency translation.</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Income Tax Expense</w:t>
      </w:r>
    </w:p>
    <w:tbl>
      <w:tblPr>
        <w:tblW w:w="10205" w:type="dxa"/>
        <w:jc w:val="left"/>
        <w:tblInd w:w="0" w:type="dxa"/>
        <w:tblLayout w:type="fixed"/>
        <w:tblCellMar>
          <w:top w:w="28" w:type="dxa"/>
          <w:left w:w="28" w:type="dxa"/>
          <w:bottom w:w="28" w:type="dxa"/>
          <w:right w:w="28" w:type="dxa"/>
        </w:tblCellMar>
      </w:tblPr>
      <w:tblGrid>
        <w:gridCol w:w="544"/>
        <w:gridCol w:w="478"/>
        <w:gridCol w:w="480"/>
        <w:gridCol w:w="877"/>
        <w:gridCol w:w="1504"/>
        <w:gridCol w:w="457"/>
        <w:gridCol w:w="109"/>
        <w:gridCol w:w="109"/>
        <w:gridCol w:w="109"/>
        <w:gridCol w:w="762"/>
        <w:gridCol w:w="1682"/>
        <w:gridCol w:w="395"/>
        <w:gridCol w:w="109"/>
        <w:gridCol w:w="109"/>
        <w:gridCol w:w="109"/>
        <w:gridCol w:w="273"/>
        <w:gridCol w:w="486"/>
        <w:gridCol w:w="142"/>
        <w:gridCol w:w="109"/>
        <w:gridCol w:w="109"/>
        <w:gridCol w:w="109"/>
        <w:gridCol w:w="263"/>
        <w:gridCol w:w="263"/>
        <w:gridCol w:w="618"/>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Income tax expense during the three months ended September 30, 2025 and September 30, 2024, primarily consists of current state tax expense related to certain state jurisdictions wherein we are required to file income tax returns.</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Nine Months Ended September 30, 2025 compared to Nine Months Ended September 30, 2024</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Financial Summary</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nine months ended September 30, 2025 included the following notable items relative to the nine months ended September 30, 2024:</w:t>
      </w:r>
    </w:p>
    <w:p>
      <w:pPr>
        <w:pStyle w:val="TextBody"/>
        <w:bidi w:val="0"/>
        <w:spacing w:lineRule="auto" w:line="333" w:before="240" w:after="283"/>
        <w:ind w:left="0" w:right="0" w:hanging="360"/>
        <w:jc w:val="both"/>
        <w:rPr/>
      </w:pPr>
      <w:r>
        <w:rPr>
          <w:color w:val="231F20"/>
        </w:rPr>
        <w:t>•</w:t>
      </w:r>
      <w:r>
        <w:rPr>
          <w:rFonts w:ascii="Times New Roman;serif" w:hAnsi="Times New Roman;serif"/>
          <w:b w:val="false"/>
          <w:color w:val="231F20"/>
          <w:sz w:val="20"/>
        </w:rPr>
        <w:t xml:space="preserve">Revenue increased </w:t>
      </w:r>
      <w:r>
        <w:rPr>
          <w:rFonts w:ascii="Times New Roman;serif" w:hAnsi="Times New Roman;serif"/>
          <w:b w:val="false"/>
          <w:color w:val="000000"/>
          <w:sz w:val="20"/>
        </w:rPr>
        <w:t>$381.3 million</w:t>
      </w:r>
      <w:r>
        <w:rPr>
          <w:color w:val="231F20"/>
        </w:rPr>
        <w:t xml:space="preserve"> </w:t>
      </w:r>
      <w:r>
        <w:rPr>
          <w:rFonts w:ascii="Times New Roman;serif" w:hAnsi="Times New Roman;serif"/>
          <w:b w:val="false"/>
          <w:color w:val="231F20"/>
          <w:sz w:val="20"/>
        </w:rPr>
        <w:t>primarily driven by a significant increase in Crypto services revenue resulting from an increase in trading volume; and</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231F20"/>
          <w:sz w:val="20"/>
        </w:rPr>
        <w:t>Operating expenses increased $365.5 million primarily driven by increased crypto trading costs in conjunction with increased crypto service revenue.</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Crypto Services Revenue</w:t>
      </w:r>
    </w:p>
    <w:tbl>
      <w:tblPr>
        <w:tblW w:w="8184" w:type="dxa"/>
        <w:jc w:val="left"/>
        <w:tblInd w:w="0" w:type="dxa"/>
        <w:tblLayout w:type="fixed"/>
        <w:tblCellMar>
          <w:top w:w="28" w:type="dxa"/>
          <w:left w:w="28" w:type="dxa"/>
          <w:bottom w:w="28" w:type="dxa"/>
          <w:right w:w="28" w:type="dxa"/>
        </w:tblCellMar>
      </w:tblPr>
      <w:tblGrid>
        <w:gridCol w:w="521"/>
        <w:gridCol w:w="458"/>
        <w:gridCol w:w="460"/>
        <w:gridCol w:w="288"/>
        <w:gridCol w:w="1333"/>
        <w:gridCol w:w="148"/>
        <w:gridCol w:w="109"/>
        <w:gridCol w:w="109"/>
        <w:gridCol w:w="109"/>
        <w:gridCol w:w="288"/>
        <w:gridCol w:w="1333"/>
        <w:gridCol w:w="148"/>
        <w:gridCol w:w="109"/>
        <w:gridCol w:w="109"/>
        <w:gridCol w:w="109"/>
        <w:gridCol w:w="211"/>
        <w:gridCol w:w="826"/>
        <w:gridCol w:w="109"/>
        <w:gridCol w:w="109"/>
        <w:gridCol w:w="109"/>
        <w:gridCol w:w="109"/>
        <w:gridCol w:w="233"/>
        <w:gridCol w:w="23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services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2,036,070 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1,654,814 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services revenue increased by </w:t>
      </w:r>
      <w:r>
        <w:rPr>
          <w:rFonts w:ascii="Times New Roman;serif" w:hAnsi="Times New Roman;serif"/>
          <w:b w:val="false"/>
          <w:color w:val="000000"/>
          <w:sz w:val="20"/>
        </w:rPr>
        <w:t>$381.3 million, or 23.0%,</w:t>
      </w:r>
      <w:r>
        <w:rPr>
          <w:color w:val="231F20"/>
        </w:rPr>
        <w:t xml:space="preserve"> </w:t>
      </w:r>
      <w:r>
        <w:rPr>
          <w:rFonts w:ascii="Times New Roman;serif" w:hAnsi="Times New Roman;serif"/>
          <w:b w:val="false"/>
          <w:color w:val="231F20"/>
          <w:sz w:val="20"/>
        </w:rPr>
        <w:t>for the nine months ended September 30, 2025 compared to the nine months ended September 30, 2024. The increase was primarily driven by increased crypto trading volume.</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Crypto Costs</w:t>
      </w:r>
    </w:p>
    <w:tbl>
      <w:tblPr>
        <w:tblW w:w="8184" w:type="dxa"/>
        <w:jc w:val="left"/>
        <w:tblInd w:w="0" w:type="dxa"/>
        <w:tblLayout w:type="fixed"/>
        <w:tblCellMar>
          <w:top w:w="28" w:type="dxa"/>
          <w:left w:w="28" w:type="dxa"/>
          <w:bottom w:w="28" w:type="dxa"/>
          <w:right w:w="28" w:type="dxa"/>
        </w:tblCellMar>
      </w:tblPr>
      <w:tblGrid>
        <w:gridCol w:w="521"/>
        <w:gridCol w:w="458"/>
        <w:gridCol w:w="460"/>
        <w:gridCol w:w="288"/>
        <w:gridCol w:w="1333"/>
        <w:gridCol w:w="148"/>
        <w:gridCol w:w="109"/>
        <w:gridCol w:w="109"/>
        <w:gridCol w:w="109"/>
        <w:gridCol w:w="288"/>
        <w:gridCol w:w="1333"/>
        <w:gridCol w:w="148"/>
        <w:gridCol w:w="109"/>
        <w:gridCol w:w="109"/>
        <w:gridCol w:w="109"/>
        <w:gridCol w:w="211"/>
        <w:gridCol w:w="826"/>
        <w:gridCol w:w="109"/>
        <w:gridCol w:w="109"/>
        <w:gridCol w:w="109"/>
        <w:gridCol w:w="109"/>
        <w:gridCol w:w="233"/>
        <w:gridCol w:w="23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costs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2,012,524 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costs represent the gross value of crypto sold by our customers on our platform. These costs are measured at the executed price at the time of the trade. Crypto costs increased by $376.0 million, or </w:t>
      </w:r>
      <w:r>
        <w:rPr>
          <w:rFonts w:ascii="Times New Roman;serif" w:hAnsi="Times New Roman;serif"/>
          <w:b w:val="false"/>
          <w:color w:val="000000"/>
          <w:sz w:val="20"/>
        </w:rPr>
        <w:t>23.0%,</w:t>
      </w:r>
      <w:r>
        <w:rPr>
          <w:color w:val="231F20"/>
        </w:rPr>
        <w:t xml:space="preserve"> </w:t>
      </w:r>
      <w:r>
        <w:rPr>
          <w:rFonts w:ascii="Times New Roman;serif" w:hAnsi="Times New Roman;serif"/>
          <w:b w:val="false"/>
          <w:color w:val="231F20"/>
          <w:sz w:val="20"/>
        </w:rPr>
        <w:t>for the nine months ended September 30, 2025 compared to the nine months ended September 30, 2024. This increase was primarily driven by increased crypto trading volume.</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Execution, Clearing and Brokerage Fees</w:t>
      </w:r>
    </w:p>
    <w:tbl>
      <w:tblPr>
        <w:tblW w:w="9805" w:type="dxa"/>
        <w:jc w:val="left"/>
        <w:tblInd w:w="0" w:type="dxa"/>
        <w:tblLayout w:type="fixed"/>
        <w:tblCellMar>
          <w:top w:w="28" w:type="dxa"/>
          <w:left w:w="28" w:type="dxa"/>
          <w:bottom w:w="28" w:type="dxa"/>
          <w:right w:w="28" w:type="dxa"/>
        </w:tblCellMar>
      </w:tblPr>
      <w:tblGrid>
        <w:gridCol w:w="1184"/>
        <w:gridCol w:w="1041"/>
        <w:gridCol w:w="1045"/>
        <w:gridCol w:w="358"/>
        <w:gridCol w:w="1226"/>
        <w:gridCol w:w="185"/>
        <w:gridCol w:w="109"/>
        <w:gridCol w:w="109"/>
        <w:gridCol w:w="109"/>
        <w:gridCol w:w="358"/>
        <w:gridCol w:w="1226"/>
        <w:gridCol w:w="185"/>
        <w:gridCol w:w="109"/>
        <w:gridCol w:w="109"/>
        <w:gridCol w:w="109"/>
        <w:gridCol w:w="211"/>
        <w:gridCol w:w="616"/>
        <w:gridCol w:w="109"/>
        <w:gridCol w:w="109"/>
        <w:gridCol w:w="109"/>
        <w:gridCol w:w="109"/>
        <w:gridCol w:w="233"/>
        <w:gridCol w:w="233"/>
        <w:gridCol w:w="61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Execution, clearing and brokerage fees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Execution, clearing and brokerage fees primarily represent payments to clients in exchange for driving order flow to our platform. Execution, clearing and brokerage fees increased $4.6 million, or </w:t>
      </w:r>
      <w:r>
        <w:rPr>
          <w:rFonts w:ascii="Times New Roman;serif" w:hAnsi="Times New Roman;serif"/>
          <w:b w:val="false"/>
          <w:color w:val="000000"/>
          <w:sz w:val="20"/>
        </w:rPr>
        <w:t>40.7%,</w:t>
      </w:r>
      <w:r>
        <w:rPr>
          <w:color w:val="231F20"/>
        </w:rPr>
        <w:t xml:space="preserve"> </w:t>
      </w:r>
      <w:r>
        <w:rPr>
          <w:rFonts w:ascii="Times New Roman;serif" w:hAnsi="Times New Roman;serif"/>
          <w:b w:val="false"/>
          <w:color w:val="231F20"/>
          <w:sz w:val="20"/>
        </w:rPr>
        <w:t>during the nine months ended September 30, 2025 relative to the same period in the prior year. The increase reflects increased volume in Crypto trading revenue.</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Compensation and Benefits</w:t>
      </w:r>
    </w:p>
    <w:tbl>
      <w:tblPr>
        <w:tblW w:w="9010" w:type="dxa"/>
        <w:jc w:val="left"/>
        <w:tblInd w:w="0" w:type="dxa"/>
        <w:tblLayout w:type="fixed"/>
        <w:tblCellMar>
          <w:top w:w="28" w:type="dxa"/>
          <w:left w:w="28" w:type="dxa"/>
          <w:bottom w:w="28" w:type="dxa"/>
          <w:right w:w="28" w:type="dxa"/>
        </w:tblCellMar>
      </w:tblPr>
      <w:tblGrid>
        <w:gridCol w:w="847"/>
        <w:gridCol w:w="745"/>
        <w:gridCol w:w="748"/>
        <w:gridCol w:w="358"/>
        <w:gridCol w:w="1226"/>
        <w:gridCol w:w="185"/>
        <w:gridCol w:w="109"/>
        <w:gridCol w:w="109"/>
        <w:gridCol w:w="109"/>
        <w:gridCol w:w="358"/>
        <w:gridCol w:w="1226"/>
        <w:gridCol w:w="185"/>
        <w:gridCol w:w="109"/>
        <w:gridCol w:w="109"/>
        <w:gridCol w:w="109"/>
        <w:gridCol w:w="211"/>
        <w:gridCol w:w="691"/>
        <w:gridCol w:w="109"/>
        <w:gridCol w:w="109"/>
        <w:gridCol w:w="109"/>
        <w:gridCol w:w="109"/>
        <w:gridCol w:w="263"/>
        <w:gridCol w:w="263"/>
        <w:gridCol w:w="61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Compensation and benefits expense include all salaries and benefits, compensation for contract labor, incentive programs for employees, payroll taxes, share-based compensation and other employee related costs.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restructured our personnel to reduce headcount and adjusted our expense base to better align with our operational priorities and business strategy. </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Compensation and benefits decreased by $5.2 million, or 16.7%, for the nine months ended September 30, 2025 compared to the nine months ended September 30, 2024. The decrease was primarily due to decreases of $3.7 million in salaries and wages and, $3.4 million in bonuses, $0.8 in stock-based compensation, and $0.8 million in benefit related costs as the Company continues to optimize its cost structure.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Professional Services</w:t>
      </w:r>
    </w:p>
    <w:tbl>
      <w:tblPr>
        <w:tblW w:w="8335" w:type="dxa"/>
        <w:jc w:val="left"/>
        <w:tblInd w:w="0" w:type="dxa"/>
        <w:tblLayout w:type="fixed"/>
        <w:tblCellMar>
          <w:top w:w="28" w:type="dxa"/>
          <w:left w:w="28" w:type="dxa"/>
          <w:bottom w:w="28" w:type="dxa"/>
          <w:right w:w="28" w:type="dxa"/>
        </w:tblCellMar>
      </w:tblPr>
      <w:tblGrid>
        <w:gridCol w:w="652"/>
        <w:gridCol w:w="573"/>
        <w:gridCol w:w="575"/>
        <w:gridCol w:w="358"/>
        <w:gridCol w:w="1226"/>
        <w:gridCol w:w="185"/>
        <w:gridCol w:w="109"/>
        <w:gridCol w:w="109"/>
        <w:gridCol w:w="109"/>
        <w:gridCol w:w="358"/>
        <w:gridCol w:w="1226"/>
        <w:gridCol w:w="185"/>
        <w:gridCol w:w="109"/>
        <w:gridCol w:w="109"/>
        <w:gridCol w:w="109"/>
        <w:gridCol w:w="211"/>
        <w:gridCol w:w="616"/>
        <w:gridCol w:w="109"/>
        <w:gridCol w:w="109"/>
        <w:gridCol w:w="109"/>
        <w:gridCol w:w="109"/>
        <w:gridCol w:w="233"/>
        <w:gridCol w:w="233"/>
        <w:gridCol w:w="6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Professional services expense includes fees for accounting, legal and regulatory fees. Professional services increased by $4.3 million, or 34.7%, for the nine months ended September 30, 2025 compared to the nine months ended September 30, 2024</w:t>
      </w:r>
      <w:r>
        <w:rPr>
          <w:rFonts w:ascii="Times New Roman;serif" w:hAnsi="Times New Roman;serif"/>
          <w:b w:val="false"/>
          <w:color w:val="231F20"/>
          <w:sz w:val="20"/>
          <w:shd w:fill="FFFFFF" w:val="clear"/>
        </w:rPr>
        <w:t xml:space="preserve">. </w:t>
      </w:r>
      <w:r>
        <w:rPr>
          <w:rFonts w:ascii="Times New Roman;serif" w:hAnsi="Times New Roman;serif"/>
          <w:b w:val="false"/>
          <w:color w:val="231F20"/>
          <w:sz w:val="20"/>
        </w:rPr>
        <w:t xml:space="preserve">The increase was primarily due to increases of $1.7 million in legal and $0.8 million of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professional fees, slightly offset by a $0.5 million decrease in audit and tax fees primarily due to an increase in strategic and transformational initiatives and transaction activity during the six months ended September 30, 2025. </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Technology and Communication</w:t>
      </w:r>
    </w:p>
    <w:tbl>
      <w:tblPr>
        <w:tblW w:w="9445" w:type="dxa"/>
        <w:jc w:val="left"/>
        <w:tblInd w:w="0" w:type="dxa"/>
        <w:tblLayout w:type="fixed"/>
        <w:tblCellMar>
          <w:top w:w="28" w:type="dxa"/>
          <w:left w:w="28" w:type="dxa"/>
          <w:bottom w:w="28" w:type="dxa"/>
          <w:right w:w="28" w:type="dxa"/>
        </w:tblCellMar>
      </w:tblPr>
      <w:tblGrid>
        <w:gridCol w:w="1005"/>
        <w:gridCol w:w="883"/>
        <w:gridCol w:w="887"/>
        <w:gridCol w:w="397"/>
        <w:gridCol w:w="1165"/>
        <w:gridCol w:w="207"/>
        <w:gridCol w:w="109"/>
        <w:gridCol w:w="109"/>
        <w:gridCol w:w="109"/>
        <w:gridCol w:w="397"/>
        <w:gridCol w:w="1165"/>
        <w:gridCol w:w="207"/>
        <w:gridCol w:w="109"/>
        <w:gridCol w:w="109"/>
        <w:gridCol w:w="109"/>
        <w:gridCol w:w="211"/>
        <w:gridCol w:w="691"/>
        <w:gridCol w:w="109"/>
        <w:gridCol w:w="109"/>
        <w:gridCol w:w="109"/>
        <w:gridCol w:w="109"/>
        <w:gridCol w:w="263"/>
        <w:gridCol w:w="263"/>
        <w:gridCol w:w="61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Technology and communication</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 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Technology and communications expense decreased by $1.8 million, or 24.6%, for the nine months ended September 30, 2025 compared to the nine months ended September 30, 2024. The decrease was primarily due to a decrease of $1.8 million in hardware and software license fees, $0.8 million in hosting fees, and $0.3 million in telecommunications fees.</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Selling, General and Administrative</w:t>
      </w:r>
    </w:p>
    <w:tbl>
      <w:tblPr>
        <w:tblW w:w="9624" w:type="dxa"/>
        <w:jc w:val="left"/>
        <w:tblInd w:w="0" w:type="dxa"/>
        <w:tblLayout w:type="fixed"/>
        <w:tblCellMar>
          <w:top w:w="28" w:type="dxa"/>
          <w:left w:w="28" w:type="dxa"/>
          <w:bottom w:w="28" w:type="dxa"/>
          <w:right w:w="28" w:type="dxa"/>
        </w:tblCellMar>
      </w:tblPr>
      <w:tblGrid>
        <w:gridCol w:w="1070"/>
        <w:gridCol w:w="940"/>
        <w:gridCol w:w="944"/>
        <w:gridCol w:w="397"/>
        <w:gridCol w:w="1165"/>
        <w:gridCol w:w="207"/>
        <w:gridCol w:w="109"/>
        <w:gridCol w:w="109"/>
        <w:gridCol w:w="109"/>
        <w:gridCol w:w="358"/>
        <w:gridCol w:w="1226"/>
        <w:gridCol w:w="185"/>
        <w:gridCol w:w="109"/>
        <w:gridCol w:w="109"/>
        <w:gridCol w:w="109"/>
        <w:gridCol w:w="211"/>
        <w:gridCol w:w="691"/>
        <w:gridCol w:w="109"/>
        <w:gridCol w:w="109"/>
        <w:gridCol w:w="109"/>
        <w:gridCol w:w="109"/>
        <w:gridCol w:w="263"/>
        <w:gridCol w:w="263"/>
        <w:gridCol w:w="61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on the consolidated statements of operations. We expect these costs will decrease as a percentage of our revenue in future years as we gain improved operating leverage from our projected revenue growth.</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Selling, general and administrative costs decreased by $9.8 million, or 49.5%, for the nine months ended September 30, 2025 compared to the nine months ended September 30, 2024. The decrease was primarily due to a $4.1 million decrease in general insurance, $1.0 million in marketing and promotions, and a $0.6 million decrease in non-recurring vendor cost. </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Depreciation and Amortization</w:t>
      </w:r>
    </w:p>
    <w:tbl>
      <w:tblPr>
        <w:tblW w:w="9096" w:type="dxa"/>
        <w:jc w:val="left"/>
        <w:tblInd w:w="0" w:type="dxa"/>
        <w:tblLayout w:type="fixed"/>
        <w:tblCellMar>
          <w:top w:w="28" w:type="dxa"/>
          <w:left w:w="28" w:type="dxa"/>
          <w:bottom w:w="28" w:type="dxa"/>
          <w:right w:w="28" w:type="dxa"/>
        </w:tblCellMar>
      </w:tblPr>
      <w:tblGrid>
        <w:gridCol w:w="939"/>
        <w:gridCol w:w="826"/>
        <w:gridCol w:w="829"/>
        <w:gridCol w:w="475"/>
        <w:gridCol w:w="1049"/>
        <w:gridCol w:w="246"/>
        <w:gridCol w:w="109"/>
        <w:gridCol w:w="109"/>
        <w:gridCol w:w="109"/>
        <w:gridCol w:w="475"/>
        <w:gridCol w:w="1049"/>
        <w:gridCol w:w="246"/>
        <w:gridCol w:w="109"/>
        <w:gridCol w:w="109"/>
        <w:gridCol w:w="109"/>
        <w:gridCol w:w="241"/>
        <w:gridCol w:w="534"/>
        <w:gridCol w:w="126"/>
        <w:gridCol w:w="109"/>
        <w:gridCol w:w="109"/>
        <w:gridCol w:w="109"/>
        <w:gridCol w:w="233"/>
        <w:gridCol w:w="233"/>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Depreciation and amortization expense consists of amortization of intangible assets from business acquisitions, internally developed software and depreciation of purchased software and computer and office equipment over their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Depreciation and amortization increased by $0.2 million, or 87.5%, for the nine months ended September 30, 2025 compared to the nine months ended September 30, 2024. The increase was primarily due to amortization associated with software development costs, as the Company continues to capitalize internally developed software development related to Bakkt Crypto.</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Restructuring Expenses</w:t>
      </w:r>
    </w:p>
    <w:tbl>
      <w:tblPr>
        <w:tblW w:w="8680" w:type="dxa"/>
        <w:jc w:val="left"/>
        <w:tblInd w:w="0" w:type="dxa"/>
        <w:tblLayout w:type="fixed"/>
        <w:tblCellMar>
          <w:top w:w="28" w:type="dxa"/>
          <w:left w:w="28" w:type="dxa"/>
          <w:bottom w:w="28" w:type="dxa"/>
          <w:right w:w="28" w:type="dxa"/>
        </w:tblCellMar>
      </w:tblPr>
      <w:tblGrid>
        <w:gridCol w:w="728"/>
        <w:gridCol w:w="640"/>
        <w:gridCol w:w="642"/>
        <w:gridCol w:w="397"/>
        <w:gridCol w:w="1165"/>
        <w:gridCol w:w="207"/>
        <w:gridCol w:w="109"/>
        <w:gridCol w:w="109"/>
        <w:gridCol w:w="109"/>
        <w:gridCol w:w="397"/>
        <w:gridCol w:w="1165"/>
        <w:gridCol w:w="207"/>
        <w:gridCol w:w="109"/>
        <w:gridCol w:w="109"/>
        <w:gridCol w:w="109"/>
        <w:gridCol w:w="211"/>
        <w:gridCol w:w="691"/>
        <w:gridCol w:w="109"/>
        <w:gridCol w:w="109"/>
        <w:gridCol w:w="109"/>
        <w:gridCol w:w="109"/>
        <w:gridCol w:w="263"/>
        <w:gridCol w:w="263"/>
        <w:gridCol w:w="61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Restructuring expenses of </w:t>
      </w:r>
      <w:r>
        <w:rPr>
          <w:rFonts w:ascii="Times New Roman;serif" w:hAnsi="Times New Roman;serif"/>
          <w:b w:val="false"/>
          <w:color w:val="000000"/>
          <w:sz w:val="20"/>
        </w:rPr>
        <w:t>$5.3 million</w:t>
      </w:r>
      <w:r>
        <w:rPr>
          <w:color w:val="231F20"/>
        </w:rPr>
        <w:t xml:space="preserve"> </w:t>
      </w:r>
      <w:r>
        <w:rPr>
          <w:rFonts w:ascii="Times New Roman;serif" w:hAnsi="Times New Roman;serif"/>
          <w:b w:val="false"/>
          <w:color w:val="231F20"/>
          <w:sz w:val="20"/>
        </w:rPr>
        <w:t xml:space="preserve">during the nine months ended September 30, 2025 consist of severance costs related to a reduction in force executed in the first quarter of 2025. Restructuring expenses of </w:t>
      </w:r>
      <w:r>
        <w:rPr>
          <w:rFonts w:ascii="Times New Roman;serif" w:hAnsi="Times New Roman;serif"/>
          <w:b w:val="false"/>
          <w:color w:val="000000"/>
          <w:sz w:val="20"/>
        </w:rPr>
        <w:t>$7.5 million</w:t>
      </w:r>
      <w:r>
        <w:rPr>
          <w:color w:val="231F20"/>
        </w:rPr>
        <w:t xml:space="preserve"> </w:t>
      </w:r>
      <w:r>
        <w:rPr>
          <w:rFonts w:ascii="Times New Roman;serif" w:hAnsi="Times New Roman;serif"/>
          <w:b w:val="false"/>
          <w:color w:val="231F20"/>
          <w:sz w:val="20"/>
        </w:rPr>
        <w:t xml:space="preserve">during the nine months ended September 30, 2024 consisted of severance costs and accelerated vesting of non-cash compensation related to the termination of a former executive and certain other employees.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Gain (Loss)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1394"/>
        <w:gridCol w:w="1225"/>
        <w:gridCol w:w="1230"/>
        <w:gridCol w:w="308"/>
        <w:gridCol w:w="1152"/>
        <w:gridCol w:w="158"/>
        <w:gridCol w:w="109"/>
        <w:gridCol w:w="109"/>
        <w:gridCol w:w="109"/>
        <w:gridCol w:w="327"/>
        <w:gridCol w:w="1119"/>
        <w:gridCol w:w="169"/>
        <w:gridCol w:w="109"/>
        <w:gridCol w:w="109"/>
        <w:gridCol w:w="109"/>
        <w:gridCol w:w="211"/>
        <w:gridCol w:w="783"/>
        <w:gridCol w:w="109"/>
        <w:gridCol w:w="109"/>
        <w:gridCol w:w="109"/>
        <w:gridCol w:w="109"/>
        <w:gridCol w:w="303"/>
        <w:gridCol w:w="303"/>
        <w:gridCol w:w="433"/>
      </w:tblGrid>
      <w:tr>
        <w:trPr/>
        <w:tc>
          <w:tcPr>
            <w:tcW w:w="139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Gain (loss) from change in fair value of warrant liability</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We recorded a gain of $13.5 million during the nine months ended September 30, 2025 for the change in fair value on the revaluation of our warrant liabilities associated with our public warrants and Class 1 and Class 2 warrants from the Concurrent Offerings. We recorded a loss of </w:t>
      </w:r>
      <w:r>
        <w:rPr>
          <w:rFonts w:ascii="Times New Roman;serif" w:hAnsi="Times New Roman;serif"/>
          <w:b w:val="false"/>
          <w:color w:val="000000"/>
          <w:sz w:val="20"/>
        </w:rPr>
        <w:t>$13.9 million</w:t>
      </w:r>
      <w:r>
        <w:rPr>
          <w:color w:val="231F20"/>
        </w:rPr>
        <w:t xml:space="preserve"> </w:t>
      </w:r>
      <w:r>
        <w:rPr>
          <w:rFonts w:ascii="Times New Roman;serif" w:hAnsi="Times New Roman;serif"/>
          <w:b w:val="false"/>
          <w:color w:val="231F20"/>
          <w:sz w:val="20"/>
        </w:rPr>
        <w:t>during the nine months ended September 30, 2024 for the change in fair value on the revaluation of our warrant liabilities. These are non-cash losses and gains and are driven by fluctuations in the market price of our public warrants and valuation of our Class 1 and Class 2 warrants from the Concurrent Offerings.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Other (Expense) Income, net</w:t>
      </w:r>
    </w:p>
    <w:tbl>
      <w:tblPr>
        <w:tblW w:w="8981" w:type="dxa"/>
        <w:jc w:val="left"/>
        <w:tblInd w:w="0" w:type="dxa"/>
        <w:tblLayout w:type="fixed"/>
        <w:tblCellMar>
          <w:top w:w="28" w:type="dxa"/>
          <w:left w:w="28" w:type="dxa"/>
          <w:bottom w:w="28" w:type="dxa"/>
          <w:right w:w="28" w:type="dxa"/>
        </w:tblCellMar>
      </w:tblPr>
      <w:tblGrid>
        <w:gridCol w:w="863"/>
        <w:gridCol w:w="759"/>
        <w:gridCol w:w="762"/>
        <w:gridCol w:w="358"/>
        <w:gridCol w:w="1226"/>
        <w:gridCol w:w="185"/>
        <w:gridCol w:w="109"/>
        <w:gridCol w:w="109"/>
        <w:gridCol w:w="109"/>
        <w:gridCol w:w="475"/>
        <w:gridCol w:w="1049"/>
        <w:gridCol w:w="246"/>
        <w:gridCol w:w="109"/>
        <w:gridCol w:w="109"/>
        <w:gridCol w:w="109"/>
        <w:gridCol w:w="211"/>
        <w:gridCol w:w="721"/>
        <w:gridCol w:w="109"/>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Other (expense) income, net primarily consists of non-operating gains and losses. During the nine months ended September 30, 2025, we recognized income, net, of </w:t>
      </w:r>
      <w:r>
        <w:rPr>
          <w:rFonts w:ascii="Times New Roman;serif" w:hAnsi="Times New Roman;serif"/>
          <w:b w:val="false"/>
          <w:color w:val="000000"/>
          <w:sz w:val="20"/>
        </w:rPr>
        <w:t xml:space="preserve">$40.9 million, </w:t>
      </w:r>
      <w:r>
        <w:rPr>
          <w:rFonts w:ascii="Times New Roman;serif" w:hAnsi="Times New Roman;serif"/>
          <w:b w:val="false"/>
          <w:color w:val="231F20"/>
          <w:sz w:val="20"/>
        </w:rPr>
        <w:t>a primarily related to $43.4 million net earnings impact related to the fair value of a derivative instrument, a net gain of $1.8 million on the assignment of our New York office lease, $0.6 million of sublease income on our Alpharetta headquarters lease, and $1.0 million gain on foreign currency, offset by a $2.3 million loss on the sale of Bakkt Trust and $2.6 million loss on the extinguishment of debt. During the nine months ended September 30, 2024, we recognized income of $0.9 million primarily related to foreign currency.</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Income Tax Expense</w:t>
      </w:r>
    </w:p>
    <w:tbl>
      <w:tblPr>
        <w:tblW w:w="8286" w:type="dxa"/>
        <w:jc w:val="left"/>
        <w:tblInd w:w="0" w:type="dxa"/>
        <w:tblLayout w:type="fixed"/>
        <w:tblCellMar>
          <w:top w:w="28" w:type="dxa"/>
          <w:left w:w="28" w:type="dxa"/>
          <w:bottom w:w="28" w:type="dxa"/>
          <w:right w:w="28" w:type="dxa"/>
        </w:tblCellMar>
      </w:tblPr>
      <w:tblGrid>
        <w:gridCol w:w="624"/>
        <w:gridCol w:w="549"/>
        <w:gridCol w:w="551"/>
        <w:gridCol w:w="466"/>
        <w:gridCol w:w="1063"/>
        <w:gridCol w:w="241"/>
        <w:gridCol w:w="109"/>
        <w:gridCol w:w="109"/>
        <w:gridCol w:w="109"/>
        <w:gridCol w:w="466"/>
        <w:gridCol w:w="1063"/>
        <w:gridCol w:w="241"/>
        <w:gridCol w:w="109"/>
        <w:gridCol w:w="109"/>
        <w:gridCol w:w="109"/>
        <w:gridCol w:w="279"/>
        <w:gridCol w:w="477"/>
        <w:gridCol w:w="145"/>
        <w:gridCol w:w="109"/>
        <w:gridCol w:w="109"/>
        <w:gridCol w:w="109"/>
        <w:gridCol w:w="263"/>
        <w:gridCol w:w="263"/>
        <w:gridCol w:w="61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Income tax expense during the nine months ended September 30, 2025 and September 30, 2024 primarily consists of current state tax expense related to certain state jurisdictions wherein we are required to file income tax returns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Liquidity and Capital Resources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As of September 30, 2025, we had $58.3 million and $6.1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 and our purchasing card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we entered into a private placement (the “Private Placement”) with YA II PN, LTD., a Cayman Islands exempt limited company (the “Investor”). The Private Placement closed on June 18, 2025. Pursuant to the terms of the Private Placement, the Investor purchased a $25 million convertible debenture (the “Convertible Debenture”) from the Company for a price of $23.75 million.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2025, the Company entered into an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Pre-Funded Warrants (the “Offering”). The aggregate gross proceeds to the Company from the Offering were $75 million, before deducting fees to the underwriters and other offering expenses payable by the Company.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use our unrestricted cash, inclusive of the proceeds from the Private Placement and Offering, to complete the sale of the Loyalty Business and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utilized $23.8 million of unrestricted cash, and transferred $3.1 million of restricted cash, to complete the sale of the Loyalty Business on October 1, 2025. We continue to evaluate our headcount and expense base.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 technologies or intellectual property rights. However, except with respect to our potential acquisition of DTR pursuant to the Cooperation Agreement,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w:t>
      </w:r>
    </w:p>
    <w:p>
      <w:pPr>
        <w:pStyle w:val="TextBody"/>
        <w:bidi w:val="0"/>
        <w:spacing w:lineRule="auto" w:line="333" w:before="240" w:after="240"/>
        <w:ind w:left="0" w:right="0" w:firstLine="720"/>
        <w:jc w:val="both"/>
        <w:rPr/>
      </w:pPr>
      <w:r>
        <w:rPr>
          <w:rFonts w:ascii="Times New Roman;serif" w:hAnsi="Times New Roman;serif"/>
          <w:b w:val="false"/>
          <w:color w:val="231F20"/>
          <w:sz w:val="20"/>
        </w:rPr>
        <w:t>The following table summarizes our cash flows for the periods presented (</w:t>
      </w:r>
      <w:r>
        <w:rPr>
          <w:rFonts w:ascii="Times New Roman;serif" w:hAnsi="Times New Roman;serif"/>
          <w:b w:val="false"/>
          <w:color w:val="000000"/>
          <w:sz w:val="20"/>
        </w:rPr>
        <w:t>in thousands)</w:t>
      </w:r>
      <w:r>
        <w:rPr>
          <w:rFonts w:ascii="Times New Roman;serif" w:hAnsi="Times New Roman;serif"/>
          <w:b w:val="false"/>
          <w:color w:val="231F20"/>
          <w:sz w:val="20"/>
        </w:rPr>
        <w:t>:</w:t>
      </w:r>
    </w:p>
    <w:tbl>
      <w:tblPr>
        <w:tblW w:w="8112" w:type="dxa"/>
        <w:jc w:val="left"/>
        <w:tblInd w:w="0" w:type="dxa"/>
        <w:tblLayout w:type="fixed"/>
        <w:tblCellMar>
          <w:top w:w="28" w:type="dxa"/>
          <w:left w:w="28" w:type="dxa"/>
          <w:bottom w:w="28" w:type="dxa"/>
          <w:right w:w="28" w:type="dxa"/>
        </w:tblCellMar>
      </w:tblPr>
      <w:tblGrid>
        <w:gridCol w:w="1515"/>
        <w:gridCol w:w="1333"/>
        <w:gridCol w:w="1352"/>
        <w:gridCol w:w="306"/>
        <w:gridCol w:w="1306"/>
        <w:gridCol w:w="158"/>
        <w:gridCol w:w="109"/>
        <w:gridCol w:w="109"/>
        <w:gridCol w:w="109"/>
        <w:gridCol w:w="330"/>
        <w:gridCol w:w="1245"/>
        <w:gridCol w:w="240"/>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33" w:after="30"/>
              <w:ind w:left="0" w:right="0" w:firstLine="289"/>
              <w:jc w:val="both"/>
              <w:rPr/>
            </w:pPr>
            <w:r>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(52,605)</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used in operating activities of $142.6 million for the nine months ended September 30, 2025 was primarily related to cash outflows resulting from change in our operating assets and liabilities of </w:t>
      </w:r>
      <w:r>
        <w:rPr>
          <w:rFonts w:ascii="Times New Roman;serif" w:hAnsi="Times New Roman;serif"/>
          <w:b w:val="false"/>
          <w:color w:val="000000"/>
          <w:sz w:val="20"/>
        </w:rPr>
        <w:t xml:space="preserve">$99.3 million and a $43.4 million non-cash gain resulting from the change in fair value of derivative assets. Net cash outflows from changes in operating assets and liabilities for the nine months ended </w:t>
      </w:r>
      <w:r>
        <w:rPr>
          <w:rFonts w:ascii="Times New Roman;serif" w:hAnsi="Times New Roman;serif"/>
          <w:b w:val="false"/>
          <w:color w:val="231F20"/>
          <w:sz w:val="20"/>
        </w:rPr>
        <w:t>September 30, 2025</w:t>
      </w:r>
      <w:r>
        <w:rPr>
          <w:color w:val="000000"/>
        </w:rPr>
        <w:t xml:space="preserve"> </w:t>
      </w:r>
      <w:r>
        <w:rPr>
          <w:rFonts w:ascii="Times New Roman;serif" w:hAnsi="Times New Roman;serif"/>
          <w:b w:val="false"/>
          <w:color w:val="000000"/>
          <w:sz w:val="20"/>
        </w:rPr>
        <w:t>were primarily from a $77.5 million decrease in customer funds mainly related to Webull moving a substantial portion of its trading activity off the Company's platform, $7.3 million increase in accounts receivable, a $3.6 million decrease in operating lease liabilities, primarily related to the assignment of the New York office lease, the disposition of $3.5 million in net assets for Bakkt Trust, a $3.4 million decrease in accounts payable.and a $2.4 million decrease in TSA related party payables.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used in operating activities of $52.6 million for the nine months ended September 30, 2024 was primarily related to our net loss of $63.1 million, offset by net cash inflows resulting from changes in our operating assets and liabilities of $9.2 million and non-cash charges of $1.3 million. Net cash inflows from changes in our operating assets and liabilities for the nine months ended September 30, 2024 resulted primarily from a </w:t>
      </w:r>
      <w:r>
        <w:rPr>
          <w:rFonts w:ascii="Times New Roman;serif" w:hAnsi="Times New Roman;serif"/>
          <w:b w:val="false"/>
          <w:color w:val="000000"/>
          <w:sz w:val="20"/>
        </w:rPr>
        <w:t>$18.6 million</w:t>
      </w:r>
      <w:r>
        <w:rPr>
          <w:color w:val="231F20"/>
        </w:rPr>
        <w:t xml:space="preserve"> </w:t>
      </w:r>
      <w:r>
        <w:rPr>
          <w:rFonts w:ascii="Times New Roman;serif" w:hAnsi="Times New Roman;serif"/>
          <w:b w:val="false"/>
          <w:color w:val="231F20"/>
          <w:sz w:val="20"/>
        </w:rPr>
        <w:t xml:space="preserve">increase in customer funds and a decrease in prepaid insurance of $7.4 million, partially offset by a decrease of accounts payable and accrued liabilities of $13.5 million. The non-cash charges primarily consisted of share-based compensation of $13.0 million, gain from change in fair value of warrant liability of </w:t>
      </w:r>
      <w:r>
        <w:rPr>
          <w:rFonts w:ascii="Times New Roman;serif" w:hAnsi="Times New Roman;serif"/>
          <w:b w:val="false"/>
          <w:color w:val="000000"/>
          <w:sz w:val="20"/>
        </w:rPr>
        <w:t>$(13.9) million</w:t>
      </w:r>
      <w:r>
        <w:rPr>
          <w:rFonts w:ascii="Times New Roman;serif" w:hAnsi="Times New Roman;serif"/>
          <w:b w:val="false"/>
          <w:color w:val="231F20"/>
          <w:sz w:val="20"/>
        </w:rPr>
        <w:t xml:space="preserve">, and non-cash lease expense of </w:t>
      </w:r>
      <w:r>
        <w:rPr>
          <w:rFonts w:ascii="Times New Roman;serif" w:hAnsi="Times New Roman;serif"/>
          <w:b w:val="false"/>
          <w:color w:val="000000"/>
          <w:sz w:val="20"/>
        </w:rPr>
        <w:t>$1.0 million</w:t>
      </w:r>
      <w:r>
        <w:rPr>
          <w:rFonts w:ascii="Times New Roman;serif" w:hAnsi="Times New Roman;serif"/>
          <w:b w:val="false"/>
          <w:color w:val="231F20"/>
          <w:sz w:val="20"/>
        </w:rPr>
        <w:t>.</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Net cash flows used in investing activities of $15.4 million for the nine months ended September 30, 2025 consisted of a $11.5 million equity method investment, $2.7 million for acquisition of intangible assets and the purchase of $5.1 million of available-for-sale securities, partially offset by $4.5 million of proceeds from the sale of Bakkt Trust.</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Net cash flows provided by investing activities of $7.9 million for the nine months ended September 30, 2024 consisted of the receipt of $36.7 million of proceeds from the sale of available-for-sale securities, partially offset by the purchase of $26.0 million of available-for-sale debt securities and $2.8 million of capitalized costs of internally developed software for our technology platforms.</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provided by financing activities of </w:t>
      </w:r>
      <w:r>
        <w:rPr>
          <w:rFonts w:ascii="Times New Roman;serif" w:hAnsi="Times New Roman;serif"/>
          <w:b w:val="false"/>
          <w:color w:val="000000"/>
          <w:sz w:val="20"/>
        </w:rPr>
        <w:t>$81.4 million</w:t>
      </w:r>
      <w:r>
        <w:rPr>
          <w:color w:val="231F20"/>
        </w:rPr>
        <w:t xml:space="preserve"> </w:t>
      </w:r>
      <w:r>
        <w:rPr>
          <w:rFonts w:ascii="Times New Roman;serif" w:hAnsi="Times New Roman;serif"/>
          <w:b w:val="false"/>
          <w:color w:val="231F20"/>
          <w:sz w:val="20"/>
        </w:rPr>
        <w:t xml:space="preserve">during the nine months ended September 30, 2025 primarily consisted of $63.0 million in proceeds from common stock issuance, $22.2 million in proceeds from the Private Placement, and $7.5 million in proceeds from pre-funded warrants, slightly offset by </w:t>
      </w:r>
      <w:r>
        <w:rPr>
          <w:rFonts w:ascii="Times New Roman;serif" w:hAnsi="Times New Roman;serif"/>
          <w:b w:val="false"/>
          <w:color w:val="000000"/>
          <w:sz w:val="20"/>
        </w:rPr>
        <w:t xml:space="preserve">$3.4 million in </w:t>
      </w:r>
      <w:r>
        <w:rPr>
          <w:rFonts w:ascii="Times New Roman;serif" w:hAnsi="Times New Roman;serif"/>
          <w:b w:val="false"/>
          <w:color w:val="231F20"/>
          <w:sz w:val="20"/>
        </w:rPr>
        <w:t>tax withholding payments</w:t>
      </w:r>
      <w:r>
        <w:rPr>
          <w:color w:val="000000"/>
        </w:rPr>
        <w:t xml:space="preserve"> </w:t>
      </w:r>
      <w:r>
        <w:rPr>
          <w:rFonts w:ascii="Times New Roman;serif" w:hAnsi="Times New Roman;serif"/>
          <w:b w:val="false"/>
          <w:color w:val="000000"/>
          <w:sz w:val="20"/>
        </w:rPr>
        <w:t>for vested equity awards.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Net cash flows provided by financing activities of $44.1 million for the nine months ended September 30, 2024 consisted $46.5 million of proceeds from the 2024 Concurrent Offerings, net of issuance costs, partially offset by $2.4 million tax withholding payments for vested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Tax Receivable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completion of the VIH Business Combination, we entered into the TRA.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1,063,576 Opco Common Units were exchanged for Class A Common Stock. Based on our history of taxable losses, we have concluded that it is not probable to expect cash tax payments in the foreseeable future and as such, no value has been recorded under the TRA.</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we, ICE and Mr. Naheta entered into the TRA Amendment as well as the Contribution Agreement. Pursuant to the TRA Amendment and the Contribution Agreement, ICE and Mr. Naheta agreed that they would, at closing, (i) contribute their rights under the TRA to NewCo in exchange for a cash payment from NewCo equal to the respective amount to which ICE and Mr. Naheta would otherwise be entitled under the TRA (as amended), (ii) Mr. Naheta would further contribute such cash payable to Mr. Naheta to NewCo in exchange for shares of NewCo Class A Common Stock, and (iii) ICE would further contribute such cash payable to ICE to NewCo in exchange for shares of NewCo Preferred Stock, each convertible into one share of NewCo Class A Common Stock (such conversion being conditional upon the expiry or termination of the waiting period (and any extension thereof, including pursuant to any timing agreement) applicable to it under the HSR Act), and further agreed that the respective obligations of ICE and Mr. Naheta, on the one hand, and NewCo, on the other hand, to transfer the foregoing cash amounts will be net-settled and offset against one another. In addition, the TRA Amendment sets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Contractual Obligations and Commitments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The following is a summary of our significant contractual obligations and commitments 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1121"/>
        <w:gridCol w:w="986"/>
        <w:gridCol w:w="997"/>
        <w:gridCol w:w="304"/>
        <w:gridCol w:w="890"/>
        <w:gridCol w:w="157"/>
        <w:gridCol w:w="109"/>
        <w:gridCol w:w="109"/>
        <w:gridCol w:w="109"/>
        <w:gridCol w:w="211"/>
        <w:gridCol w:w="616"/>
        <w:gridCol w:w="109"/>
        <w:gridCol w:w="109"/>
        <w:gridCol w:w="109"/>
        <w:gridCol w:w="109"/>
        <w:gridCol w:w="211"/>
        <w:gridCol w:w="616"/>
        <w:gridCol w:w="109"/>
        <w:gridCol w:w="109"/>
        <w:gridCol w:w="109"/>
        <w:gridCol w:w="109"/>
        <w:gridCol w:w="333"/>
        <w:gridCol w:w="973"/>
        <w:gridCol w:w="172"/>
        <w:gridCol w:w="109"/>
        <w:gridCol w:w="109"/>
        <w:gridCol w:w="109"/>
        <w:gridCol w:w="211"/>
        <w:gridCol w:w="721"/>
        <w:gridCol w:w="160"/>
      </w:tblGrid>
      <w:tr>
        <w:trPr/>
        <w:tc>
          <w:tcPr>
            <w:tcW w:w="112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53" w:after="30"/>
              <w:ind w:left="0" w:right="0" w:firstLine="720"/>
              <w:jc w:val="left"/>
              <w:rPr/>
            </w:pPr>
            <w:r>
              <w:rPr/>
            </w:r>
          </w:p>
        </w:tc>
        <w:tc>
          <w:tcPr>
            <w:tcW w:w="7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3104" w:type="dxa"/>
            <w:gridSpan w:val="3"/>
            <w:tcBorders/>
            <w:tcMar>
              <w:top w:w="0" w:type="dxa"/>
              <w:left w:w="0" w:type="dxa"/>
              <w:bottom w:w="0" w:type="dxa"/>
              <w:right w:w="0" w:type="dxa"/>
            </w:tcMar>
            <w:vAlign w:val="center"/>
          </w:tcPr>
          <w:p>
            <w:pPr>
              <w:pStyle w:val="TableContents"/>
              <w:bidi w:val="0"/>
              <w:spacing w:before="33" w:after="30"/>
              <w:ind w:left="0" w:right="0" w:firstLine="720"/>
              <w:jc w:val="center"/>
              <w:rPr/>
            </w:pPr>
            <w:r>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3"/>
              </w:rPr>
              <w:t>(1)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Future minimum operating lease payments</w:t>
            </w:r>
            <w:r>
              <w:rPr>
                <w:rFonts w:ascii="Times New Roman;serif" w:hAnsi="Times New Roman;serif"/>
                <w:b w:val="false"/>
                <w:color w:val="000000"/>
                <w:sz w:val="13"/>
              </w:rPr>
              <w:t>(2)</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minimum commitment payments under a four-year cloud computing arrangement. In December 2023, we agreed to amend the cloud computing arrangement and extended the payment period for an additional year.</w:t>
      </w:r>
    </w:p>
    <w:p>
      <w:pPr>
        <w:pStyle w:val="TextBody"/>
        <w:bidi w:val="0"/>
        <w:spacing w:lineRule="auto" w:line="240"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Represents rental payments under operating leases with remaining non-cancellable terms in excess of one year.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were payable at least bi-monthly, are not subject to formula-based restrictions and do not bear interest if amounts outstanding are paid when due and in full. The purchasing card facility required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 In March 2025, Bank of America further reduced the credit line to $15.0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we terminated use of the purchasing card facility in anticipation of the sale of the Loyalty business. Bakkt Holdings, Inc. was released as a guarantor under the commercial purchasing card facility, and our cash collateral requirement was reduced from $7.0 million to $1.5 million as security for any remaining redemption activity processed under the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19, 2025, we entered into a Cooperation Agreement with DTR and Mr. Naheta, the sole stockholder of DTR, pursuant to which DTR will provide, subject to the negotiation and execution of a definitive commercial agreement, us with certain exclusive payment processing technology, application programming interfaces, and infrastructure to be integrated into our platform for the enablement of global payments processing services in the jurisdictions where we or our affiliates operate.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our stockholder approval, which such automatic extension shall not exceed 90 days.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consideration for the sale of the DTR Equity contemplated by a Put Option or a Call Option, Mr. Naheta will be entitled, in exchange for all of the DTR Equity, to a number of shares of the Class A Common Stock, representing at least 19.9% and no more than 31.5%, of our aggregate common stock (which such total shall include the shares of the then outstanding and issued Class A Common Stock and the shares of Class A Common Stock then exchangeable for the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our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either we or Mr. Naheta shall exercise the above described Call Option or Put Option, respectively, such transaction shall be (i) executed pursuant to a customary purchase agreement that will contain representations, warranties and interim operating covenants by the Company, DTR and Mr. Naheta that are customary for a transaction of this nature (the “Definitive Agreement”), (ii) subject to, among other things, obtaining any required regulatory approvals,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objections and/or similar authorizations, our stockholder approval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us having terminated any lines of credit in effect on the date of the Cooperation Agreement and having repaid in full any indebtedness then outstanding and borrowed thereunder. The Definitive Agreement shall also provide for a clause to allow the Special Committee of the Board to pursue any superior proposal for a transaction that, if consummated, would result in our change of control that is conditioned upon the termination of the Put Option; provided, that we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Non-GAAP Financial Measures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unaudited interim consolidated financial statements included in this Report are prepared in accordance with United States generally accepted accounting principles (“GAAP”). </w:t>
      </w:r>
      <w:r>
        <w:rPr>
          <w:rFonts w:ascii="Times New Roman;serif" w:hAnsi="Times New Roman;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Adjusted EBITDA</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present Adjusted EBITDA as a non-GAAP financial measure.</w:t>
      </w:r>
    </w:p>
    <w:p>
      <w:pPr>
        <w:pStyle w:val="TextBody"/>
        <w:bidi w:val="0"/>
        <w:spacing w:lineRule="auto" w:line="333" w:before="240" w:after="283"/>
        <w:ind w:left="0" w:right="0" w:firstLine="720"/>
        <w:jc w:val="both"/>
        <w:rPr/>
      </w:pPr>
      <w:r>
        <w:rPr>
          <w:rFonts w:ascii="Times New Roman;serif" w:hAnsi="Times New Roman;serif"/>
          <w:b w:val="false"/>
          <w:color w:val="231F20"/>
          <w:sz w:val="20"/>
        </w:rPr>
        <w:t>We believe that Adjusted EBITDA provides relevant and useful information, which is used by management in assessing the performance of our business. EBITDA is defined as earnings before interest, income taxes, depreciation, and amortization. Adjusted EBITDA is defined as EBITDA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r>
        <w:rPr>
          <w:color w:val="000000"/>
        </w:rPr>
        <w:t xml:space="preserve"> </w:t>
      </w:r>
      <w:r>
        <w:rPr>
          <w:rFonts w:ascii="Times New Roman;serif" w:hAnsi="Times New Roman;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(loss) and our other financial results presented in accordance with GAAP.</w:t>
      </w:r>
    </w:p>
    <w:p>
      <w:pPr>
        <w:pStyle w:val="TextBody"/>
        <w:bidi w:val="0"/>
        <w:spacing w:lineRule="auto" w:line="333" w:before="240" w:after="240"/>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income (loss), the most directly comparable GAAP operating performance measure, to our Adjusted EBITDA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223"/>
        <w:gridCol w:w="989"/>
        <w:gridCol w:w="1015"/>
        <w:gridCol w:w="291"/>
        <w:gridCol w:w="1075"/>
        <w:gridCol w:w="150"/>
        <w:gridCol w:w="109"/>
        <w:gridCol w:w="109"/>
        <w:gridCol w:w="109"/>
        <w:gridCol w:w="291"/>
        <w:gridCol w:w="1075"/>
        <w:gridCol w:w="150"/>
        <w:gridCol w:w="109"/>
        <w:gridCol w:w="109"/>
        <w:gridCol w:w="109"/>
        <w:gridCol w:w="280"/>
        <w:gridCol w:w="1032"/>
        <w:gridCol w:w="144"/>
        <w:gridCol w:w="109"/>
        <w:gridCol w:w="109"/>
        <w:gridCol w:w="109"/>
        <w:gridCol w:w="278"/>
        <w:gridCol w:w="1022"/>
        <w:gridCol w:w="209"/>
      </w:tblGrid>
      <w:tr>
        <w:trPr/>
        <w:tc>
          <w:tcPr>
            <w:tcW w:w="12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0"/>
              <w:ind w:left="0" w:right="0" w:firstLine="289"/>
              <w:jc w:val="both"/>
              <w:rPr/>
            </w:pPr>
            <w:r>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2024</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(63,078)</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and unit-based compensation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from change in fair value of warrant liability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Shelf registration expenses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assignment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Bakkt Trust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convertible debenture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(loss)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(50,927)</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Adjusted EBITDA for the three months ended September 30, 2025 increased by $49.2 million or 240.6% as compared to the three months ended September 30, 2024 primarily due to $43.5 million of other income from a derivative gain and a $6.7 million reduction in compensation (excluding share-based and unit-based compensation expense), professional services, technology and selling, general and administrative expenses for the three months ended September 30, 2025 relative to the same period in the prior year. </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Adjusted EBITDA loss for the nine months ended September 30, 2025 decreased by $57.9 million or 113.7% as compared to the nine months ended September 30, 2024 mainly due to an overall lower net loss for the nine months ended September 30, 2025 relative to the same period in the prior year. The decreased loss was primarily due to $43.5 million of other income from a derivative gain, and a $13.8 million reduction in compensation (excluding share-based and unit-based compensation expense), professional services, technology and selling, general and administrative expenses for the nine months ended September 30, 2025 relative to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the Board. For further information about our critical accounting policies and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pPr>
      <w:r>
        <w:rPr>
          <w:rFonts w:ascii="Times New Roman;serif" w:hAnsi="Times New Roman;serif"/>
          <w:b w:val="false"/>
          <w:color w:val="231F20"/>
          <w:sz w:val="20"/>
        </w:rPr>
        <w:t>refer to “</w:t>
      </w:r>
      <w:r>
        <w:rPr>
          <w:rFonts w:ascii="Times New Roman;serif" w:hAnsi="Times New Roman;serif"/>
          <w:b w:val="false"/>
          <w:i/>
          <w:color w:val="231F20"/>
          <w:sz w:val="20"/>
        </w:rPr>
        <w:t>Item 7. Management’s Discussion and Analysis of Financial Condition and Results of Operations</w:t>
      </w:r>
      <w:r>
        <w:rPr>
          <w:color w:val="231F20"/>
        </w:rPr>
        <w:t xml:space="preserve">” </w:t>
      </w:r>
      <w:r>
        <w:rPr>
          <w:rFonts w:ascii="Times New Roman;serif" w:hAnsi="Times New Roman;serif"/>
          <w:b w:val="false"/>
          <w:color w:val="231F20"/>
          <w:sz w:val="20"/>
        </w:rPr>
        <w:t>in our Form 10-K filed with the SEC on March 20, 2025. There have been no material changes to our critical accounting policies and estimates since the filing of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Use of Estimates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serif" w:hAnsi="Times New Roman;serif"/>
          <w:b w:val="false"/>
          <w:color w:val="231F20"/>
          <w:sz w:val="20"/>
        </w:rPr>
        <w:t>The significant estimates and assumptions that affect the financial statements may include, but are not limited to, going concern,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incentive units. Actual results and outcomes may differ from management's estimates and assumptions and such differences may be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Recently Issued and Adopted Accounting Pronouncements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Recently issued and adopted accounting pronouncements are described in Note 2 in the unaudited consolidated financial statements </w:t>
      </w:r>
      <w:r>
        <w:rPr>
          <w:rFonts w:ascii="Times New Roman;serif" w:hAnsi="Times New Roman;serif"/>
          <w:b w:val="false"/>
          <w:color w:val="000000"/>
          <w:sz w:val="20"/>
        </w:rPr>
        <w:t>included in this Report</w:t>
      </w:r>
      <w:r>
        <w:rPr>
          <w:rFonts w:ascii="Times New Roman;serif" w:hAnsi="Times New Roman;serif"/>
          <w:b w:val="false"/>
          <w:color w:val="231F2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President and Co-Chief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President and Co-Chief Executive Officer and Chief Financial Officer have concluded that as of September 30, 2025, our disclosure controls and procedures were, in design and operation, effective at a reasonable assurance level. </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There were no changes to our internal control over financial reporting (as defined in Rule 13a-15(f) and Rule 15d-15(f) under the Exchange Act) during the quarter ended </w:t>
      </w:r>
      <w:r>
        <w:rPr>
          <w:rFonts w:ascii="Times New Roman;serif" w:hAnsi="Times New Roman;serif"/>
          <w:b w:val="false"/>
          <w:color w:val="231F20"/>
          <w:sz w:val="20"/>
        </w:rPr>
        <w:t>September 30, 2025</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Notes 15 in our unaudited consolidated financial statements included in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in this Report, you should carefully consider the risk factors and other cautionary statements described under the heading “Part I—Item 1A—Risk Factors” of our most recent Annual Report on Form 10-K, in “Part II—Item 1A—Risk Factors” of our Quarterly Report on Form 10-Q for the quarter ended March 31, 2025 and in “Part II—Item 1A—Risk Factors” of our Quarterly Report on Form 10-Q for the quarter ended June 30, 2025. In addition, you should consider the risks, uncertainties and assumptions discussed under the heading “Risk Factors Related to the Update of Our Investment Policy” in Exhibit 99.1 to our Current Report on Form 8-K filed on June 10, 2025.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We may be unable to realize the anticipated benefits of investments and strategic transactions in connection with our international expansion strategy.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increase the breadth and depth of our product offering and seek to expand internationally, there can be no assurance that we will be able to realize the anticipated benefits of these and other past or future investments and strategic transactions. If our investments do not perform, those investments could become impaired and we may lose any or all of our investment. In addition, there can be no assurance that our international partners, in particular those that we do not control, such as MHT, will adopt our products, services or technology, which could impact our growth prospects.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The continuation of the U.S. federal government shutdown could adversely affect us.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Disagreement over the U.S. federal budget has caused the U.S. federal government to shut down since October 1, 2025. Although a proposed funding stopgap measure has recently been advanced in the Senate to ensure government funding through January 2026, there is no assurance that the shutdown will terminate. To the extent the bill is not enacted into law or a longer term resolution is not reached, shutdown-driven regulatory delays, including at the SEC, may continue to delay key legislative and regulatory initiatives, consultations with regulators and our ability to raise capital. These conditions may also lead to increased volatility and tighter liquidity in the markets, which may decrease transaction volumes, and negatively affect customer sentiment. Any of the foregoing, particularly if the shutdown is further prolonged, could adversely affect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33" w:before="120" w:after="283"/>
        <w:jc w:val="both"/>
        <w:rPr>
          <w:rFonts w:ascii="Times New Roman;serif" w:hAnsi="Times New Roman;serif"/>
          <w:b w:val="false"/>
          <w:color w:val="000000"/>
          <w:sz w:val="20"/>
        </w:rPr>
      </w:pPr>
      <w:r>
        <w:rPr>
          <w:rFonts w:ascii="Times New Roman;serif" w:hAnsi="Times New Roman;serif"/>
          <w:b w:val="false"/>
          <w:color w:val="000000"/>
          <w:sz w:val="20"/>
        </w:rPr>
        <w:t>(a)     On November 8, 2025, Board of Directors (the “Board”) of the Company appointed Richard Galvin to serve as a Class I director. The Board has determined that Mr. Galvin is independent and meets the applicable independence requirements of the New York Stock Exchange.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transactions between the Company and Mr. Galvin that would require disclosure under Item 404(a) of Regulation S-K. There are no understandings or arrangements between Mr. Galvin or any other person pursuant to which Mr. Galvin was selected to serve as a director of the Board.</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Galvin, 51, is the Co-Founder, Executive Chairman and Chief Investment Officer of Digital Asset Capital Management, a specialist institutional investment manager focused on digital assets since 2017. Mr. Galvin has more than 20 years of experience working in senior investment banking roles. From 2010 to 2016, he was the Head of Equity &amp; Derivative Capital Markets, Australia &amp; New Zealand at J.P. Morgan, and from 1996 to 2010, he was the Executive Director, Co-Head of Telecommunications, Media &amp; Technology Investment Banking (Australia) at Goldman Sachs JBWere. Mr. Galvin has a unique background crossing over blue-chip traditional finance and digital assets. Mr. Galvin holds a Bachelor of Commerce in Economics from Monash University (Melbourne, Australia) and a Graduate Diploma in Applied Finance and Investment from the Australian Securities Institute.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Galvin will receive the standard non-employee director compensation for serving on the Board. The specific terms of such compensation were described in the Company’s proxy statement on Schedule 14A for the Company’s 2025 Annual Meeting of Stockholders, filed with the U.S. Securities and Exchange Commission on April 28, 2025.</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appointment of Mr. Galvin as a member of the Board, the Company has entered into an Indemnification Agreement with Mr. Galvin pursuant to which the Company has agreed to indemnify Mr. Galvin to the fullest extent permitted under Delaware law against liability that may arise by reason of her service to the Company and to advance his expenses incurred as a result of any proceeding against him to which he could be indemnified.</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Indemnification Agreement is qualified in its entirety by reference to the full text of such Indemnification Agreement, the form of which is filed as Exhibit 10.7 to the Company’s Current Report on Form 8-K filed on October 21, 2021 and incorporated in this Item 5 by reference.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 Securities Trading Plans of Directors and Executive Officers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our last fiscal quarter, no director or officer, as defined in Rule 16a-1(f), adopted or terminated a "Rule 10b5-1 trading arrangement" or a "non-Rule 10b5-1 trading arrangement," each as defined in Regulation S-K Item 408, except as follows: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2025, Marc D'Annunzio, the Company’s General Counsel and Secretary, adopted a pre-arranged written stock sale plan in accordance with Rule 10b5-1 (the “D'Annunzio Rule 10b5-1 Plan”) under the Exchange Act, for the sale of shares of the Company’s Class A Common Stock. The D'Annunzio Rule 10b5-1 Plan was entered into during an open trading window in accordance with the Company’s policies regarding transactions in the Company’s securities and is intended to satisfy the affirmative defense of Rule 10b5-1(c) under the Exchange Act. The D'Annunzio Rule 10b5-1 Plan provides for the potential sale of up to 14,018 shares of the Company’s Class A Common Stock plus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shares of the Company's Class A Common Stock issuable upon vesting of restricted stock units and performance stock units granted to Mr. D'Annunzio prior to the adoption of the D'Annunzio Rule 10b5-1 Plan, so long as the market price of the Company’s Class A Common Stock is higher than certain minimum threshold prices specified in the D'Annunzio Rule 10b5-1 Plan. Sales under the D’Annunzio Rule 10b5-1 Plan can start on December 10, 2025 and last until December 31, 2026, unless earlier terminated in accordance with its terms.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28, 2025, De'Ana Dow, a member of the Company’s Board of Directors, adopted a pre-arranged written stock sale plan in accordance with Rule 10b5-1 (the “Dow Rule 10b5-1 Plan”) under the Exchange Act, for the sale of shares of the Company’s Common Stock. The Dow Rule 10b5-1 Plan was entered into during an open trading window in accordance with the Company’s policies regarding transactions in the Company’s securities and is intended to satisfy the affirmative defense of Rule 10b5-1(c) under the Exchange Act. The Dow Rule 10b5-1 Plan provides for the potential sale of 40% of any shares of the Company's Class A Common Stock issuable upon vesting of restricted stock units granted to Ms. Dow prior to the adoption of the Dow Rule 10b5-1 Plan, at the then market price of the Company’s Class A Common Stock. Sales under the Dow 10b5-1 Plan can start on June 22, 2026 and last until December 22, 2026, unless earlier terminated in accordance with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2057"/>
        <w:gridCol w:w="1902"/>
        <w:gridCol w:w="1921"/>
        <w:gridCol w:w="215"/>
        <w:gridCol w:w="215"/>
        <w:gridCol w:w="168"/>
        <w:gridCol w:w="271"/>
        <w:gridCol w:w="271"/>
        <w:gridCol w:w="165"/>
        <w:gridCol w:w="245"/>
        <w:gridCol w:w="245"/>
        <w:gridCol w:w="246"/>
        <w:gridCol w:w="392"/>
        <w:gridCol w:w="392"/>
        <w:gridCol w:w="349"/>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Incorporated by Reference</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5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7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11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Underwriting Agreement, dated as of July 28, 2025, by and among the Company, Clear Street LLC and Cohen &amp; Co. Capital Markets, a division of Cohen &amp; Company Securities, LLC.</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 xml:space="preserve">Amended and Restated </w:t>
              </w:r>
            </w:hyperlink>
            <w:hyperlink r:id="rId4">
              <w:r>
                <w:rPr>
                  <w:rStyle w:val="InternetLink"/>
                  <w:rFonts w:ascii="Times New Roman;serif" w:hAnsi="Times New Roman;serif"/>
                  <w:b w:val="false"/>
                  <w:color w:val="000080"/>
                  <w:sz w:val="20"/>
                  <w:u w:val="single"/>
                </w:rPr>
                <w:t>By-laws of the Company, as currently in effect</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Certificate of Incorporation of the Company, as currently in effect</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8-K </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Pre-Funded Warrant</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Equity Purchase Agreement, dated as of July 23, 2025, by and among Bakkt Opco Holdings, LLC, Project Labrador Holdings, LLC, Bridge2 Solutions, LLC, Aspire Loyalty Travel Solutions, LLC, Bridge2 Solutions Canada Ltd., and B2S Resale, LLC.</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Amendment and Waiver to Equity Purchase Agreement, dated as of September 30, 2025, by and among Bakkt Opco Holdings, LLC, Project Labrador Holdings, LLC, Bridge2 Solutions, LLC, Aspire Loyalty Travel Solutions, LLC, Bridge2 Solutions Canada Ltd., and B2S Resale, LLC.</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Release Agreement, dated as of August 11, 2025, between Andrew Main and Bakkt Holdings, Inc.</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Advisor Agreement, dated as of August 11, 2025, between Andrew Main and Bakkt Holdings, Inc.</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2025</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certification-c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certification-cf.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certification-c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certification-c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tbl>
      <w:tblPr>
        <w:tblW w:w="10064" w:type="dxa"/>
        <w:jc w:val="left"/>
        <w:tblInd w:w="0" w:type="dxa"/>
        <w:tblLayout w:type="fixed"/>
        <w:tblCellMar>
          <w:top w:w="28" w:type="dxa"/>
          <w:left w:w="28" w:type="dxa"/>
          <w:bottom w:w="28" w:type="dxa"/>
          <w:right w:w="28" w:type="dxa"/>
        </w:tblCellMar>
      </w:tblPr>
      <w:tblGrid>
        <w:gridCol w:w="351"/>
        <w:gridCol w:w="311"/>
        <w:gridCol w:w="313"/>
        <w:gridCol w:w="109"/>
        <w:gridCol w:w="109"/>
        <w:gridCol w:w="109"/>
        <w:gridCol w:w="2467"/>
        <w:gridCol w:w="2467"/>
        <w:gridCol w:w="2475"/>
        <w:gridCol w:w="109"/>
        <w:gridCol w:w="109"/>
        <w:gridCol w:w="109"/>
        <w:gridCol w:w="109"/>
        <w:gridCol w:w="109"/>
        <w:gridCol w:w="109"/>
        <w:gridCol w:w="109"/>
        <w:gridCol w:w="109"/>
        <w:gridCol w:w="109"/>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40" w:after="283"/>
        <w:ind w:left="0" w:right="0" w:hanging="490"/>
        <w:jc w:val="both"/>
        <w:rPr>
          <w:color w:val="000000"/>
        </w:rPr>
      </w:pPr>
      <w:r>
        <w:rPr>
          <w:color w:val="000000"/>
        </w:rPr>
        <w:t>†    </w:t>
      </w:r>
      <w:r>
        <w:rPr>
          <w:rFonts w:ascii="Times New Roman;serif" w:hAnsi="Times New Roman;serif"/>
          <w:b w:val="false"/>
          <w:color w:val="000000"/>
          <w:sz w:val="20"/>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344"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284"/>
        <w:gridCol w:w="284"/>
        <w:gridCol w:w="284"/>
        <w:gridCol w:w="1152"/>
        <w:gridCol w:w="1152"/>
        <w:gridCol w:w="165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Bakkt Holdings, Inc.</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Henderson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Henderson</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40" w:before="4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 Akshay Naheta, certify that: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Bakkt Holdings, Inc.;</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6568"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158"/>
        <w:gridCol w:w="1158"/>
        <w:gridCol w:w="164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40" w:before="4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 Karen Alexander, certify that: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Bakkt Holdings, Inc.;</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023"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06"/>
        <w:gridCol w:w="706"/>
        <w:gridCol w:w="100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40"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Bakkt Holdings, Inc. (the “Company”) on Form 10-Q for the period ending September 30, 2025 as filed with the Securities and Exchange Commission on the date hereof (the “Report”), I, Akshay Naheta, the Chief Executive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6414" w:type="dxa"/>
        <w:jc w:val="left"/>
        <w:tblInd w:w="0" w:type="dxa"/>
        <w:tblLayout w:type="fixed"/>
        <w:tblCellMar>
          <w:top w:w="28" w:type="dxa"/>
          <w:left w:w="28" w:type="dxa"/>
          <w:bottom w:w="28" w:type="dxa"/>
          <w:right w:w="28" w:type="dxa"/>
        </w:tblCellMar>
      </w:tblPr>
      <w:tblGrid>
        <w:gridCol w:w="625"/>
        <w:gridCol w:w="548"/>
        <w:gridCol w:w="551"/>
        <w:gridCol w:w="109"/>
        <w:gridCol w:w="109"/>
        <w:gridCol w:w="109"/>
        <w:gridCol w:w="134"/>
        <w:gridCol w:w="134"/>
        <w:gridCol w:w="136"/>
        <w:gridCol w:w="1158"/>
        <w:gridCol w:w="1158"/>
        <w:gridCol w:w="1643"/>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40"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Bakkt Holdings, Inc. (the “Company”) on Form 10-Q for the period ending September 30, 2025 as filed with the Securities and Exchange Commission on the date hereof (the “Report”), I, Karen Alexander, the Chief Financial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350"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34"/>
        <w:gridCol w:w="134"/>
        <w:gridCol w:w="136"/>
        <w:gridCol w:w="706"/>
        <w:gridCol w:w="706"/>
        <w:gridCol w:w="100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302/000119312525169353/d37228dex11.htm" TargetMode="External"/><Relationship Id="rId3" Type="http://schemas.openxmlformats.org/officeDocument/2006/relationships/hyperlink" Target="https://www.sec.gov/Archives/edgar/data/1820302/000119312521303985/d219325dex32.htm" TargetMode="External"/><Relationship Id="rId4" Type="http://schemas.openxmlformats.org/officeDocument/2006/relationships/hyperlink" Target="https://www.sec.gov/Archives/edgar/data/1820302/000119312521303985/d219325dex32.htm" TargetMode="External"/><Relationship Id="rId5" Type="http://schemas.openxmlformats.org/officeDocument/2006/relationships/hyperlink" Target="https://www.sec.gov/Archives/edgar/data/1820302/000119312521303985/d219325dex31.htm" TargetMode="External"/><Relationship Id="rId6" Type="http://schemas.openxmlformats.org/officeDocument/2006/relationships/hyperlink" Target="https://www.sec.gov/Archives/edgar/data/1820302/000119312525169353/d37228dex41.htm" TargetMode="External"/><Relationship Id="rId7" Type="http://schemas.openxmlformats.org/officeDocument/2006/relationships/hyperlink" Target="https://www.sec.gov/Archives/edgar/data/1820302/000162828025036239/ex101.htm" TargetMode="External"/><Relationship Id="rId8" Type="http://schemas.openxmlformats.org/officeDocument/2006/relationships/hyperlink" Target="https://www.sec.gov/Archives/edgar/data/1820302/000162828025043317/ex101a.htm" TargetMode="External"/><Relationship Id="rId9" Type="http://schemas.openxmlformats.org/officeDocument/2006/relationships/hyperlink" Target="https://www.sec.gov/Archives/edgar/data/1820302/000119312525178246/d18816dex101.htm" TargetMode="External"/><Relationship Id="rId10" Type="http://schemas.openxmlformats.org/officeDocument/2006/relationships/hyperlink" Target="https://www.sec.gov/Archives/edgar/data/1820302/000119312525178246/d18816dex10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37951</Words>
  <Characters>209359</Characters>
  <CharactersWithSpaces>245305</CharactersWithSpaces>
  <Paragraphs>3677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