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19,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19, 2024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January 11, 2024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January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reissue comment 3 of our letter dated June 12, 2023, in part. Please revise to disclose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and how the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completion of Ethereum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transition to Proof-of-Stake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consensus has impacted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analysis, if any, of whether a particular crypto asset that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on your</w:t>
      </w:r>
    </w:p>
    <w:p>
      <w:pPr>
        <w:spacing w:after="0"/>
        <w:tabs>
          <w:tab w:leader="none" w:pos="178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is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within the meaning of Section 2(a)(1)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31,NameBakkt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31,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 11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13. Please revise your disclosure to identify the risk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could be subject to judicial or administrative sanctions for acting as a clearing</w:t>
      </w:r>
    </w:p>
    <w:p>
      <w:pPr>
        <w:ind w:right="4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 without appropriate registration. Liquidity Providers, page 22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346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proposed disclosures on page 22 of Annex A. At the bottom of page 22, you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daily or</w:t>
            </w:r>
          </w:p>
        </w:tc>
        <w:tc>
          <w:tcPr>
            <w:tcW w:w="6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state that Bakkt Crypto settles with its liquidity providers on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post-trade,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non-real- time basis...." Please revise to clarify the frequency that,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circumstances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which, Bakkt Crypto settles with its liquidity providers at a frequency other than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 or intra-day, and discuss any risks associated with settling less frequently than daily.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Services for the Crypto Assets Supported for Trading, page 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comment 11 indicates, among others, that all of the keys for the cold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BitGo has established to hold Bakkt Crypto assets are held by BitGo and stored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cold storage. However, we also note your proposed disclosure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Annex A that</w:t>
      </w:r>
    </w:p>
    <w:p>
      <w:pPr>
        <w:ind w:left="960"/>
        <w:spacing w:after="0" w:line="238" w:lineRule="auto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"[u]nder the BitGo Custody Agreement, BitGo, at Bakkt Crypto</w:t>
        <w:tab/>
        <w:t>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direction, establishes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maintains wallets for the storage of crypto assets, including cold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where BitGo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holds a majority of the keys and a majority of those keys are stored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offline..." (emphasis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added). Please explain this apparent inconsistency and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necessary.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David Lin at 202-551-3552 or Sandra Hunter Berkheimer at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2024-03-14T23:09:16Z</dcterms:created>
  <dcterms:modified xsi:type="dcterms:W3CDTF">2024-03-14T23:09:16Z</dcterms:modified>
</cp:coreProperties>
</file>