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G9441E100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00" w:firstLine="7"/>
        <w:spacing w:after="0" w:line="510" w:lineRule="auto"/>
        <w:tabs>
          <w:tab w:leader="none" w:pos="4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rFonts w:ascii="MS PGothic" w:cs="MS PGothic" w:eastAsia="MS PGothic" w:hAnsi="MS PGothic"/>
          <w:sz w:val="16"/>
          <w:szCs w:val="16"/>
          <w:color w:val="auto"/>
        </w:rPr>
      </w:pPr>
    </w:p>
    <w:p>
      <w:pPr>
        <w:spacing w:after="0" w:line="26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233"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158750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-121285</wp:posOffset>
            </wp:positionV>
            <wp:extent cx="570230"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-117475</wp:posOffset>
            </wp:positionV>
            <wp:extent cx="578485"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485"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880" w:space="720"/>
            <w:col w:w="3800" w:space="520"/>
            <w:col w:w="100" w:space="500"/>
            <w:col w:w="16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800,000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3.9%</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800,000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3.9%</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240"/>
          </w:cols>
          <w:pgMar w:left="320" w:top="563"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800,000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3.9%</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40"/>
          </w:cols>
          <w:pgMar w:left="320" w:top="563"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1,600,000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1,600,000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7.7%</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1,600,000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1,600,000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7.7%</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6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158750</wp:posOffset>
            </wp:positionV>
            <wp:extent cx="7136130" cy="5027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-121285</wp:posOffset>
            </wp:positionV>
            <wp:extent cx="561340" cy="158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63" w:right="339" w:bottom="1440" w:gutter="0" w:footer="0" w:header="0"/>
        </w:sectPr>
      </w:pPr>
    </w:p>
    <w:p>
      <w:pPr>
        <w:spacing w:after="0" w:line="1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1,600,000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1,600,000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7.7%</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63"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G9441E100</w:t>
            </w:r>
          </w:p>
        </w:tc>
        <w:tc>
          <w:tcPr>
            <w:tcW w:w="3500" w:type="dxa"/>
            <w:vAlign w:val="bottom"/>
          </w:tcPr>
          <w:p>
            <w:pPr>
              <w:ind w:left="2180"/>
              <w:spacing w:after="0"/>
              <w:rPr>
                <w:sz w:val="20"/>
                <w:szCs w:val="20"/>
                <w:color w:val="auto"/>
              </w:rPr>
            </w:pPr>
            <w:r>
              <w:rPr>
                <w:rFonts w:ascii="Arial" w:cs="Arial" w:eastAsia="Arial" w:hAnsi="Arial"/>
                <w:sz w:val="18"/>
                <w:szCs w:val="18"/>
                <w:b w:val="1"/>
                <w:bCs w:val="1"/>
                <w:color w:val="auto"/>
                <w:w w:val="94"/>
              </w:rPr>
              <w:t>SCHEDULE 13G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120" w:hanging="329"/>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6"/>
          <w:szCs w:val="16"/>
          <w:color w:val="auto"/>
        </w:rPr>
        <w:t>VPC Impact Acquisition Holdings, a Cayman Islands exempted company (the "Issuer").</w:t>
      </w:r>
    </w:p>
    <w:p>
      <w:pPr>
        <w:spacing w:after="0" w:line="253" w:lineRule="exact"/>
        <w:rPr>
          <w:rFonts w:ascii="Arial" w:cs="Arial" w:eastAsia="Arial" w:hAnsi="Arial"/>
          <w:sz w:val="18"/>
          <w:szCs w:val="18"/>
          <w:color w:val="auto"/>
        </w:rPr>
      </w:pPr>
    </w:p>
    <w:p>
      <w:pPr>
        <w:ind w:left="1120" w:hanging="329"/>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Victory Park Capital Advisors, LLC</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Chicago, Illinois 60606</w:t>
      </w:r>
    </w:p>
    <w:p>
      <w:pPr>
        <w:spacing w:after="0" w:line="217" w:lineRule="exact"/>
        <w:rPr>
          <w:sz w:val="20"/>
          <w:szCs w:val="20"/>
          <w:color w:val="auto"/>
        </w:rPr>
      </w:pPr>
    </w:p>
    <w:p>
      <w:pPr>
        <w:spacing w:after="0"/>
        <w:tabs>
          <w:tab w:leader="none" w:pos="780" w:val="left"/>
          <w:tab w:leader="none" w:pos="110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120" w:right="416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666 Fifth Avenue</w:t>
      </w:r>
    </w:p>
    <w:p>
      <w:pPr>
        <w:spacing w:after="0" w:line="1" w:lineRule="exact"/>
        <w:rPr>
          <w:rFonts w:ascii="Arial" w:cs="Arial" w:eastAsia="Arial" w:hAnsi="Arial"/>
          <w:sz w:val="18"/>
          <w:szCs w:val="18"/>
          <w:color w:val="auto"/>
        </w:rPr>
      </w:pPr>
    </w:p>
    <w:p>
      <w:pPr>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ICS Opportunities, Ltd.</w:t>
      </w:r>
    </w:p>
    <w:p>
      <w:pPr>
        <w:spacing w:after="0" w:line="15" w:lineRule="exact"/>
        <w:rPr>
          <w:rFonts w:ascii="Arial" w:cs="Arial" w:eastAsia="Arial" w:hAnsi="Arial"/>
          <w:sz w:val="18"/>
          <w:szCs w:val="18"/>
          <w:color w:val="auto"/>
        </w:rPr>
      </w:pPr>
    </w:p>
    <w:p>
      <w:pPr>
        <w:ind w:left="1120" w:right="352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666 Fifth Avenue</w:t>
      </w:r>
    </w:p>
    <w:p>
      <w:pPr>
        <w:jc w:val="both"/>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Cayman Islands</w:t>
      </w:r>
    </w:p>
    <w:p>
      <w:pPr>
        <w:spacing w:after="0" w:line="146" w:lineRule="exact"/>
        <w:rPr>
          <w:rFonts w:ascii="Arial" w:cs="Arial" w:eastAsia="Arial" w:hAnsi="Arial"/>
          <w:sz w:val="18"/>
          <w:szCs w:val="18"/>
          <w:color w:val="auto"/>
        </w:rPr>
      </w:pPr>
    </w:p>
    <w:p>
      <w:pPr>
        <w:ind w:left="1120" w:right="378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666 Fifth Avenue</w:t>
      </w:r>
    </w:p>
    <w:p>
      <w:pPr>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20" w:right="458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666 Fifth Avenue</w:t>
      </w:r>
    </w:p>
    <w:p>
      <w:pPr>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20" w:right="410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666 Fifth Avenue</w:t>
      </w:r>
    </w:p>
    <w:p>
      <w:pPr>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120" w:right="432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United States</w:t>
      </w:r>
    </w:p>
    <w:p>
      <w:pPr>
        <w:spacing w:after="0" w:line="146" w:lineRule="exact"/>
        <w:rPr>
          <w:rFonts w:ascii="Arial" w:cs="Arial" w:eastAsia="Arial" w:hAnsi="Arial"/>
          <w:sz w:val="18"/>
          <w:szCs w:val="18"/>
          <w:color w:val="auto"/>
        </w:rPr>
      </w:pPr>
    </w:p>
    <w:p>
      <w:pPr>
        <w:ind w:left="1120" w:hanging="329"/>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6"/>
          <w:szCs w:val="16"/>
          <w:color w:val="auto"/>
        </w:rPr>
        <w:t>Class A ordinary shares, par value $0.0001 per share ("Class A Ordinary Shares")</w:t>
      </w:r>
    </w:p>
    <w:p>
      <w:pPr>
        <w:spacing w:after="0" w:line="275" w:lineRule="exact"/>
        <w:rPr>
          <w:rFonts w:ascii="Arial" w:cs="Arial" w:eastAsia="Arial" w:hAnsi="Arial"/>
          <w:sz w:val="18"/>
          <w:szCs w:val="18"/>
          <w:color w:val="auto"/>
        </w:rPr>
      </w:pPr>
    </w:p>
    <w:p>
      <w:pPr>
        <w:ind w:left="1120" w:right="5580" w:hanging="329"/>
        <w:spacing w:after="0" w:line="613"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G9441E100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Page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-106680</wp:posOffset>
            </wp:positionV>
            <wp:extent cx="552450" cy="158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45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ectPr>
          <w:pgSz w:w="11900" w:h="16838" w:orient="portrait"/>
          <w:cols w:equalWidth="0" w:num="5">
            <w:col w:w="7880" w:space="720"/>
            <w:col w:w="340" w:space="520"/>
            <w:col w:w="80" w:space="500"/>
            <w:col w:w="140" w:space="520"/>
            <w:col w:w="180"/>
          </w:cols>
          <w:pgMar w:left="320" w:top="332" w:right="6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G9441E100</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400" w:type="dxa"/>
            <w:vAlign w:val="bottom"/>
          </w:tcPr>
          <w:p>
            <w:pPr>
              <w:ind w:left="1060"/>
              <w:spacing w:after="0"/>
              <w:rPr>
                <w:sz w:val="20"/>
                <w:szCs w:val="20"/>
                <w:color w:val="auto"/>
              </w:rPr>
            </w:pPr>
            <w:r>
              <w:rPr>
                <w:rFonts w:ascii="Arial" w:cs="Arial" w:eastAsia="Arial" w:hAnsi="Arial"/>
                <w:sz w:val="18"/>
                <w:szCs w:val="18"/>
                <w:color w:val="auto"/>
                <w:w w:val="76"/>
              </w:rPr>
              <w:t>Page</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-121285</wp:posOffset>
            </wp:positionV>
            <wp:extent cx="570230" cy="158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230" cy="158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-117475</wp:posOffset>
            </wp:positionV>
            <wp:extent cx="578485" cy="158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485" cy="158115"/>
                    </a:xfrm>
                    <a:prstGeom prst="rect">
                      <a:avLst/>
                    </a:prstGeom>
                    <a:noFill/>
                  </pic:spPr>
                </pic:pic>
              </a:graphicData>
            </a:graphic>
          </wp:anchor>
        </w:drawing>
      </w:r>
    </w:p>
    <w:p>
      <w:pPr>
        <w:sectPr>
          <w:pgSz w:w="11900" w:h="16838" w:orient="portrait"/>
          <w:cols w:equalWidth="0" w:num="4">
            <w:col w:w="8900" w:space="520"/>
            <w:col w:w="100" w:space="500"/>
            <w:col w:w="160" w:space="520"/>
            <w:col w:w="180"/>
          </w:cols>
          <w:pgMar w:left="320" w:top="548" w:right="69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20" w:space="720"/>
            <w:col w:w="3800" w:space="460"/>
            <w:col w:w="180" w:space="460"/>
            <w:col w:w="140" w:space="520"/>
            <w:col w:w="540"/>
          </w:cols>
          <w:pgMar w:left="320" w:top="347" w:right="339" w:bottom="1440" w:gutter="0" w:footer="0" w:header="0"/>
        </w:sectPr>
      </w:pPr>
    </w:p>
    <w:p>
      <w:pPr>
        <w:spacing w:after="0" w:line="45" w:lineRule="exact"/>
        <w:rPr>
          <w:sz w:val="20"/>
          <w:szCs w:val="20"/>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jc w:val="both"/>
        <w:ind w:firstLine="173"/>
        <w:spacing w:after="0" w:line="294" w:lineRule="auto"/>
        <w:rPr>
          <w:sz w:val="20"/>
          <w:szCs w:val="20"/>
          <w:color w:val="auto"/>
        </w:rPr>
      </w:pPr>
      <w:r>
        <w:rPr>
          <w:rFonts w:ascii="Arial" w:cs="Arial" w:eastAsia="Arial" w:hAnsi="Arial"/>
          <w:sz w:val="16"/>
          <w:szCs w:val="16"/>
          <w:color w:val="auto"/>
        </w:rPr>
        <w:t>As of the close of business on December 31, 2020, the reporting persons beneficially owned an aggregate of 1,600,000 of the Issuer’s Class A Ordinary Shares as a result of holding 800,000 of the Issuer’s Class A Ordinary Shares and 800,000 of the Issuer’s units. Each unit consists of one Class A Ordinary Share of the Issuer and one-half of one warrant of the Issuer. Each whole warrant entitles the holder to purchase one Class A Ordinary Share of the Issuer. The Issuer’s warrants will become exercisable on the later of 30 days after the completion of the Issuer’s initial business combination and 12 months from the closing of the Issuer’s initial public offering. Specifically, as of the close of business on December 31, 2020:</w:t>
      </w:r>
    </w:p>
    <w:p>
      <w:pPr>
        <w:spacing w:after="0" w:line="129" w:lineRule="exact"/>
        <w:rPr>
          <w:sz w:val="20"/>
          <w:szCs w:val="20"/>
          <w:color w:val="auto"/>
        </w:rPr>
      </w:pPr>
    </w:p>
    <w:p>
      <w:pPr>
        <w:ind w:firstLine="142"/>
        <w:spacing w:after="0" w:line="268" w:lineRule="auto"/>
        <w:tabs>
          <w:tab w:leader="none" w:pos="2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Integrated Core Strategies (US) LLC, a Delaware limited liability company ("Integrated Core Strategies"), beneficially owned 800,000 of the Issuer’s Class A Ordinary Shares; and</w:t>
      </w:r>
    </w:p>
    <w:p>
      <w:pPr>
        <w:spacing w:after="0" w:line="145" w:lineRule="exact"/>
        <w:rPr>
          <w:rFonts w:ascii="Arial" w:cs="Arial" w:eastAsia="Arial" w:hAnsi="Arial"/>
          <w:sz w:val="18"/>
          <w:szCs w:val="18"/>
          <w:color w:val="auto"/>
        </w:rPr>
      </w:pPr>
    </w:p>
    <w:p>
      <w:pPr>
        <w:jc w:val="both"/>
        <w:ind w:firstLine="150"/>
        <w:spacing w:after="0" w:line="256" w:lineRule="auto"/>
        <w:tabs>
          <w:tab w:leader="none" w:pos="3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ICS Opportunities, Ltd., an exempted company organized under the laws of the Cayman Islands ("ICS Opportunities"), beneficially owned 800,000 of the Issuer’s Class A Ordinary Shares as a result of holding 800,000 of the Issuer’s units, which together with the Issuer’s Class A Ordinary Shares beneficially owned by Integrated Core Strategies represented 1,600,000 of the Issuer’s Class A Ordinary Shares or 7.7% of the Issuer’s Class A Ordinary Shares outstanding.</w:t>
      </w:r>
    </w:p>
    <w:p>
      <w:pPr>
        <w:spacing w:after="0" w:line="156" w:lineRule="exact"/>
        <w:rPr>
          <w:sz w:val="20"/>
          <w:szCs w:val="20"/>
          <w:color w:val="auto"/>
        </w:rPr>
      </w:pPr>
    </w:p>
    <w:p>
      <w:pPr>
        <w:jc w:val="both"/>
        <w:ind w:right="20" w:firstLine="198"/>
        <w:spacing w:after="0" w:line="331" w:lineRule="auto"/>
        <w:rPr>
          <w:sz w:val="20"/>
          <w:szCs w:val="20"/>
          <w:color w:val="auto"/>
        </w:rPr>
      </w:pPr>
      <w:r>
        <w:rPr>
          <w:rFonts w:ascii="Arial" w:cs="Arial" w:eastAsia="Arial" w:hAnsi="Arial"/>
          <w:sz w:val="16"/>
          <w:szCs w:val="16"/>
          <w:color w:val="auto"/>
        </w:rPr>
        <w:t>Millennium International Management LP, a Delaware limited partnership ("Millennium International Management"), is the investment manager to ICS Opportunities and may be deemed to have shared voting control and investment discretion over securities owned by ICS Opportunities.</w:t>
      </w:r>
    </w:p>
    <w:p>
      <w:pPr>
        <w:spacing w:after="0" w:line="100" w:lineRule="exact"/>
        <w:rPr>
          <w:sz w:val="20"/>
          <w:szCs w:val="20"/>
          <w:color w:val="auto"/>
        </w:rPr>
      </w:pPr>
    </w:p>
    <w:p>
      <w:pPr>
        <w:jc w:val="both"/>
        <w:ind w:firstLine="215"/>
        <w:spacing w:after="0" w:line="256" w:lineRule="auto"/>
        <w:rPr>
          <w:sz w:val="20"/>
          <w:szCs w:val="20"/>
          <w:color w:val="auto"/>
        </w:rPr>
      </w:pPr>
      <w:r>
        <w:rPr>
          <w:rFonts w:ascii="Arial" w:cs="Arial" w:eastAsia="Arial" w:hAnsi="Arial"/>
          <w:sz w:val="18"/>
          <w:szCs w:val="18"/>
          <w:color w:val="auto"/>
        </w:rPr>
        <w:t>Millennium Management LLC, a Delaware limited liability company ("Millennium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may also be deemed to have shared voting control and investment discretion over securities owned by ICS Opportunities.</w:t>
      </w:r>
    </w:p>
    <w:p>
      <w:pPr>
        <w:spacing w:after="0" w:line="156"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8"/>
          <w:szCs w:val="18"/>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w:t>
      </w:r>
    </w:p>
    <w:p>
      <w:pPr>
        <w:spacing w:after="0" w:line="156" w:lineRule="exact"/>
        <w:rPr>
          <w:sz w:val="20"/>
          <w:szCs w:val="20"/>
          <w:color w:val="auto"/>
        </w:rPr>
      </w:pPr>
    </w:p>
    <w:p>
      <w:pPr>
        <w:jc w:val="both"/>
        <w:ind w:firstLine="137"/>
        <w:spacing w:after="0" w:line="259" w:lineRule="auto"/>
        <w:rPr>
          <w:sz w:val="20"/>
          <w:szCs w:val="20"/>
          <w:color w:val="auto"/>
        </w:rPr>
      </w:pPr>
      <w:r>
        <w:rPr>
          <w:rFonts w:ascii="Arial" w:cs="Arial" w:eastAsia="Arial" w:hAnsi="Arial"/>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and ICS Opportunities.</w:t>
      </w:r>
    </w:p>
    <w:p>
      <w:pPr>
        <w:spacing w:after="0" w:line="15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The foregoing should not be construed in and of itself as an admission by Millennium International Management, Millennium Management, Millennium Group Management or Mr. Englander as to beneficial ownership of the securities owned by Integrated Core Strategies or ICS Opportunities, as the case may be.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156"/>
        <w:spacing w:after="0" w:line="256" w:lineRule="auto"/>
        <w:rPr>
          <w:sz w:val="20"/>
          <w:szCs w:val="20"/>
          <w:color w:val="auto"/>
        </w:rPr>
      </w:pPr>
      <w:r>
        <w:rPr>
          <w:rFonts w:ascii="Arial" w:cs="Arial" w:eastAsia="Arial" w:hAnsi="Arial"/>
          <w:sz w:val="18"/>
          <w:szCs w:val="18"/>
          <w:color w:val="auto"/>
        </w:rPr>
        <w:t>As of the close of business on December 31, 2020, Millennium Management, Millennium Group Management and Mr. Englander may be deemed to have beneficially owned 1,600,000 of the Issuer’s Class A Ordinary Shares or 7.7% of the Issuer’s Class A Ordinary Shares outstanding (see Item 4(a) above), which percentage was calculated based on 20,737,202 of the Issuer’s Class A Ordinary Shares outstanding as of November 16, 2020, as reported in the Issuer’s Form 10-Q filed on November 16, 2020.</w:t>
      </w:r>
    </w:p>
    <w:p>
      <w:pPr>
        <w:sectPr>
          <w:pgSz w:w="11900" w:h="16838" w:orient="portrait"/>
          <w:cols w:equalWidth="0" w:num="1">
            <w:col w:w="11240"/>
          </w:cols>
          <w:pgMar w:left="320" w:top="34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920" w:space="720"/>
            <w:col w:w="3800" w:space="460"/>
            <w:col w:w="180" w:space="460"/>
            <w:col w:w="140" w:space="520"/>
            <w:col w:w="540"/>
          </w:cols>
          <w:pgMar w:left="320" w:top="347" w:right="339" w:bottom="1440" w:gutter="0" w:footer="0" w:header="0"/>
        </w:sectPr>
      </w:pPr>
    </w:p>
    <w:p>
      <w:pPr>
        <w:spacing w:after="0" w:line="15" w:lineRule="exact"/>
        <w:rPr>
          <w:sz w:val="20"/>
          <w:szCs w:val="20"/>
          <w:color w:val="auto"/>
        </w:rPr>
      </w:pPr>
    </w:p>
    <w:p>
      <w:pPr>
        <w:ind w:left="300" w:hanging="248"/>
        <w:spacing w:after="0"/>
        <w:tabs>
          <w:tab w:leader="none" w:pos="300" w:val="left"/>
        </w:tabs>
        <w:numPr>
          <w:ilvl w:val="0"/>
          <w:numId w:val="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73" w:lineRule="exact"/>
        <w:rPr>
          <w:rFonts w:ascii="Arial" w:cs="Arial" w:eastAsia="Arial" w:hAnsi="Arial"/>
          <w:sz w:val="18"/>
          <w:szCs w:val="18"/>
          <w:u w:val="single" w:color="auto"/>
          <w:color w:val="auto"/>
        </w:rPr>
      </w:pPr>
    </w:p>
    <w:p>
      <w:pPr>
        <w:ind w:left="680" w:right="7740" w:hanging="132"/>
        <w:spacing w:after="0" w:line="453" w:lineRule="auto"/>
        <w:tabs>
          <w:tab w:leader="none" w:pos="758"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800" w:hanging="252"/>
        <w:spacing w:after="0"/>
        <w:tabs>
          <w:tab w:leader="none" w:pos="8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1,600,000 (See Item 4(b))</w:t>
      </w:r>
    </w:p>
    <w:p>
      <w:pPr>
        <w:spacing w:after="0" w:line="185" w:lineRule="exact"/>
        <w:rPr>
          <w:sz w:val="20"/>
          <w:szCs w:val="20"/>
          <w:color w:val="auto"/>
        </w:rPr>
      </w:pPr>
    </w:p>
    <w:p>
      <w:pPr>
        <w:ind w:left="900" w:hanging="308"/>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4" w:lineRule="exact"/>
        <w:rPr>
          <w:rFonts w:ascii="Arial" w:cs="Arial" w:eastAsia="Arial" w:hAnsi="Arial"/>
          <w:sz w:val="18"/>
          <w:szCs w:val="18"/>
          <w:color w:val="auto"/>
        </w:rPr>
      </w:pPr>
    </w:p>
    <w:p>
      <w:pPr>
        <w:ind w:left="680" w:right="6600" w:hanging="132"/>
        <w:spacing w:after="0" w:line="453" w:lineRule="auto"/>
        <w:tabs>
          <w:tab w:leader="none" w:pos="8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1,600,000 (See Item 4(b))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4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-121285</wp:posOffset>
            </wp:positionV>
            <wp:extent cx="570230" cy="158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6">
            <w:col w:w="800" w:space="700"/>
            <w:col w:w="2880" w:space="720"/>
            <w:col w:w="3820" w:space="480"/>
            <w:col w:w="180" w:space="460"/>
            <w:col w:w="140" w:space="520"/>
            <w:col w:w="520"/>
          </w:cols>
          <w:pgMar w:left="320" w:top="347" w:right="35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I: Joint Filing Agreement, dated as of January 29, 2021, by and among Integrated Core Strategies (US) LLC, ICS Opportunities, Ltd., Millennium International Management LP, Millennium Management LLC, Millennium Group Management LLC and Israel A. Englander.</w:t>
      </w:r>
    </w:p>
    <w:p>
      <w:pPr>
        <w:sectPr>
          <w:pgSz w:w="11900" w:h="16838" w:orient="portrait"/>
          <w:cols w:equalWidth="0" w:num="1">
            <w:col w:w="11220"/>
          </w:cols>
          <w:pgMar w:left="320" w:top="347"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35" w:lineRule="exact"/>
        <w:rPr>
          <w:sz w:val="20"/>
          <w:szCs w:val="20"/>
          <w:color w:val="auto"/>
        </w:rPr>
      </w:pPr>
    </w:p>
    <w:p>
      <w:pPr>
        <w:jc w:val="center"/>
        <w:ind w:right="25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6">
            <w:col w:w="800" w:space="700"/>
            <w:col w:w="2900" w:space="720"/>
            <w:col w:w="3820" w:space="460"/>
            <w:col w:w="180" w:space="460"/>
            <w:col w:w="140" w:space="520"/>
            <w:col w:w="540"/>
          </w:cols>
          <w:pgMar w:left="320" w:top="347" w:right="339" w:bottom="1440" w:gutter="0" w:footer="0" w:header="0"/>
        </w:sectPr>
      </w:pPr>
    </w:p>
    <w:p>
      <w:pPr>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29, 2021</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4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-121285</wp:posOffset>
            </wp:positionV>
            <wp:extent cx="1298575" cy="175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320" w:val="left"/>
        </w:tabs>
        <w:rPr>
          <w:sz w:val="20"/>
          <w:szCs w:val="20"/>
          <w:color w:val="auto"/>
        </w:rPr>
      </w:pP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21"/>
          <w:szCs w:val="21"/>
          <w:color w:val="auto"/>
          <w:vertAlign w:val="superscript"/>
        </w:rPr>
        <w:t>Page</w:t>
      </w:r>
    </w:p>
    <w:p>
      <w:pPr>
        <w:spacing w:after="0" w:line="235" w:lineRule="exact"/>
        <w:rPr>
          <w:sz w:val="20"/>
          <w:szCs w:val="20"/>
          <w:color w:val="auto"/>
        </w:rPr>
      </w:pPr>
    </w:p>
    <w:p>
      <w:pPr>
        <w:jc w:val="center"/>
        <w:ind w:right="1960"/>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1960"/>
        <w:spacing w:after="0"/>
        <w:rPr>
          <w:sz w:val="20"/>
          <w:szCs w:val="20"/>
          <w:color w:val="auto"/>
        </w:rPr>
      </w:pPr>
      <w:r>
        <w:rPr>
          <w:rFonts w:ascii="Arial" w:cs="Arial" w:eastAsia="Arial" w:hAnsi="Arial"/>
          <w:sz w:val="18"/>
          <w:szCs w:val="18"/>
          <w:b w:val="1"/>
          <w:bCs w:val="1"/>
          <w:color w:val="auto"/>
        </w:rPr>
        <w:t>JOINT FILING AGREEMENT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-121285</wp:posOffset>
            </wp:positionV>
            <wp:extent cx="561340" cy="158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570230" cy="158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127" w:lineRule="exact"/>
        <w:rPr>
          <w:sz w:val="20"/>
          <w:szCs w:val="20"/>
          <w:color w:val="auto"/>
        </w:rPr>
      </w:pPr>
    </w:p>
    <w:p>
      <w:pPr>
        <w:sectPr>
          <w:pgSz w:w="11900" w:h="16838" w:orient="portrait"/>
          <w:cols w:equalWidth="0" w:num="6">
            <w:col w:w="800" w:space="700"/>
            <w:col w:w="2360" w:space="720"/>
            <w:col w:w="4360" w:space="460"/>
            <w:col w:w="180" w:space="460"/>
            <w:col w:w="140" w:space="520"/>
            <w:col w:w="540"/>
          </w:cols>
          <w:pgMar w:left="320" w:top="347" w:right="339" w:bottom="1440" w:gutter="0" w:footer="0" w:header="0"/>
        </w:sectPr>
      </w:pPr>
    </w:p>
    <w:p>
      <w:pPr>
        <w:spacing w:after="0" w:line="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will confirm the agreement by and among the undersigned that the Schedule 13G filed with the Securities and Exchange Commission on or about the date hereof with respect to the beneficial ownership by the undersigned of the Class A Ordinary Shares, par value $0.0001 per share, of VPC Impact Acquisition Holdings, a Cayman Islands exempted company,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29, 2021</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240"/>
      </w:cols>
      <w:pgMar w:left="320" w:top="34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2"/>
      <w:numFmt w:val="bullet"/>
      <w:start w:val="1"/>
    </w:lvl>
    <w:lvl w:ilvl="1">
      <w:lvlJc w:val="left"/>
      <w:lvlText w:val="(%2)"/>
      <w:numFmt w:val="lowerLetter"/>
      <w:start w:val="2"/>
    </w:lvl>
  </w:abstractNum>
  <w:abstractNum w:abstractNumId="2">
    <w:nsid w:val="66EF438D"/>
    <w:multiLevelType w:val="hybridMultilevel"/>
    <w:lvl w:ilvl="0">
      <w:lvlJc w:val="left"/>
      <w:lvlText w:val="3"/>
      <w:numFmt w:val="bullet"/>
      <w:start w:val="1"/>
    </w:lvl>
  </w:abstractNum>
  <w:abstractNum w:abstractNumId="3">
    <w:nsid w:val="140E0F76"/>
    <w:multiLevelType w:val="hybridMultilevel"/>
    <w:lvl w:ilvl="0">
      <w:lvlJc w:val="left"/>
      <w:lvlText w:val="2"/>
      <w:numFmt w:val="bullet"/>
      <w:start w:val="1"/>
    </w:lvl>
    <w:lvl w:ilvl="1">
      <w:lvlJc w:val="left"/>
      <w:lvlText w:val="(%2)"/>
      <w:numFmt w:val="lowerLetter"/>
      <w:start w:val="2"/>
    </w:lvl>
  </w:abstractNum>
  <w:abstractNum w:abstractNumId="4">
    <w:nsid w:val="3352255A"/>
    <w:multiLevelType w:val="hybridMultilevel"/>
    <w:lvl w:ilvl="0">
      <w:lvlJc w:val="left"/>
      <w:lvlText w:val="3"/>
      <w:numFmt w:val="bullet"/>
      <w:start w:val="1"/>
    </w:lvl>
  </w:abstractNum>
  <w:abstractNum w:abstractNumId="5">
    <w:nsid w:val="109CF92E"/>
    <w:multiLevelType w:val="hybridMultilevel"/>
    <w:lvl w:ilvl="0">
      <w:lvlJc w:val="left"/>
      <w:lvlText w:val="2"/>
      <w:numFmt w:val="bullet"/>
      <w:start w:val="1"/>
    </w:lvl>
    <w:lvl w:ilvl="1">
      <w:lvlJc w:val="left"/>
      <w:lvlText w:val="(%2)"/>
      <w:numFmt w:val="lowerLetter"/>
      <w:start w:val="2"/>
    </w:lvl>
  </w:abstractNum>
  <w:abstractNum w:abstractNumId="6">
    <w:nsid w:val="DED7263"/>
    <w:multiLevelType w:val="hybridMultilevel"/>
    <w:lvl w:ilvl="0">
      <w:lvlJc w:val="left"/>
      <w:lvlText w:val="3"/>
      <w:numFmt w:val="bullet"/>
      <w:start w:val="1"/>
    </w:lvl>
  </w:abstractNum>
  <w:abstractNum w:abstractNumId="7">
    <w:nsid w:val="7FDCC233"/>
    <w:multiLevelType w:val="hybridMultilevel"/>
    <w:lvl w:ilvl="0">
      <w:lvlJc w:val="left"/>
      <w:lvlText w:val="2"/>
      <w:numFmt w:val="bullet"/>
      <w:start w:val="1"/>
    </w:lvl>
    <w:lvl w:ilvl="1">
      <w:lvlJc w:val="left"/>
      <w:lvlText w:val="(%2)"/>
      <w:numFmt w:val="lowerLetter"/>
      <w:start w:val="2"/>
    </w:lvl>
  </w:abstractNum>
  <w:abstractNum w:abstractNumId="8">
    <w:nsid w:val="1BEFD79F"/>
    <w:multiLevelType w:val="hybridMultilevel"/>
    <w:lvl w:ilvl="0">
      <w:lvlJc w:val="left"/>
      <w:lvlText w:val="3"/>
      <w:numFmt w:val="bullet"/>
      <w:start w:val="1"/>
    </w:lvl>
  </w:abstractNum>
  <w:abstractNum w:abstractNumId="9">
    <w:nsid w:val="41A7C4C9"/>
    <w:multiLevelType w:val="hybridMultilevel"/>
    <w:lvl w:ilvl="0">
      <w:lvlJc w:val="left"/>
      <w:lvlText w:val="2"/>
      <w:numFmt w:val="bullet"/>
      <w:start w:val="1"/>
    </w:lvl>
    <w:lvl w:ilvl="1">
      <w:lvlJc w:val="left"/>
      <w:lvlText w:val="(%2)"/>
      <w:numFmt w:val="lowerLetter"/>
      <w:start w:val="2"/>
    </w:lvl>
  </w:abstractNum>
  <w:abstractNum w:abstractNumId="10">
    <w:nsid w:val="6B68079A"/>
    <w:multiLevelType w:val="hybridMultilevel"/>
    <w:lvl w:ilvl="0">
      <w:lvlJc w:val="left"/>
      <w:lvlText w:val="3"/>
      <w:numFmt w:val="bullet"/>
      <w:start w:val="1"/>
    </w:lvl>
  </w:abstractNum>
  <w:abstractNum w:abstractNumId="11">
    <w:nsid w:val="4E6AFB66"/>
    <w:multiLevelType w:val="hybridMultilevel"/>
    <w:lvl w:ilvl="0">
      <w:lvlJc w:val="left"/>
      <w:lvlText w:val="2"/>
      <w:numFmt w:val="bullet"/>
      <w:start w:val="1"/>
    </w:lvl>
    <w:lvl w:ilvl="1">
      <w:lvlJc w:val="left"/>
      <w:lvlText w:val="(%2)"/>
      <w:numFmt w:val="lowerLetter"/>
      <w:start w:val="2"/>
    </w:lvl>
  </w:abstractNum>
  <w:abstractNum w:abstractNumId="12">
    <w:nsid w:val="25E45D32"/>
    <w:multiLevelType w:val="hybridMultilevel"/>
    <w:lvl w:ilvl="0">
      <w:lvlJc w:val="left"/>
      <w:lvlText w:val="3"/>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7"/>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Letter"/>
      <w:start w:val="3"/>
    </w:lvl>
    <w:lvl w:ilvl="1">
      <w:lvlJc w:val="left"/>
      <w:lvlText w:val="(%2)"/>
      <w:numFmt w:val="lowerRoman"/>
      <w:start w:val="1"/>
    </w:lvl>
  </w:abstractNum>
  <w:abstractNum w:abstractNumId="19">
    <w:nsid w:val="436C6125"/>
    <w:multiLevelType w:val="hybridMultilevel"/>
    <w:lvl w:ilvl="0">
      <w:lvlJc w:val="left"/>
      <w:lvlText w:val="%1"/>
      <w:numFmt w:val="lowerRoman"/>
      <w:start w:val="1"/>
    </w:lvl>
    <w:lvl w:ilvl="1">
      <w:lvlJc w:val="left"/>
      <w:lvlText w:val="(%2)"/>
      <w:numFmt w:val="lowerRoman"/>
      <w:start w:val="3"/>
    </w:lvl>
  </w:abstractNum>
  <w:abstractNum w:abstractNumId="20">
    <w:nsid w:val="628C895D"/>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2021-02-01T15:55:19Z</dcterms:created>
  <dcterms:modified xsi:type="dcterms:W3CDTF">2021-02-01T15:55:19Z</dcterms:modified>
</cp:coreProperties>
</file>