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t>February 8,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S-1 on Form S-3 (File No. 333-261034)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ectPr>
          <w:pgSz w:w="11900" w:h="16838" w:orient="portrait"/>
          <w:cols w:equalWidth="0" w:num="1">
            <w:col w:w="10960"/>
          </w:cols>
          <w:pgMar w:left="440" w:top="229" w:right="499" w:bottom="1440" w:gutter="0" w:footer="0" w:header="0"/>
        </w:sectPr>
      </w:pP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Requested Date:</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Requested Time: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Friday, February 9, 2024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4:30 P.M. Eastern Time</w:t>
      </w:r>
    </w:p>
    <w:p>
      <w:pPr>
        <w:spacing w:after="0" w:line="200" w:lineRule="exact"/>
        <w:rPr>
          <w:sz w:val="24"/>
          <w:szCs w:val="24"/>
          <w:color w:val="auto"/>
        </w:rPr>
      </w:pPr>
    </w:p>
    <w:p>
      <w:pPr>
        <w:sectPr>
          <w:pgSz w:w="11900" w:h="16838" w:orient="portrait"/>
          <w:cols w:equalWidth="0" w:num="2">
            <w:col w:w="2280" w:space="360"/>
            <w:col w:w="8320"/>
          </w:cols>
          <w:pgMar w:left="440" w:top="229" w:right="49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Bakkt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Division of Corporation Finance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Once the Registration Statement has been declared effective, please orally confirm that event with our counsel, Wilson Sonsini Goodrich &amp; Rosati, P.C., by calling J. Matthew Lyons at (512) 338-5411.</w:t>
      </w:r>
    </w:p>
    <w:p>
      <w:pPr>
        <w:spacing w:after="0" w:line="183" w:lineRule="exact"/>
        <w:rPr>
          <w:sz w:val="24"/>
          <w:szCs w:val="24"/>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Staff will consider this request as confirmation by the Company of its awareness of its responsibilities under the federal securities laws as they relate to the offering of the securities covered by the Registration Statement.</w:t>
      </w:r>
    </w:p>
    <w:p>
      <w:pPr>
        <w:spacing w:after="0" w:line="1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60"/>
          </w:cols>
          <w:pgMar w:left="440" w:top="229" w:right="499" w:bottom="1440" w:gutter="0" w:footer="0" w:header="0"/>
          <w:type w:val="continuous"/>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019"/>
          </w:cols>
          <w:pgMar w:left="440" w:top="270" w:right="1440"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(w/o enclosures):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Simmons, Bakkt Holdings, Inc.</w:t>
      </w:r>
    </w:p>
    <w:p>
      <w:pPr>
        <w:spacing w:after="0" w:line="200" w:lineRule="exact"/>
        <w:rPr>
          <w:sz w:val="20"/>
          <w:szCs w:val="20"/>
          <w:color w:val="auto"/>
        </w:rPr>
      </w:pPr>
    </w:p>
    <w:p>
      <w:pPr>
        <w:sectPr>
          <w:pgSz w:w="11900" w:h="16838" w:orient="portrait"/>
          <w:cols w:equalWidth="0" w:num="2">
            <w:col w:w="1440" w:space="320"/>
            <w:col w:w="8259"/>
          </w:cols>
          <w:pgMar w:left="440" w:top="270" w:right="1440" w:bottom="1440" w:gutter="0" w:footer="0" w:header="0"/>
          <w:type w:val="continuous"/>
        </w:sectPr>
      </w:pPr>
    </w:p>
    <w:p>
      <w:pPr>
        <w:spacing w:after="0" w:line="7"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color w:val="auto"/>
        </w:rPr>
        <w:t>J. Matthew Lyons, Wilson Sonsini Goodrich &amp; Rosati, P.C.</w:t>
      </w:r>
    </w:p>
    <w:p>
      <w:pPr>
        <w:spacing w:after="0" w:line="39"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Austin March, Wilson Sonsini Goodrich &amp; Rosati, P.C.</w:t>
      </w:r>
    </w:p>
    <w:sectPr>
      <w:pgSz w:w="11900" w:h="16838" w:orient="portrait"/>
      <w:cols w:equalWidth="0" w:num="1">
        <w:col w:w="1001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2024-03-14T23:11:38Z</dcterms:created>
  <dcterms:modified xsi:type="dcterms:W3CDTF">2024-03-14T23:11:38Z</dcterms:modified>
</cp:coreProperties>
</file>