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1442720</wp:posOffset>
            </wp:positionH>
            <wp:positionV relativeFrom="page">
              <wp:posOffset>843280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868680</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87630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44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November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36"/>
          <w:szCs w:val="36"/>
          <w:b w:val="1"/>
          <w:bCs w:val="1"/>
          <w:color w:val="auto"/>
        </w:rPr>
        <w:t>Bakkt Holdings, Inc.</w:t>
      </w:r>
    </w:p>
    <w:p>
      <w:pPr>
        <w:ind w:lef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41-2324812</w:t>
            </w:r>
          </w:p>
        </w:tc>
      </w:tr>
      <w:tr>
        <w:trPr>
          <w:trHeight w:val="17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45" w:lineRule="exact"/>
        <w:rPr>
          <w:sz w:val="24"/>
          <w:szCs w:val="24"/>
          <w:color w:val="auto"/>
        </w:rPr>
      </w:pPr>
    </w:p>
    <w:p>
      <w:pPr>
        <w:sectPr>
          <w:pgSz w:w="11900" w:h="16838" w:orient="portrait"/>
          <w:cols w:equalWidth="0" w:num="2">
            <w:col w:w="2720" w:space="720"/>
            <w:col w:w="7800"/>
          </w:cols>
          <w:pgMar w:left="320" w:top="1413" w:right="339" w:bottom="1440" w:gutter="0" w:footer="0" w:header="0"/>
          <w:type w:val="continuous"/>
        </w:sectPr>
      </w:pPr>
    </w:p>
    <w:tbl>
      <w:tblPr>
        <w:tblLayout w:type="fixed"/>
        <w:tblInd w:w="1240" w:type="dxa"/>
        <w:tblCellMar>
          <w:top w:w="0" w:type="dxa"/>
          <w:left w:w="0" w:type="dxa"/>
          <w:bottom w:w="0" w:type="dxa"/>
          <w:right w:w="0" w:type="dxa"/>
        </w:tblCellMar>
      </w:tblPr>
      <w:tr>
        <w:trPr>
          <w:trHeight w:val="207"/>
        </w:trPr>
        <w:tc>
          <w:tcPr>
            <w:tcW w:w="498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c>
          <w:tcPr>
            <w:tcW w:w="2600" w:type="dxa"/>
            <w:vAlign w:val="bottom"/>
          </w:tcPr>
          <w:p>
            <w:pPr>
              <w:spacing w:after="0"/>
              <w:rPr>
                <w:sz w:val="17"/>
                <w:szCs w:val="17"/>
                <w:color w:val="auto"/>
              </w:rPr>
            </w:pPr>
          </w:p>
        </w:tc>
      </w:tr>
      <w:tr>
        <w:trPr>
          <w:trHeight w:val="216"/>
        </w:trPr>
        <w:tc>
          <w:tcPr>
            <w:tcW w:w="498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rPr>
              <w:t>1 Liberty Street, Floor 3, Suite 305-306,</w:t>
            </w:r>
          </w:p>
        </w:tc>
        <w:tc>
          <w:tcPr>
            <w:tcW w:w="260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238"/>
        </w:trPr>
        <w:tc>
          <w:tcPr>
            <w:tcW w:w="4980" w:type="dxa"/>
            <w:vAlign w:val="bottom"/>
          </w:tcPr>
          <w:p>
            <w:pPr>
              <w:jc w:val="center"/>
              <w:ind w:right="1875"/>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600" w:type="dxa"/>
            <w:vAlign w:val="bottom"/>
          </w:tcPr>
          <w:p>
            <w:pPr>
              <w:spacing w:after="0"/>
              <w:rPr>
                <w:sz w:val="20"/>
                <w:szCs w:val="20"/>
                <w:color w:val="auto"/>
              </w:rPr>
            </w:pPr>
          </w:p>
        </w:tc>
      </w:tr>
      <w:tr>
        <w:trPr>
          <w:trHeight w:val="206"/>
        </w:trPr>
        <w:tc>
          <w:tcPr>
            <w:tcW w:w="4980" w:type="dxa"/>
            <w:vAlign w:val="bottom"/>
          </w:tcPr>
          <w:p>
            <w:pPr>
              <w:jc w:val="center"/>
              <w:ind w:right="187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00" w:type="dxa"/>
            <w:vAlign w:val="bottom"/>
          </w:tcPr>
          <w:p>
            <w:pPr>
              <w:jc w:val="center"/>
              <w:ind w:left="185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345440</wp:posOffset>
            </wp:positionV>
            <wp:extent cx="2511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4"/>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51435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9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On November 21, 2025, the Company elected to subscribe to 47,500,000 warrants to be issued by Transchem Ltd., an Indian company listed on BSE Ltd., pursuant to a preferential allotment approved by Transchem’s board of directors on November 21, 2025, and subject to shareholder and regulatory approvals (the “Investment”). The purchase price for the warrants is approximately $10 million. The warrants may be exercised by the Company for shares in Transchem’s common stock within 18 months of issuance in one or more tranches. The Investment includes an option for the Company to subscribe for additional warrants. Transchem has informed the Company that it has identified a potential acquisition target in India engaged in stock broking and registered with the Securities and Exchange Board of India as both a stockbroker and a depository participant.</w:t>
      </w:r>
    </w:p>
    <w:p>
      <w:pPr>
        <w:spacing w:after="0" w:line="17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Subject to the completion of definitive agreements, shareholder and regulatory approvals, and other customary closing conditions, the Company expects to provide additional updates in due course on the structure of the Investment, any potential corporate name change or rebranding, and expected changes to management and governance.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and Section 21E of the Securities Exchange Act of 1934, as amended. Forward-looking statements can be identified by words such as “will,” “likely,” “expect,” “continue,” “anticipate,” “estimate,” “believe,” “intend,” “plan,” “projection,” “outlook,” “grow,” “progress,” “potential” or words of similar meaning.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 Actual results and the timing of events may differ materially from the results anticipated in such forward-looking statements. You are cautioned not to place undue reliance on such forward-looking statements. Such forward-looking statements relate only to events as of the date on which such statements are made and are based on information available to us as of the date of this Current Report on Form 8-K. Unless otherwise required by law, we undertake no obligation to update any forward-looking statements made in this Current Report on Form 8-K to reflect events or circumstances after the date hereof or to reflect new information or the occurrence of unanticipated events.</w:t>
      </w:r>
    </w:p>
    <w:p>
      <w:pPr>
        <w:spacing w:after="0" w:line="18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The following factors, among others, could cause actual results and the timing of events to differ materially from the anticipated results or other expectations expressed in such forward-looking statements: the approval of the Investment by Transchem’s shareholders and relevant regulatory authorities and other risks and uncertainties indicated in the Company’s filings with the SEC, including its most recent Annual Report on Form 10-K for the year ended December 31, 2024 and its quarterly reports on Form 10-Q for the quarter ended March 31, 2025, the quarter ended June 30, 2025 and the quarter ended September 30, 2025, and the risks regarding the Company’s adoption of its Investment Policy set forth in Exhibit 99.1 to the Company’s Current Report on Form 8-K, filed with the SEC on June 10, 2025. You are cautioned not to place undue reliance on such forward-looking statements. Such forward-looking statements relate only to events as of the date on which such statements are made and are based on information available to us as of the date of this press release. Unless otherwise required by law, we undertake no obligation to update any forward-looking statements made in this press release to reflect events or circumstances after the date of this press release or to reflect new information or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894080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24, 2025</w:t>
      </w:r>
    </w:p>
    <w:p>
      <w:pPr>
        <w:spacing w:after="0" w:line="26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83"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D'Annunzio</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2025-11-24T13:00:57Z</dcterms:created>
  <dcterms:modified xsi:type="dcterms:W3CDTF">2025-11-24T13:00:57Z</dcterms:modified>
</cp:coreProperties>
</file>