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1896ds8.htm"/>
      <w:bookmarkStart w:id="1" w:name="ksd171896ds8"/>
      <w:bookmarkEnd w:id="0"/>
      <w:bookmarkEnd w:id="1"/>
      <w:r>
        <w:rPr>
          <w:rFonts w:ascii="Times New Roman" w:hAnsi="Times New Roman"/>
          <w:b/>
          <w:sz w:val="20"/>
        </w:rPr>
        <w:t xml:space="preserve">As filed with the Securities and Exchange Commission on October 20, 2026 </w:t>
      </w:r>
    </w:p>
    <w:p>
      <w:pPr>
        <w:pStyle w:val="TextBody"/>
        <w:bidi w:val="0"/>
        <w:spacing w:before="0" w:after="0"/>
        <w:jc w:val="right"/>
        <w:rPr>
          <w:rFonts w:ascii="Times New Roman" w:hAnsi="Times New Roman"/>
          <w:b/>
          <w:sz w:val="20"/>
        </w:rPr>
      </w:pPr>
      <w:r>
        <w:rPr>
          <w:rFonts w:ascii="Times New Roman" w:hAnsi="Times New Roman"/>
          <w:b/>
          <w:sz w:val="20"/>
        </w:rPr>
        <w:t>Registration No. 333-</w:t>
      </w:r>
      <w:r>
        <w:rPr>
          <w:rFonts w:ascii="Times New Roman" w:hAnsi="Times New Roman"/>
          <w:b/>
          <w:sz w:val="20"/>
          <w:u w:val="single"/>
        </w:rPr>
        <w:t>   </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BAKKT,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41-2324812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3280 Peachtree Road NE, 7th Floor, Atlanta, Georgia 30305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00" w:after="0"/>
        <w:jc w:val="center"/>
        <w:rPr>
          <w:rFonts w:ascii="Times New Roman" w:hAnsi="Times New Roman"/>
          <w:b/>
          <w:sz w:val="20"/>
        </w:rPr>
      </w:pPr>
      <w:r>
        <w:rPr>
          <w:rFonts w:ascii="Times New Roman" w:hAnsi="Times New Roman"/>
          <w:b/>
          <w:sz w:val="20"/>
        </w:rPr>
        <w:t xml:space="preserve">Bakkt, Inc. 2026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200" w:after="0"/>
        <w:jc w:val="center"/>
        <w:rPr>
          <w:rFonts w:ascii="Times New Roman" w:hAnsi="Times New Roman"/>
          <w:b/>
          <w:sz w:val="20"/>
        </w:rPr>
      </w:pPr>
      <w:r>
        <w:rPr>
          <w:rFonts w:ascii="Times New Roman" w:hAnsi="Times New Roman"/>
          <w:b/>
          <w:sz w:val="20"/>
        </w:rPr>
        <w:t xml:space="preserve">Akshay Naheta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3280 Peachtree Road NE, 7th Floor, Atlanta, Georgia 30305 (332) 203-3017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Jared M. Fishman</w:t>
            </w:r>
          </w:p>
          <w:p>
            <w:pPr>
              <w:pStyle w:val="TableContents"/>
              <w:bidi w:val="0"/>
              <w:spacing w:before="0" w:after="0"/>
              <w:jc w:val="center"/>
              <w:rPr>
                <w:rFonts w:ascii="Times New Roman" w:hAnsi="Times New Roman"/>
                <w:b/>
                <w:sz w:val="20"/>
              </w:rPr>
            </w:pPr>
            <w:r>
              <w:rPr>
                <w:rFonts w:ascii="Times New Roman" w:hAnsi="Times New Roman"/>
                <w:b/>
                <w:sz w:val="20"/>
              </w:rPr>
              <w:t>Matthew Goodman</w:t>
            </w:r>
          </w:p>
          <w:p>
            <w:pPr>
              <w:pStyle w:val="TableContents"/>
              <w:bidi w:val="0"/>
              <w:spacing w:before="0" w:after="0"/>
              <w:jc w:val="center"/>
              <w:rPr>
                <w:rFonts w:ascii="Times New Roman" w:hAnsi="Times New Roman"/>
                <w:b/>
                <w:sz w:val="20"/>
              </w:rPr>
            </w:pPr>
            <w:r>
              <w:rPr>
                <w:rFonts w:ascii="Times New Roman" w:hAnsi="Times New Roman"/>
                <w:b/>
                <w:sz w:val="20"/>
              </w:rPr>
              <w:t>Mario Schollmeyer</w:t>
            </w:r>
          </w:p>
          <w:p>
            <w:pPr>
              <w:pStyle w:val="TableContents"/>
              <w:bidi w:val="0"/>
              <w:spacing w:before="0" w:after="0"/>
              <w:jc w:val="center"/>
              <w:rPr>
                <w:rFonts w:ascii="Times New Roman" w:hAnsi="Times New Roman"/>
                <w:b/>
                <w:sz w:val="20"/>
              </w:rPr>
            </w:pPr>
            <w:r>
              <w:rPr>
                <w:rFonts w:ascii="Times New Roman" w:hAnsi="Times New Roman"/>
                <w:b/>
                <w:sz w:val="20"/>
              </w:rPr>
              <w:t>Sullivan &amp; Cromwell LLP</w:t>
            </w:r>
          </w:p>
          <w:p>
            <w:pPr>
              <w:pStyle w:val="TableContents"/>
              <w:bidi w:val="0"/>
              <w:spacing w:before="0" w:after="0"/>
              <w:jc w:val="center"/>
              <w:rPr>
                <w:rFonts w:ascii="Times New Roman" w:hAnsi="Times New Roman"/>
                <w:b/>
                <w:sz w:val="20"/>
              </w:rPr>
            </w:pPr>
            <w:r>
              <w:rPr>
                <w:rFonts w:ascii="Times New Roman" w:hAnsi="Times New Roman"/>
                <w:b/>
                <w:sz w:val="20"/>
              </w:rPr>
              <w:t>125 Broad Street</w:t>
            </w:r>
          </w:p>
          <w:p>
            <w:pPr>
              <w:pStyle w:val="TableContents"/>
              <w:bidi w:val="0"/>
              <w:spacing w:before="0" w:after="0"/>
              <w:jc w:val="center"/>
              <w:rPr>
                <w:rFonts w:ascii="Times New Roman" w:hAnsi="Times New Roman"/>
                <w:b/>
                <w:sz w:val="20"/>
              </w:rPr>
            </w:pPr>
            <w:r>
              <w:rPr>
                <w:rFonts w:ascii="Times New Roman" w:hAnsi="Times New Roman"/>
                <w:b/>
                <w:sz w:val="20"/>
              </w:rPr>
              <w:t>New York, NY 10004</w:t>
            </w:r>
          </w:p>
          <w:p>
            <w:pPr>
              <w:pStyle w:val="TableContents"/>
              <w:bidi w:val="0"/>
              <w:spacing w:before="0" w:after="20"/>
              <w:jc w:val="center"/>
              <w:rPr>
                <w:rFonts w:ascii="Times New Roman" w:hAnsi="Times New Roman"/>
                <w:b/>
                <w:sz w:val="20"/>
              </w:rPr>
            </w:pPr>
            <w:r>
              <w:rPr>
                <w:rFonts w:ascii="Times New Roman" w:hAnsi="Times New Roman"/>
                <w:b/>
                <w:sz w:val="20"/>
              </w:rPr>
              <w:t>(212) 558-4000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Marc D’Annunzio</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3280 Peachtree Road NE, 7th Floor,</w:t>
            </w:r>
          </w:p>
          <w:p>
            <w:pPr>
              <w:pStyle w:val="TableContents"/>
              <w:bidi w:val="0"/>
              <w:spacing w:before="0" w:after="20"/>
              <w:jc w:val="center"/>
              <w:rPr>
                <w:rFonts w:ascii="Times New Roman" w:hAnsi="Times New Roman"/>
                <w:b/>
                <w:sz w:val="20"/>
              </w:rPr>
            </w:pPr>
            <w:r>
              <w:rPr>
                <w:rFonts w:ascii="Times New Roman" w:hAnsi="Times New Roman"/>
                <w:b/>
                <w:sz w:val="20"/>
              </w:rPr>
              <w:t>Atlanta, Georgia 30305 (332) 203-3017</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Bakkt, Inc. (the “Company”) is filing this Registration Statement on Form S-8 (this “Registration Statement”) with the Securities and Exchange Commission (the “Commission” or the “SEC”) to register 1,500,000 shares of Class A Common Stock issuable under the Bakkt, Inc. 2026 Inducement Plan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Inducement Plan provides for the grant of equity-based awards to individuals who are commencing employment with the Company or its subsidiaries, or who are being rehired following a bona fide period of interruption of employment with the Company or its subsidiaries, as a material inducement to such individuals entering into employment with the Company or its subsidiaries. Awards under the Inducement Plan may include non-qualified stock options, stock appreciation rights, restricted stock, restricted stock units, dividend equivalent rights and other stock-based awards. </w:t>
      </w:r>
    </w:p>
    <w:p>
      <w:pPr>
        <w:pStyle w:val="TextBody"/>
        <w:bidi w:val="0"/>
        <w:spacing w:before="240" w:after="0"/>
        <w:jc w:val="left"/>
        <w:rPr>
          <w:rFonts w:ascii="Times New Roman" w:hAnsi="Times New Roman"/>
          <w:sz w:val="20"/>
        </w:rPr>
      </w:pPr>
      <w:r>
        <w:rPr>
          <w:rFonts w:ascii="Times New Roman" w:hAnsi="Times New Roman"/>
          <w:sz w:val="20"/>
        </w:rPr>
        <w:t xml:space="preserve">The Inducement Plan was approved by the Compensation Committee of the Company’s board of directors (the “Board”) on October 19, 2026 and approved and adopted by the Board on October 19, 2026. The Inducement Plan is intended to comply with, and be administered in accordance with, the inducement award exception under Section 303A.08 of the New York Stock Exchange Listed Company Manual. Accordingly, stockholder approval of the Inducement Plan is not required, and awards under the Inducement Plan will be granted outside of the Company’s stockholder-approved 2021 Omnibus Incentive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incorporates by reference the following documents that the Company has previously filed with the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
        <w:gridCol w:w="330"/>
        <w:gridCol w:w="9733"/>
      </w:tblGrid>
      <w:tr>
        <w:trPr/>
        <w:tc>
          <w:tcPr>
            <w:tcW w:w="142"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9733" w:type="dxa"/>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1.</w:t>
            </w:r>
          </w:p>
        </w:tc>
        <w:tc>
          <w:tcPr>
            <w:tcW w:w="330" w:type="dxa"/>
            <w:tcBorders/>
            <w:vAlign w:val="bottom"/>
          </w:tcPr>
          <w:p>
            <w:pPr>
              <w:pStyle w:val="TableContents"/>
              <w:bidi w:val="0"/>
              <w:spacing w:before="0" w:after="283"/>
              <w:jc w:val="left"/>
              <w:rPr/>
            </w:pPr>
            <w:r>
              <w:rPr/>
              <w:t>  </w:t>
            </w:r>
          </w:p>
        </w:tc>
        <w:tc>
          <w:tcPr>
            <w:tcW w:w="9733" w:type="dxa"/>
            <w:tcBorders/>
          </w:tcPr>
          <w:p>
            <w:pPr>
              <w:pStyle w:val="TableContents"/>
              <w:bidi w:val="0"/>
              <w:spacing w:before="0" w:after="283"/>
              <w:jc w:val="left"/>
              <w:rPr/>
            </w:pPr>
            <w:r>
              <w:rPr/>
              <w:t xml:space="preserve">The Company’s Annual Report on </w:t>
            </w:r>
            <w:hyperlink r:id="rId2">
              <w:r>
                <w:rPr>
                  <w:rStyle w:val="InternetLink"/>
                </w:rPr>
                <w:t>Form 10-K</w:t>
              </w:r>
            </w:hyperlink>
            <w:r>
              <w:rPr/>
              <w:t xml:space="preserve"> for the fiscal year ended December 31, 2025, filed with the Commission on March 19, 2026 (the “Annual Report”);</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10063"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2.</w:t>
            </w:r>
          </w:p>
        </w:tc>
        <w:tc>
          <w:tcPr>
            <w:tcW w:w="330" w:type="dxa"/>
            <w:tcBorders/>
            <w:vAlign w:val="bottom"/>
          </w:tcPr>
          <w:p>
            <w:pPr>
              <w:pStyle w:val="TableContents"/>
              <w:bidi w:val="0"/>
              <w:spacing w:before="0" w:after="283"/>
              <w:jc w:val="left"/>
              <w:rPr/>
            </w:pPr>
            <w:r>
              <w:rPr/>
              <w:t>  </w:t>
            </w:r>
          </w:p>
        </w:tc>
        <w:tc>
          <w:tcPr>
            <w:tcW w:w="9733" w:type="dxa"/>
            <w:tcBorders/>
          </w:tcPr>
          <w:p>
            <w:pPr>
              <w:pStyle w:val="TableContents"/>
              <w:bidi w:val="0"/>
              <w:spacing w:before="0" w:after="283"/>
              <w:jc w:val="left"/>
              <w:rPr/>
            </w:pPr>
            <w:r>
              <w:rPr/>
              <w:t xml:space="preserve">The portions of the Company’s Definitive Proxy Statement on </w:t>
            </w:r>
            <w:hyperlink r:id="rId3">
              <w:r>
                <w:rPr>
                  <w:rStyle w:val="InternetLink"/>
                </w:rPr>
                <w:t>Schedule 14A</w:t>
              </w:r>
            </w:hyperlink>
            <w:r>
              <w:rPr/>
              <w:t xml:space="preserve"> (other than information furnished rather than filed) that are incorporated by reference into the Annual Report, filed with the Commission on April 30, 2026;</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10063"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3.</w:t>
            </w:r>
          </w:p>
        </w:tc>
        <w:tc>
          <w:tcPr>
            <w:tcW w:w="330" w:type="dxa"/>
            <w:tcBorders/>
            <w:vAlign w:val="bottom"/>
          </w:tcPr>
          <w:p>
            <w:pPr>
              <w:pStyle w:val="TableContents"/>
              <w:bidi w:val="0"/>
              <w:spacing w:before="0" w:after="283"/>
              <w:jc w:val="left"/>
              <w:rPr/>
            </w:pPr>
            <w:r>
              <w:rPr/>
              <w:t>  </w:t>
            </w:r>
          </w:p>
        </w:tc>
        <w:tc>
          <w:tcPr>
            <w:tcW w:w="9733" w:type="dxa"/>
            <w:tcBorders/>
          </w:tcPr>
          <w:p>
            <w:pPr>
              <w:pStyle w:val="TableContents"/>
              <w:bidi w:val="0"/>
              <w:spacing w:before="0" w:after="283"/>
              <w:jc w:val="left"/>
              <w:rPr/>
            </w:pPr>
            <w:r>
              <w:rPr/>
              <w:t xml:space="preserve">The Company’s Quarterly Reports on Form 10-Q for the quarters ended </w:t>
            </w:r>
            <w:hyperlink r:id="rId4">
              <w:r>
                <w:rPr>
                  <w:rStyle w:val="InternetLink"/>
                </w:rPr>
                <w:t>March 31, 2026</w:t>
              </w:r>
            </w:hyperlink>
            <w:r>
              <w:rPr/>
              <w:t xml:space="preserve"> and </w:t>
            </w:r>
            <w:hyperlink r:id="rId5">
              <w:r>
                <w:rPr>
                  <w:rStyle w:val="InternetLink"/>
                </w:rPr>
                <w:t>June 30, 2026</w:t>
              </w:r>
            </w:hyperlink>
            <w:r>
              <w:rPr/>
              <w:t>, filed with the Commission on May 11, 2026 and August 10, 2026, respectively;</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10063"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4.</w:t>
            </w:r>
          </w:p>
        </w:tc>
        <w:tc>
          <w:tcPr>
            <w:tcW w:w="330" w:type="dxa"/>
            <w:tcBorders/>
            <w:vAlign w:val="bottom"/>
          </w:tcPr>
          <w:p>
            <w:pPr>
              <w:pStyle w:val="TableContents"/>
              <w:bidi w:val="0"/>
              <w:spacing w:before="0" w:after="283"/>
              <w:jc w:val="left"/>
              <w:rPr/>
            </w:pPr>
            <w:r>
              <w:rPr/>
              <w:t>  </w:t>
            </w:r>
          </w:p>
        </w:tc>
        <w:tc>
          <w:tcPr>
            <w:tcW w:w="9733" w:type="dxa"/>
            <w:tcBorders/>
          </w:tcPr>
          <w:p>
            <w:pPr>
              <w:pStyle w:val="TableContents"/>
              <w:bidi w:val="0"/>
              <w:spacing w:before="0" w:after="283"/>
              <w:jc w:val="left"/>
              <w:rPr/>
            </w:pPr>
            <w:r>
              <w:rPr/>
              <w:t xml:space="preserve">The Company’s Current Reports on Form 8-K filed with the Commission on </w:t>
            </w:r>
            <w:hyperlink r:id="rId6">
              <w:r>
                <w:rPr>
                  <w:rStyle w:val="InternetLink"/>
                </w:rPr>
                <w:t>August 17, 2026</w:t>
              </w:r>
            </w:hyperlink>
            <w:r>
              <w:rPr/>
              <w:t xml:space="preserve">, </w:t>
            </w:r>
            <w:hyperlink r:id="rId7">
              <w:r>
                <w:rPr>
                  <w:rStyle w:val="InternetLink"/>
                </w:rPr>
                <w:t>June  25, 2026</w:t>
              </w:r>
            </w:hyperlink>
            <w:r>
              <w:rPr/>
              <w:t xml:space="preserve">, </w:t>
            </w:r>
            <w:hyperlink r:id="rId8">
              <w:r>
                <w:rPr>
                  <w:rStyle w:val="InternetLink"/>
                </w:rPr>
                <w:t>June  4, 2026</w:t>
              </w:r>
            </w:hyperlink>
            <w:r>
              <w:rPr/>
              <w:t xml:space="preserve">, </w:t>
            </w:r>
            <w:hyperlink r:id="rId9">
              <w:r>
                <w:rPr>
                  <w:rStyle w:val="InternetLink"/>
                </w:rPr>
                <w:t>April  30, 2026</w:t>
              </w:r>
            </w:hyperlink>
            <w:r>
              <w:rPr/>
              <w:t xml:space="preserve">, </w:t>
            </w:r>
            <w:hyperlink r:id="rId10">
              <w:r>
                <w:rPr>
                  <w:rStyle w:val="InternetLink"/>
                </w:rPr>
                <w:t>April  20, 2026</w:t>
              </w:r>
            </w:hyperlink>
            <w:r>
              <w:rPr/>
              <w:t xml:space="preserve">, </w:t>
            </w:r>
            <w:hyperlink r:id="rId11">
              <w:r>
                <w:rPr>
                  <w:rStyle w:val="InternetLink"/>
                </w:rPr>
                <w:t>March  24, 2026</w:t>
              </w:r>
            </w:hyperlink>
            <w:r>
              <w:rPr/>
              <w:t xml:space="preserve">, </w:t>
            </w:r>
            <w:hyperlink r:id="rId12">
              <w:r>
                <w:rPr>
                  <w:rStyle w:val="InternetLink"/>
                </w:rPr>
                <w:t>March  2, 2026</w:t>
              </w:r>
            </w:hyperlink>
            <w:r>
              <w:rPr/>
              <w:t xml:space="preserve">, </w:t>
            </w:r>
            <w:hyperlink r:id="rId13">
              <w:r>
                <w:rPr>
                  <w:rStyle w:val="InternetLink"/>
                </w:rPr>
                <w:t>January  20, 2026</w:t>
              </w:r>
            </w:hyperlink>
            <w:r>
              <w:rPr/>
              <w:t xml:space="preserve">, </w:t>
            </w:r>
            <w:hyperlink r:id="rId14">
              <w:r>
                <w:rPr>
                  <w:rStyle w:val="InternetLink"/>
                </w:rPr>
                <w:t>January  20, 2026</w:t>
              </w:r>
            </w:hyperlink>
            <w:r>
              <w:rPr/>
              <w:t xml:space="preserve"> and </w:t>
            </w:r>
            <w:hyperlink r:id="rId15">
              <w:r>
                <w:rPr>
                  <w:rStyle w:val="InternetLink"/>
                </w:rPr>
                <w:t>January 12, 2026</w:t>
              </w:r>
            </w:hyperlink>
            <w:r>
              <w:rPr/>
              <w:t xml:space="preserve"> and its Current Reports on Form 8-K/A filed with the Commission on </w:t>
            </w:r>
            <w:hyperlink r:id="rId16">
              <w:r>
                <w:rPr>
                  <w:rStyle w:val="InternetLink"/>
                </w:rPr>
                <w:t>August  7, 2026</w:t>
              </w:r>
            </w:hyperlink>
            <w:r>
              <w:rPr/>
              <w:t xml:space="preserve"> and </w:t>
            </w:r>
            <w:hyperlink r:id="rId17">
              <w:r>
                <w:rPr>
                  <w:rStyle w:val="InternetLink"/>
                </w:rPr>
                <w:t>July 16, 2026</w:t>
              </w:r>
            </w:hyperlink>
            <w:r>
              <w:rPr/>
              <w:t>; and</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10063"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5.</w:t>
            </w:r>
          </w:p>
        </w:tc>
        <w:tc>
          <w:tcPr>
            <w:tcW w:w="330" w:type="dxa"/>
            <w:tcBorders/>
            <w:vAlign w:val="bottom"/>
          </w:tcPr>
          <w:p>
            <w:pPr>
              <w:pStyle w:val="TableContents"/>
              <w:bidi w:val="0"/>
              <w:spacing w:before="0" w:after="283"/>
              <w:jc w:val="left"/>
              <w:rPr/>
            </w:pPr>
            <w:r>
              <w:rPr/>
              <w:t>  </w:t>
            </w:r>
          </w:p>
        </w:tc>
        <w:tc>
          <w:tcPr>
            <w:tcW w:w="9733" w:type="dxa"/>
            <w:tcBorders/>
          </w:tcPr>
          <w:p>
            <w:pPr>
              <w:pStyle w:val="TableContents"/>
              <w:bidi w:val="0"/>
              <w:spacing w:before="0" w:after="283"/>
              <w:jc w:val="left"/>
              <w:rPr/>
            </w:pPr>
            <w:r>
              <w:rPr/>
              <w:t xml:space="preserve">The description of the Company’s Class A Common Stock contained in </w:t>
            </w:r>
            <w:hyperlink r:id="rId18">
              <w:r>
                <w:rPr>
                  <w:rStyle w:val="InternetLink"/>
                </w:rPr>
                <w:t>Exhibit 99.1</w:t>
              </w:r>
            </w:hyperlink>
            <w:r>
              <w:rPr/>
              <w:t xml:space="preserve"> to the Company’s Current Report on Form 8-K filed on November 3, 2025, including any amendment or report filed for the purpose of updating such description.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Certificate of Incorporation contains provisions that limit the liability of the Company’s directors and officers for monetary damages to the fullest extent permitted by the DGCL. Consequently, the Company’s directors and officers will not be personally liable to the Company or its stockholders for monetary damages for any breach of fiduciary duties as directors and officers,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Company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(in the case of directors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by or in the right of the Company (in the case of officers only);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and officers of corporations, then the personal liability of the Company’s directors and officers will be further limited to the greatest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Company’s non-employee directors may, through their relationships with their employers, be insured and/or indemnified against certain liabilities incurred in their capacity as members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
        <w:gridCol w:w="409"/>
        <w:gridCol w:w="9018"/>
      </w:tblGrid>
      <w:tr>
        <w:trPr/>
        <w:tc>
          <w:tcPr>
            <w:tcW w:w="778"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9018" w:type="dxa"/>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283"/>
              <w:jc w:val="left"/>
              <w:rPr>
                <w:b/>
              </w:rPr>
            </w:pPr>
            <w:r>
              <w:rPr>
                <w:b/>
              </w:rPr>
              <w:t>Exhibit</w:t>
              <w:br/>
              <w:t>No</w:t>
            </w:r>
          </w:p>
        </w:tc>
        <w:tc>
          <w:tcPr>
            <w:tcW w:w="409" w:type="dxa"/>
            <w:tcBorders/>
            <w:vAlign w:val="bottom"/>
          </w:tcPr>
          <w:p>
            <w:pPr>
              <w:pStyle w:val="TableContents"/>
              <w:bidi w:val="0"/>
              <w:spacing w:before="0" w:after="283"/>
              <w:jc w:val="left"/>
              <w:rPr/>
            </w:pPr>
            <w:r>
              <w:rPr/>
              <w:t>  </w:t>
            </w:r>
          </w:p>
        </w:tc>
        <w:tc>
          <w:tcPr>
            <w:tcW w:w="90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3.1</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r:id="rId19">
              <w:r>
                <w:rPr>
                  <w:rStyle w:val="InternetLink"/>
                </w:rPr>
                <w:t xml:space="preserve">Amended and Restated Certificate of Incorporation of Bakkt Holdings, Inc. (incorporated by reference to Exhibit 3.1 to Bakkt Holdings, Inc.’s Current Report on Form 8-K (File No. 001-39544) filed with the SEC on November 3, 2025).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3.2</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r:id="rId20">
              <w:r>
                <w:rPr>
                  <w:rStyle w:val="InternetLink"/>
                </w:rPr>
                <w:t>Certificate of Amendment to the Company’s Certificate of Incorporation, effective as of January  22, 2026 (incorporated by reference to Exhibit 3.2 to the Company’s Form 8-K filed with the SEC on January 12, 2026)</w:t>
              </w:r>
            </w:hyperlink>
            <w:r>
              <w:rPr/>
              <w:t>.</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3.3</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r:id="rId21">
              <w:r>
                <w:rPr>
                  <w:rStyle w:val="InternetLink"/>
                </w:rPr>
                <w:t>Amended and Restated By-Laws of the Company, effective as of January  22, 2026 (incorporated by reference to Exhibit 3.3 to the Company’s Form 8-K filed with the SEC on January 12, 2026).</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4.1</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r:id="rId22">
              <w:r>
                <w:rPr>
                  <w:rStyle w:val="InternetLink"/>
                </w:rPr>
                <w:t xml:space="preserve">Specimen Class A Common Stock Certificate of the Company (incorporated by reference to Exhibit 4.1 to the Company’s Form 8-K filed with the Commission on October 21, 2021).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5.1*</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51.htm">
              <w:r>
                <w:rPr>
                  <w:rStyle w:val="InternetLink"/>
                </w:rPr>
                <w:t xml:space="preserve">Opinion of Sullivan &amp; Cromwell LLP.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10.1*</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101.htm">
              <w:r>
                <w:rPr>
                  <w:rStyle w:val="InternetLink"/>
                </w:rPr>
                <w:t xml:space="preserve">Bakkt, Inc. 2026 Inducement Plan.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10.2*</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102.htm">
              <w:r>
                <w:rPr>
                  <w:rStyle w:val="InternetLink"/>
                </w:rPr>
                <w:t xml:space="preserve">Form of RSU Award Agreement for Inducement Awards.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10.3*</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103.htm">
              <w:r>
                <w:rPr>
                  <w:rStyle w:val="InternetLink"/>
                </w:rPr>
                <w:t xml:space="preserve">Form of PSU Award Agreement for Inducement Awards.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10.4*</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104.htm">
              <w:r>
                <w:rPr>
                  <w:rStyle w:val="InternetLink"/>
                </w:rPr>
                <w:t xml:space="preserve">Form of Option Award Agreement for Inducement Awards.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23.1*</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231.htm">
              <w:r>
                <w:rPr>
                  <w:rStyle w:val="InternetLink"/>
                </w:rPr>
                <w:t xml:space="preserve">Consent of Ernst &amp; Young LLP, independent registered public accounting firm of the Company.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23.2*</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232.htm">
              <w:r>
                <w:rPr>
                  <w:rStyle w:val="InternetLink"/>
                </w:rPr>
                <w:t>Consent of KPMG LLP, independent registered public accounting firm of the Company.</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23.3*</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233.htm">
              <w:r>
                <w:rPr>
                  <w:rStyle w:val="InternetLink"/>
                </w:rPr>
                <w:t xml:space="preserve">Consent of GRANT THORNTON LLP, independent registered public accounting firm of the Company. </w:t>
              </w:r>
            </w:hyperlink>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9427" w:type="dxa"/>
            <w:gridSpan w:val="2"/>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23.4*</w:t>
            </w:r>
          </w:p>
        </w:tc>
        <w:tc>
          <w:tcPr>
            <w:tcW w:w="409"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hyperlink w:anchor="d171896dex234.htm">
              <w:r>
                <w:rPr>
                  <w:rStyle w:val="InternetLink"/>
                </w:rPr>
                <w:t xml:space="preserve">Consent of R N G Auditors L.L.C, independent accounting firm of Distributed Technologies Research Global Ltd.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9"/>
        <w:gridCol w:w="326"/>
        <w:gridCol w:w="9310"/>
      </w:tblGrid>
      <w:tr>
        <w:trPr/>
        <w:tc>
          <w:tcPr>
            <w:tcW w:w="56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23.5*</w:t>
            </w:r>
          </w:p>
        </w:tc>
        <w:tc>
          <w:tcPr>
            <w:tcW w:w="326" w:type="dxa"/>
            <w:tcBorders/>
            <w:vAlign w:val="bottom"/>
          </w:tcPr>
          <w:p>
            <w:pPr>
              <w:pStyle w:val="TableContents"/>
              <w:bidi w:val="0"/>
              <w:spacing w:before="0" w:after="283"/>
              <w:jc w:val="left"/>
              <w:rPr/>
            </w:pPr>
            <w:r>
              <w:rPr/>
              <w:t>  </w:t>
            </w:r>
          </w:p>
        </w:tc>
        <w:tc>
          <w:tcPr>
            <w:tcW w:w="9310" w:type="dxa"/>
            <w:tcBorders/>
          </w:tcPr>
          <w:p>
            <w:pPr>
              <w:pStyle w:val="TableContents"/>
              <w:bidi w:val="0"/>
              <w:spacing w:before="0" w:after="283"/>
              <w:jc w:val="left"/>
              <w:rPr/>
            </w:pPr>
            <w:hyperlink w:anchor="d171896dex51.htm">
              <w:r>
                <w:rPr>
                  <w:rStyle w:val="InternetLink"/>
                </w:rPr>
                <w:t xml:space="preserve">Consent of Sullivan &amp; Cromwell LLP (included in Exhibit 5.1). </w:t>
              </w:r>
            </w:hyperlink>
          </w:p>
        </w:tc>
      </w:tr>
      <w:tr>
        <w:trPr>
          <w:trHeight w:val="120" w:hRule="atLeast"/>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24.1*</w:t>
            </w:r>
          </w:p>
        </w:tc>
        <w:tc>
          <w:tcPr>
            <w:tcW w:w="326" w:type="dxa"/>
            <w:tcBorders/>
            <w:vAlign w:val="bottom"/>
          </w:tcPr>
          <w:p>
            <w:pPr>
              <w:pStyle w:val="TableContents"/>
              <w:bidi w:val="0"/>
              <w:spacing w:before="0" w:after="283"/>
              <w:jc w:val="left"/>
              <w:rPr/>
            </w:pPr>
            <w:r>
              <w:rPr/>
              <w:t>  </w:t>
            </w:r>
          </w:p>
        </w:tc>
        <w:tc>
          <w:tcPr>
            <w:tcW w:w="9310"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107*</w:t>
            </w:r>
          </w:p>
        </w:tc>
        <w:tc>
          <w:tcPr>
            <w:tcW w:w="326" w:type="dxa"/>
            <w:tcBorders/>
            <w:vAlign w:val="bottom"/>
          </w:tcPr>
          <w:p>
            <w:pPr>
              <w:pStyle w:val="TableContents"/>
              <w:bidi w:val="0"/>
              <w:spacing w:before="0" w:after="283"/>
              <w:jc w:val="left"/>
              <w:rPr/>
            </w:pPr>
            <w:r>
              <w:rPr/>
              <w:t>  </w:t>
            </w:r>
          </w:p>
        </w:tc>
        <w:tc>
          <w:tcPr>
            <w:tcW w:w="9310" w:type="dxa"/>
            <w:tcBorders/>
          </w:tcPr>
          <w:p>
            <w:pPr>
              <w:pStyle w:val="TableContents"/>
              <w:bidi w:val="0"/>
              <w:spacing w:before="0" w:after="283"/>
              <w:jc w:val="left"/>
              <w:rPr/>
            </w:pPr>
            <w:hyperlink w:anchor="d171896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provided, however, that paragraphs (1)(i) and (1)(ii)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20th day of October,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Akshay Naheta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Chief Executive Officer and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 that each individual whose signature appears below hereby constitutes and appoints each of Akshay Naheta, Marc D’Annunzio and Matt White,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20th day of October,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81"/>
        <w:gridCol w:w="123"/>
        <w:gridCol w:w="6101"/>
      </w:tblGrid>
      <w:tr>
        <w:trPr/>
        <w:tc>
          <w:tcPr>
            <w:tcW w:w="398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101" w:type="dxa"/>
            <w:tcBorders/>
            <w:vAlign w:val="center"/>
          </w:tcPr>
          <w:p>
            <w:pPr>
              <w:pStyle w:val="TableContents"/>
              <w:bidi w:val="0"/>
              <w:spacing w:before="0" w:after="283"/>
              <w:jc w:val="left"/>
              <w:rPr>
                <w:sz w:val="4"/>
                <w:szCs w:val="4"/>
              </w:rPr>
            </w:pPr>
            <w:r>
              <w:rPr>
                <w:sz w:val="4"/>
                <w:szCs w:val="4"/>
              </w:rPr>
            </w:r>
          </w:p>
        </w:tc>
      </w:tr>
      <w:tr>
        <w:trPr/>
        <w:tc>
          <w:tcPr>
            <w:tcW w:w="39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3" w:type="dxa"/>
            <w:tcBorders/>
            <w:vAlign w:val="bottom"/>
          </w:tcPr>
          <w:p>
            <w:pPr>
              <w:pStyle w:val="TableContents"/>
              <w:bidi w:val="0"/>
              <w:spacing w:before="0" w:after="283"/>
              <w:jc w:val="left"/>
              <w:rPr/>
            </w:pPr>
            <w:r>
              <w:rPr/>
              <w:t>  </w:t>
            </w:r>
          </w:p>
        </w:tc>
        <w:tc>
          <w:tcPr>
            <w:tcW w:w="61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Akshay Naheta</w:t>
            </w:r>
          </w:p>
          <w:p>
            <w:pPr>
              <w:pStyle w:val="TableContents"/>
              <w:bidi w:val="0"/>
              <w:spacing w:before="0" w:after="20"/>
              <w:jc w:val="left"/>
              <w:rPr>
                <w:rFonts w:ascii="Times New Roman" w:hAnsi="Times New Roman"/>
                <w:sz w:val="20"/>
              </w:rPr>
            </w:pPr>
            <w:r>
              <w:rPr>
                <w:rFonts w:ascii="Times New Roman" w:hAnsi="Times New Roman"/>
                <w:sz w:val="20"/>
              </w:rPr>
              <w:t>Akshay Naheta</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 White</w:t>
            </w:r>
          </w:p>
          <w:p>
            <w:pPr>
              <w:pStyle w:val="TableContents"/>
              <w:bidi w:val="0"/>
              <w:spacing w:before="0" w:after="20"/>
              <w:jc w:val="left"/>
              <w:rPr>
                <w:rFonts w:ascii="Times New Roman" w:hAnsi="Times New Roman"/>
                <w:sz w:val="20"/>
              </w:rPr>
            </w:pPr>
            <w:r>
              <w:rPr>
                <w:rFonts w:ascii="Times New Roman" w:hAnsi="Times New Roman"/>
                <w:sz w:val="20"/>
              </w:rPr>
              <w:t>Matt White</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Joseph Henderson</w:t>
            </w:r>
          </w:p>
          <w:p>
            <w:pPr>
              <w:pStyle w:val="TableContents"/>
              <w:bidi w:val="0"/>
              <w:spacing w:before="0" w:after="20"/>
              <w:jc w:val="left"/>
              <w:rPr>
                <w:rFonts w:ascii="Times New Roman" w:hAnsi="Times New Roman"/>
                <w:sz w:val="20"/>
              </w:rPr>
            </w:pPr>
            <w:r>
              <w:rPr>
                <w:rFonts w:ascii="Times New Roman" w:hAnsi="Times New Roman"/>
                <w:sz w:val="20"/>
              </w:rPr>
              <w:t>Joseph Henderson</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Sean Collins</w:t>
            </w:r>
          </w:p>
          <w:p>
            <w:pPr>
              <w:pStyle w:val="TableContents"/>
              <w:bidi w:val="0"/>
              <w:spacing w:before="0" w:after="20"/>
              <w:jc w:val="left"/>
              <w:rPr>
                <w:rFonts w:ascii="Times New Roman" w:hAnsi="Times New Roman"/>
                <w:sz w:val="20"/>
              </w:rPr>
            </w:pPr>
            <w:r>
              <w:rPr>
                <w:rFonts w:ascii="Times New Roman" w:hAnsi="Times New Roman"/>
                <w:sz w:val="20"/>
              </w:rPr>
              <w:t>Sean Collins</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283"/>
              <w:jc w:val="left"/>
              <w:rPr/>
            </w:pPr>
            <w:r>
              <w:rPr/>
              <w:t>Chair of the Board of Directors</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Madelyn Alden Schwartzer</w:t>
            </w:r>
          </w:p>
          <w:p>
            <w:pPr>
              <w:pStyle w:val="TableContents"/>
              <w:bidi w:val="0"/>
              <w:spacing w:before="0" w:after="20"/>
              <w:jc w:val="left"/>
              <w:rPr>
                <w:rFonts w:ascii="Times New Roman" w:hAnsi="Times New Roman"/>
                <w:sz w:val="20"/>
              </w:rPr>
            </w:pPr>
            <w:r>
              <w:rPr>
                <w:rFonts w:ascii="Times New Roman" w:hAnsi="Times New Roman"/>
                <w:sz w:val="20"/>
              </w:rPr>
              <w:t>Madelyn Alden Schwartzer</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283"/>
              <w:jc w:val="left"/>
              <w:rPr/>
            </w:pPr>
            <w:r>
              <w:rPr/>
              <w:t>Director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Alfred</w:t>
            </w:r>
          </w:p>
          <w:p>
            <w:pPr>
              <w:pStyle w:val="TableContents"/>
              <w:bidi w:val="0"/>
              <w:spacing w:before="0" w:after="20"/>
              <w:jc w:val="left"/>
              <w:rPr>
                <w:rFonts w:ascii="Times New Roman" w:hAnsi="Times New Roman"/>
                <w:sz w:val="20"/>
              </w:rPr>
            </w:pPr>
            <w:r>
              <w:rPr>
                <w:rFonts w:ascii="Times New Roman" w:hAnsi="Times New Roman"/>
                <w:sz w:val="20"/>
              </w:rPr>
              <w:t>Michael Alfred</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283"/>
              <w:jc w:val="left"/>
              <w:rPr/>
            </w:pPr>
            <w:r>
              <w:rPr/>
              <w:t>Director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Colleen Brown</w:t>
            </w:r>
          </w:p>
          <w:p>
            <w:pPr>
              <w:pStyle w:val="TableContents"/>
              <w:bidi w:val="0"/>
              <w:spacing w:before="0" w:after="20"/>
              <w:jc w:val="left"/>
              <w:rPr>
                <w:rFonts w:ascii="Times New Roman" w:hAnsi="Times New Roman"/>
                <w:sz w:val="20"/>
              </w:rPr>
            </w:pPr>
            <w:r>
              <w:rPr>
                <w:rFonts w:ascii="Times New Roman" w:hAnsi="Times New Roman"/>
                <w:sz w:val="20"/>
              </w:rPr>
              <w:t>Colleen Brown</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283"/>
              <w:jc w:val="left"/>
              <w:rPr/>
            </w:pPr>
            <w:r>
              <w:rPr/>
              <w:t>Director</w:t>
            </w:r>
          </w:p>
        </w:tc>
      </w:tr>
      <w:tr>
        <w:trPr>
          <w:trHeight w:val="240" w:hRule="atLeast"/>
        </w:trPr>
        <w:tc>
          <w:tcPr>
            <w:tcW w:w="3981"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Galvin</w:t>
            </w:r>
          </w:p>
          <w:p>
            <w:pPr>
              <w:pStyle w:val="TableContents"/>
              <w:bidi w:val="0"/>
              <w:spacing w:before="0" w:after="20"/>
              <w:jc w:val="left"/>
              <w:rPr>
                <w:rFonts w:ascii="Times New Roman" w:hAnsi="Times New Roman"/>
                <w:sz w:val="20"/>
              </w:rPr>
            </w:pPr>
            <w:r>
              <w:rPr>
                <w:rFonts w:ascii="Times New Roman" w:hAnsi="Times New Roman"/>
                <w:sz w:val="20"/>
              </w:rPr>
              <w:t>Richard Galvin</w:t>
            </w:r>
          </w:p>
        </w:tc>
        <w:tc>
          <w:tcPr>
            <w:tcW w:w="123" w:type="dxa"/>
            <w:tcBorders/>
            <w:vAlign w:val="bottom"/>
          </w:tcPr>
          <w:p>
            <w:pPr>
              <w:pStyle w:val="TableContents"/>
              <w:bidi w:val="0"/>
              <w:spacing w:before="0" w:after="283"/>
              <w:jc w:val="left"/>
              <w:rPr/>
            </w:pPr>
            <w:r>
              <w:rPr/>
              <w:t>  </w:t>
            </w:r>
          </w:p>
        </w:tc>
        <w:tc>
          <w:tcPr>
            <w:tcW w:w="610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3" w:name="d171896dex51.htm"/>
      <w:bookmarkStart w:id="4" w:name="ksd171896dex51"/>
      <w:bookmarkEnd w:id="3"/>
      <w:bookmarkEnd w:id="4"/>
      <w:r>
        <w:rPr>
          <w:rFonts w:ascii="Times New Roman" w:hAnsi="Times New Roman"/>
          <w:b/>
          <w:sz w:val="20"/>
        </w:rPr>
        <w:t xml:space="preserve">Exhibit 5.1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Bakkt, Inc., </w:t>
      </w:r>
    </w:p>
    <w:p>
      <w:pPr>
        <w:pStyle w:val="TextBody"/>
        <w:bidi w:val="0"/>
        <w:spacing w:before="0" w:after="0"/>
        <w:jc w:val="left"/>
        <w:rPr>
          <w:rFonts w:ascii="Times New Roman" w:hAnsi="Times New Roman"/>
          <w:sz w:val="20"/>
        </w:rPr>
      </w:pPr>
      <w:r>
        <w:rPr>
          <w:rFonts w:ascii="Times New Roman" w:hAnsi="Times New Roman"/>
          <w:sz w:val="20"/>
        </w:rPr>
        <w:t xml:space="preserve">3280 Peachtree Road NE, 7th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registration under the Securities Act of 1933 (the “Act”) of 1,500,000 shares of Class A common stock, par value $0.0001 per share (the “Securities”), of Bakkt, Inc., a Delaware corporation (the “Company”), issuable under the Company’s 2026 Inducement Plan (the “Inducement Plan”), we, as your counsel, have examined such corporate records, certificates and other documents, and such questions of law, as we have considered necessary or appropriate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Upon the basis of such examination, it is our opinion that when the registration statement relating to the Securities (the “Registration Statement”) has become effective under the Act and the Securities have been duly issued in accordance with the terms of the Inducement Plan, the Securities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 we are not passing upon, and assume no responsibility for, any disclosure in any registration statement or any related prospectus or other offering material relating to the offer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Federal laws of the United States and the General Corporation Law of the State of Delaware,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factual matters on information obtained from public officials, officers of the Company and other sources believed by us to be responsible.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In giving such consent, we do not thereby admit that we are in the category of persons whose consent is required under Section 7 of the Act.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SULLIVAN &amp; CROMWELL LLP</w:t>
            </w:r>
          </w:p>
        </w:tc>
      </w:tr>
    </w:tbl>
    <w:p>
      <w:pPr>
        <w:pStyle w:val="TextBody"/>
        <w:bidi w:val="0"/>
        <w:spacing w:before="0" w:after="0"/>
        <w:jc w:val="right"/>
        <w:rPr>
          <w:rFonts w:ascii="Times New Roman" w:hAnsi="Times New Roman"/>
          <w:b/>
          <w:sz w:val="20"/>
        </w:rPr>
      </w:pPr>
      <w:bookmarkStart w:id="5" w:name="d171896dex101.htm"/>
      <w:bookmarkStart w:id="6" w:name="ksd171896dex101"/>
      <w:bookmarkEnd w:id="5"/>
      <w:bookmarkEnd w:id="6"/>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b/>
          <w:sz w:val="20"/>
        </w:rPr>
      </w:pPr>
      <w:r>
        <w:rPr>
          <w:rFonts w:ascii="Times New Roman" w:hAnsi="Times New Roman"/>
          <w:b/>
          <w:sz w:val="20"/>
        </w:rPr>
        <w:t xml:space="preserve">1.1 Purpose </w:t>
      </w:r>
    </w:p>
    <w:p>
      <w:pPr>
        <w:pStyle w:val="TextBody"/>
        <w:bidi w:val="0"/>
        <w:spacing w:before="120" w:after="0"/>
        <w:jc w:val="left"/>
        <w:rPr>
          <w:rFonts w:ascii="Times New Roman" w:hAnsi="Times New Roman"/>
          <w:sz w:val="20"/>
        </w:rPr>
      </w:pPr>
      <w:r>
        <w:rPr>
          <w:rFonts w:ascii="Times New Roman" w:hAnsi="Times New Roman"/>
          <w:sz w:val="20"/>
        </w:rPr>
        <w:t>The purpose of this 2026 Inducement Plan (the “</w:t>
      </w:r>
      <w:r>
        <w:rPr>
          <w:rFonts w:ascii="Times New Roman" w:hAnsi="Times New Roman"/>
          <w:b/>
          <w:sz w:val="20"/>
          <w:u w:val="single"/>
        </w:rPr>
        <w:t>Plan</w:t>
      </w:r>
      <w:r>
        <w:rPr>
          <w:rFonts w:ascii="Times New Roman" w:hAnsi="Times New Roman"/>
          <w:sz w:val="20"/>
        </w:rPr>
        <w:t>”) is to promote the interests of Bakkt, Inc. (the “</w:t>
      </w:r>
      <w:r>
        <w:rPr>
          <w:rFonts w:ascii="Times New Roman" w:hAnsi="Times New Roman"/>
          <w:b/>
          <w:sz w:val="20"/>
          <w:u w:val="single"/>
        </w:rPr>
        <w:t>Company</w:t>
      </w:r>
      <w:r>
        <w:rPr>
          <w:rFonts w:ascii="Times New Roman" w:hAnsi="Times New Roman"/>
          <w:sz w:val="20"/>
        </w:rPr>
        <w:t>” or “</w:t>
      </w:r>
      <w:r>
        <w:rPr>
          <w:rFonts w:ascii="Times New Roman" w:hAnsi="Times New Roman"/>
          <w:b/>
          <w:sz w:val="20"/>
          <w:u w:val="single"/>
        </w:rPr>
        <w:t>Bakkt</w:t>
      </w:r>
      <w:r>
        <w:rPr>
          <w:rFonts w:ascii="Times New Roman" w:hAnsi="Times New Roman"/>
          <w:sz w:val="20"/>
        </w:rPr>
        <w:t xml:space="preserve">”) by providing equity-based compensation opportunities to individuals who are entering into employment with the Company and its Subsidiaries and whose services are expected to contribute to the Company’s success and by motivating such persons to contribute to the growth and profitability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The Plan was adopted by the Company and is reserved for persons to whom the Company may issue securities without stockholder approval as a material inducement to the person entering into employment with the Company or its Subsidiaries, including pursuant to an “employer of record” relationship, pursuant to New York Stock Exchange (“</w:t>
      </w:r>
      <w:r>
        <w:rPr>
          <w:rFonts w:ascii="Times New Roman" w:hAnsi="Times New Roman"/>
          <w:b/>
          <w:sz w:val="20"/>
          <w:u w:val="single"/>
        </w:rPr>
        <w:t>NYSE</w:t>
      </w:r>
      <w:r>
        <w:rPr>
          <w:rFonts w:ascii="Times New Roman" w:hAnsi="Times New Roman"/>
          <w:sz w:val="20"/>
        </w:rPr>
        <w:t>”) Listed Company Manual Section 303A.08 or any successor rule, if the Company’s securities are traded on NYSE, or the applicable requirements of any other established stock exchange on which the Company’s securities are traded, as applicable, as such rules and requirements may be amended from time to time (as applicable, the “</w:t>
      </w:r>
      <w:r>
        <w:rPr>
          <w:rFonts w:ascii="Times New Roman" w:hAnsi="Times New Roman"/>
          <w:b/>
          <w:sz w:val="20"/>
          <w:u w:val="single"/>
        </w:rPr>
        <w:t>Inducement Rules</w:t>
      </w:r>
      <w:r>
        <w:rPr>
          <w:rFonts w:ascii="Times New Roman" w:hAnsi="Times New Roman"/>
          <w:sz w:val="20"/>
        </w:rPr>
        <w:t xml:space="preserve">”), and the Plan shall be interpreted and administered accordingly. </w:t>
      </w:r>
    </w:p>
    <w:p>
      <w:pPr>
        <w:pStyle w:val="TextBody"/>
        <w:bidi w:val="0"/>
        <w:spacing w:before="120" w:after="0"/>
        <w:jc w:val="left"/>
        <w:rPr>
          <w:rFonts w:ascii="Times New Roman" w:hAnsi="Times New Roman"/>
          <w:b/>
          <w:sz w:val="20"/>
        </w:rPr>
      </w:pPr>
      <w:r>
        <w:rPr>
          <w:rFonts w:ascii="Times New Roman" w:hAnsi="Times New Roman"/>
          <w:b/>
          <w:sz w:val="20"/>
        </w:rPr>
        <w:t xml:space="preserve">1.2 Administration </w:t>
      </w:r>
    </w:p>
    <w:p>
      <w:pPr>
        <w:pStyle w:val="TextBody"/>
        <w:bidi w:val="0"/>
        <w:spacing w:before="12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The Compensation Committee of the Board of Directors of Bakkt (the “</w:t>
      </w:r>
      <w:r>
        <w:rPr>
          <w:rFonts w:ascii="Times New Roman" w:hAnsi="Times New Roman"/>
          <w:b/>
          <w:sz w:val="20"/>
          <w:u w:val="single"/>
        </w:rPr>
        <w:t>Board</w:t>
      </w:r>
      <w:r>
        <w:rPr>
          <w:rFonts w:ascii="Times New Roman" w:hAnsi="Times New Roman"/>
          <w:sz w:val="20"/>
        </w:rPr>
        <w:t>,” and such committee as constituted from time to time, and including any successor committee, the “</w:t>
      </w:r>
      <w:r>
        <w:rPr>
          <w:rFonts w:ascii="Times New Roman" w:hAnsi="Times New Roman"/>
          <w:b/>
          <w:sz w:val="20"/>
          <w:u w:val="single"/>
        </w:rPr>
        <w:t>Committee</w:t>
      </w:r>
      <w:r>
        <w:rPr>
          <w:rFonts w:ascii="Times New Roman" w:hAnsi="Times New Roman"/>
          <w:sz w:val="20"/>
        </w:rPr>
        <w:t xml:space="preserve">”) will administer the Plan. In particular, subject to such resolutions not inconsistent with the provisions of the Plan or applicable law as may from time to time be adopted by the Board, the Committee will have the authority in its sole discretion to: </w:t>
      </w:r>
    </w:p>
    <w:p>
      <w:pPr>
        <w:pStyle w:val="TextBody"/>
        <w:bidi w:val="0"/>
        <w:spacing w:before="120" w:after="0"/>
        <w:jc w:val="left"/>
        <w:rPr>
          <w:rFonts w:ascii="Times New Roman" w:hAnsi="Times New Roman"/>
          <w:sz w:val="20"/>
        </w:rPr>
      </w:pPr>
      <w:r>
        <w:rPr>
          <w:rFonts w:ascii="Times New Roman" w:hAnsi="Times New Roman"/>
          <w:sz w:val="20"/>
        </w:rPr>
        <w:t xml:space="preserve">(a) exercise all of the powers granted to it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(b) construe, interpret and implement the Plan and all Award Agreements; </w:t>
      </w:r>
    </w:p>
    <w:p>
      <w:pPr>
        <w:pStyle w:val="TextBody"/>
        <w:bidi w:val="0"/>
        <w:spacing w:before="120" w:after="0"/>
        <w:jc w:val="left"/>
        <w:rPr>
          <w:rFonts w:ascii="Times New Roman" w:hAnsi="Times New Roman"/>
          <w:sz w:val="20"/>
        </w:rPr>
      </w:pPr>
      <w:r>
        <w:rPr>
          <w:rFonts w:ascii="Times New Roman" w:hAnsi="Times New Roman"/>
          <w:sz w:val="20"/>
        </w:rPr>
        <w:t xml:space="preserve">(c) prescribe, amend and rescind rules and regulations relating to the Plan, including rules governing the Committee’s own operations, rules applicable to Grantees who are foreign nationals (or employed outside the United States, or both); </w:t>
      </w:r>
    </w:p>
    <w:p>
      <w:pPr>
        <w:pStyle w:val="TextBody"/>
        <w:bidi w:val="0"/>
        <w:spacing w:before="120" w:after="0"/>
        <w:jc w:val="left"/>
        <w:rPr>
          <w:rFonts w:ascii="Times New Roman" w:hAnsi="Times New Roman"/>
          <w:sz w:val="20"/>
        </w:rPr>
      </w:pPr>
      <w:r>
        <w:rPr>
          <w:rFonts w:ascii="Times New Roman" w:hAnsi="Times New Roman"/>
          <w:sz w:val="20"/>
        </w:rPr>
        <w:t xml:space="preserve">(d) make all determinations necessary or advisable in administering the Plan; </w:t>
      </w:r>
    </w:p>
    <w:p>
      <w:pPr>
        <w:pStyle w:val="TextBody"/>
        <w:bidi w:val="0"/>
        <w:spacing w:before="120" w:after="0"/>
        <w:jc w:val="left"/>
        <w:rPr>
          <w:rFonts w:ascii="Times New Roman" w:hAnsi="Times New Roman"/>
          <w:sz w:val="20"/>
        </w:rPr>
      </w:pPr>
      <w:r>
        <w:rPr>
          <w:rFonts w:ascii="Times New Roman" w:hAnsi="Times New Roman"/>
          <w:sz w:val="20"/>
        </w:rPr>
        <w:t xml:space="preserve">(e) correct any defect, supply any omission and reconcile any inconsistency in the Plan; </w:t>
      </w:r>
    </w:p>
    <w:p>
      <w:pPr>
        <w:pStyle w:val="TextBody"/>
        <w:bidi w:val="0"/>
        <w:spacing w:before="120" w:after="0"/>
        <w:jc w:val="left"/>
        <w:rPr>
          <w:rFonts w:ascii="Times New Roman" w:hAnsi="Times New Roman"/>
          <w:sz w:val="20"/>
        </w:rPr>
      </w:pPr>
      <w:r>
        <w:rPr>
          <w:rFonts w:ascii="Times New Roman" w:hAnsi="Times New Roman"/>
          <w:sz w:val="20"/>
        </w:rPr>
        <w:t xml:space="preserve">(f) amend the Plan to reflect changes in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grant, or recommend to the Board for approval to grant, awards made pursuant to the Plan (“</w:t>
      </w:r>
      <w:r>
        <w:rPr>
          <w:rFonts w:ascii="Times New Roman" w:hAnsi="Times New Roman"/>
          <w:b/>
          <w:sz w:val="20"/>
          <w:u w:val="single"/>
        </w:rPr>
        <w:t>Awards</w:t>
      </w:r>
      <w:r>
        <w:rPr>
          <w:rFonts w:ascii="Times New Roman" w:hAnsi="Times New Roman"/>
          <w:sz w:val="20"/>
        </w:rPr>
        <w:t xml:space="preserve">”) and determine which Eligible Individuals will receive Awards, and the terms of such Awards, including the effect of a termination of Employment or service on such Awards and the vesting and/or lapse of restrictions on Awards upon the attainment of Performance Goals and/or upon continued service; </w:t>
      </w:r>
    </w:p>
    <w:p>
      <w:pPr>
        <w:pStyle w:val="TextBody"/>
        <w:bidi w:val="0"/>
        <w:spacing w:before="120" w:after="0"/>
        <w:jc w:val="left"/>
        <w:rPr>
          <w:rFonts w:ascii="Times New Roman" w:hAnsi="Times New Roman"/>
          <w:sz w:val="20"/>
        </w:rPr>
      </w:pPr>
      <w:r>
        <w:rPr>
          <w:rFonts w:ascii="Times New Roman" w:hAnsi="Times New Roman"/>
          <w:sz w:val="20"/>
        </w:rPr>
        <w:t xml:space="preserve">(h) amend any outstanding Award Agreement in any respect including, without limitation, to </w:t>
      </w:r>
    </w:p>
    <w:p>
      <w:pPr>
        <w:pStyle w:val="TextBody"/>
        <w:bidi w:val="0"/>
        <w:spacing w:before="120" w:after="0"/>
        <w:jc w:val="left"/>
        <w:rPr>
          <w:rFonts w:ascii="Times New Roman" w:hAnsi="Times New Roman"/>
          <w:sz w:val="20"/>
        </w:rPr>
      </w:pPr>
      <w:r>
        <w:rPr>
          <w:rFonts w:ascii="Times New Roman" w:hAnsi="Times New Roman"/>
          <w:sz w:val="20"/>
        </w:rPr>
        <w:t>(1) accelerate the time or times at which (A) the Award becomes vested, unrestricted or may be exercised or (B) shares of Common Stock (“</w:t>
      </w:r>
      <w:r>
        <w:rPr>
          <w:rFonts w:ascii="Times New Roman" w:hAnsi="Times New Roman"/>
          <w:b/>
          <w:sz w:val="20"/>
          <w:u w:val="single"/>
        </w:rPr>
        <w:t>Shares</w:t>
      </w:r>
      <w:r>
        <w:rPr>
          <w:rFonts w:ascii="Times New Roman" w:hAnsi="Times New Roman"/>
          <w:sz w:val="20"/>
        </w:rPr>
        <w:t xml:space="preserve">”)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 </w:t>
      </w:r>
    </w:p>
    <w:p>
      <w:pPr>
        <w:pStyle w:val="TextBody"/>
        <w:bidi w:val="0"/>
        <w:spacing w:before="120" w:after="0"/>
        <w:jc w:val="left"/>
        <w:rPr>
          <w:rFonts w:ascii="Times New Roman" w:hAnsi="Times New Roman"/>
          <w:sz w:val="20"/>
        </w:rPr>
      </w:pPr>
      <w:r>
        <w:rPr>
          <w:rFonts w:ascii="Times New Roman" w:hAnsi="Times New Roman"/>
          <w:sz w:val="20"/>
        </w:rPr>
        <w:t xml:space="preserve">(2) waive or amend any goals, restrictions, vesting provisions or conditions set forth in such Award Agreement, or impose new goals, restrictions, vesting provisions and conditions, or </w:t>
      </w:r>
    </w:p>
    <w:p>
      <w:pPr>
        <w:pStyle w:val="TextBody"/>
        <w:bidi w:val="0"/>
        <w:spacing w:before="120" w:after="0"/>
        <w:jc w:val="left"/>
        <w:rPr>
          <w:rFonts w:ascii="Times New Roman" w:hAnsi="Times New Roman"/>
          <w:sz w:val="20"/>
        </w:rPr>
      </w:pPr>
      <w:r>
        <w:rPr>
          <w:rFonts w:ascii="Times New Roman" w:hAnsi="Times New Roman"/>
          <w:sz w:val="20"/>
        </w:rPr>
        <w:t>(3) reflect a change in the Grantee’s circumstances (</w:t>
      </w:r>
      <w:r>
        <w:rPr>
          <w:rFonts w:ascii="Times New Roman" w:hAnsi="Times New Roman"/>
          <w:i/>
          <w:sz w:val="20"/>
        </w:rPr>
        <w:t>e.g</w:t>
      </w:r>
      <w:r>
        <w:rPr>
          <w:rFonts w:ascii="Times New Roman" w:hAnsi="Times New Roman"/>
          <w:sz w:val="20"/>
        </w:rPr>
        <w:t xml:space="preserve">., a change to part-time employment status or a change in position, duties or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(i) determine at any time whether, to what extent and under what circumstances and method or methods </w:t>
      </w:r>
    </w:p>
    <w:p>
      <w:pPr>
        <w:pStyle w:val="TextBody"/>
        <w:bidi w:val="0"/>
        <w:spacing w:before="120" w:after="0"/>
        <w:jc w:val="left"/>
        <w:rPr>
          <w:rFonts w:ascii="Times New Roman" w:hAnsi="Times New Roman"/>
          <w:sz w:val="20"/>
        </w:rPr>
      </w:pPr>
      <w:r>
        <w:rPr>
          <w:rFonts w:ascii="Times New Roman" w:hAnsi="Times New Roman"/>
          <w:sz w:val="20"/>
        </w:rPr>
        <w:t xml:space="preserve">(1) Awards may be: </w:t>
      </w:r>
    </w:p>
    <w:p>
      <w:pPr>
        <w:pStyle w:val="TextBody"/>
        <w:bidi w:val="0"/>
        <w:spacing w:before="120" w:after="0"/>
        <w:jc w:val="left"/>
        <w:rPr>
          <w:rFonts w:ascii="Times New Roman" w:hAnsi="Times New Roman"/>
          <w:sz w:val="20"/>
        </w:rPr>
      </w:pPr>
      <w:r>
        <w:rPr>
          <w:rFonts w:ascii="Times New Roman" w:hAnsi="Times New Roman"/>
          <w:sz w:val="20"/>
        </w:rPr>
        <w:t xml:space="preserve">(A) settled in cash, Shares, other securities, other Awards or other property (in which event, the Committee may specify what other effects such settlement will have on the Grantee’s Award, including the effect on any repayment provisions under the Plan or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exercised; or </w:t>
      </w:r>
    </w:p>
    <w:p>
      <w:pPr>
        <w:pStyle w:val="TextBody"/>
        <w:bidi w:val="0"/>
        <w:spacing w:before="120" w:after="0"/>
        <w:jc w:val="left"/>
        <w:rPr>
          <w:rFonts w:ascii="Times New Roman" w:hAnsi="Times New Roman"/>
          <w:sz w:val="20"/>
        </w:rPr>
      </w:pPr>
      <w:r>
        <w:rPr>
          <w:rFonts w:ascii="Times New Roman" w:hAnsi="Times New Roman"/>
          <w:sz w:val="20"/>
        </w:rPr>
        <w:t xml:space="preserve">(C) canceled, forfeited or suspended; </w:t>
      </w:r>
    </w:p>
    <w:p>
      <w:pPr>
        <w:pStyle w:val="TextBody"/>
        <w:bidi w:val="0"/>
        <w:spacing w:before="120" w:after="0"/>
        <w:jc w:val="left"/>
        <w:rPr>
          <w:rFonts w:ascii="Times New Roman" w:hAnsi="Times New Roman"/>
          <w:sz w:val="20"/>
        </w:rPr>
      </w:pPr>
      <w:r>
        <w:rPr>
          <w:rFonts w:ascii="Times New Roman" w:hAnsi="Times New Roman"/>
          <w:sz w:val="20"/>
        </w:rPr>
        <w:t xml:space="preserve">(2) Shares, other securities, other Awards or other property and other amounts payable for an Award may be deferred either automatically or at the election of the Grantee thereof or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(3) Awards may be settled by Bakkt, any of its Subsidiaries or affiliates or any of their designees; and </w:t>
      </w:r>
    </w:p>
    <w:p>
      <w:pPr>
        <w:pStyle w:val="TextBody"/>
        <w:bidi w:val="0"/>
        <w:spacing w:before="120" w:after="0"/>
        <w:jc w:val="left"/>
        <w:rPr>
          <w:rFonts w:ascii="Times New Roman" w:hAnsi="Times New Roman"/>
          <w:sz w:val="20"/>
        </w:rPr>
      </w:pPr>
      <w:r>
        <w:rPr>
          <w:rFonts w:ascii="Times New Roman" w:hAnsi="Times New Roman"/>
          <w:sz w:val="20"/>
        </w:rPr>
        <w:t xml:space="preserve">(4) subject to Section 2.5.5, the exercise price for any stock option or stock appreciation right may be reset;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cause Bakkt to enter into an agreement with any Subsidiary pursuant to which such Subsidiary will reimburse the Company for the cost of such equity incentives. </w:t>
      </w:r>
    </w:p>
    <w:p>
      <w:pPr>
        <w:pStyle w:val="TextBody"/>
        <w:bidi w:val="0"/>
        <w:spacing w:before="12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Notwithstanding the foregoing, the authority to approve Awards under the Plan may not be delegated except to the extent permitted under the Inducement Rules. In delegating its authority, the Committee will consider the extent to which any delegation may cause Awards to fail to meet the requirements of Rule 16(b)-3(d)(1) or Rule 16(b)-3(e) under the Securities Exchange Act of 1934, as amended from time to time, or any successor thereto (such act and the applicable rules and regulations thereunder, the “</w:t>
      </w:r>
      <w:r>
        <w:rPr>
          <w:rFonts w:ascii="Times New Roman" w:hAnsi="Times New Roman"/>
          <w:b/>
          <w:sz w:val="20"/>
          <w:u w:val="single"/>
        </w:rPr>
        <w:t>Exchange Act</w:t>
      </w:r>
      <w:r>
        <w:rPr>
          <w:rFonts w:ascii="Times New Roman" w:hAnsi="Times New Roman"/>
          <w:sz w:val="20"/>
        </w:rPr>
        <w:t xml:space="preserve">”). Except as specifically provided to the contrary, references to the Committee include any administrative group, individual or individuals to whom the Committee has delegated its duties and powers. </w:t>
      </w:r>
    </w:p>
    <w:p>
      <w:pPr>
        <w:pStyle w:val="TextBody"/>
        <w:bidi w:val="0"/>
        <w:spacing w:before="12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Notwithstanding anything to the contrary in the Plan, the Board may, in its sole discretion, at any time and from time to time, grant Awards or administer the Plan. In any such case, the Board will have all of the authority and responsibility granted to the Committee; </w:t>
      </w:r>
      <w:r>
        <w:rPr>
          <w:rFonts w:ascii="Times New Roman" w:hAnsi="Times New Roman"/>
          <w:sz w:val="20"/>
          <w:u w:val="single"/>
        </w:rPr>
        <w:t>provided</w:t>
      </w:r>
      <w:r>
        <w:rPr>
          <w:rFonts w:ascii="Times New Roman" w:hAnsi="Times New Roman"/>
          <w:sz w:val="20"/>
        </w:rPr>
        <w:t xml:space="preserve">, that the grant of any Award under the Plan shall be approved in compliance with the Inducement Rules. </w:t>
      </w:r>
    </w:p>
    <w:p>
      <w:pPr>
        <w:pStyle w:val="TextBody"/>
        <w:bidi w:val="0"/>
        <w:spacing w:before="12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No member of the Committee or any person to whom the Board or Committee delegates its powers, responsibilities or duties in writing, including by resolution (each such person, a “</w:t>
      </w:r>
      <w:r>
        <w:rPr>
          <w:rFonts w:ascii="Times New Roman" w:hAnsi="Times New Roman"/>
          <w:b/>
          <w:sz w:val="20"/>
          <w:u w:val="single"/>
        </w:rPr>
        <w:t>Covered Person</w:t>
      </w:r>
      <w:r>
        <w:rPr>
          <w:rFonts w:ascii="Times New Roman" w:hAnsi="Times New Roman"/>
          <w:sz w:val="20"/>
        </w:rPr>
        <w:t xml:space="preserve">”),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 </w:t>
      </w:r>
    </w:p>
    <w:p>
      <w:pPr>
        <w:pStyle w:val="TextBody"/>
        <w:bidi w:val="0"/>
        <w:spacing w:before="120" w:after="0"/>
        <w:jc w:val="left"/>
        <w:rPr>
          <w:rFonts w:ascii="Times New Roman" w:hAnsi="Times New Roman"/>
          <w:sz w:val="20"/>
        </w:rPr>
      </w:pPr>
      <w:r>
        <w:rPr>
          <w:rFonts w:ascii="Times New Roman" w:hAnsi="Times New Roman"/>
          <w:sz w:val="20"/>
        </w:rPr>
        <w:t xml:space="preserve">(a)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 </w:t>
      </w:r>
    </w:p>
    <w:p>
      <w:pPr>
        <w:pStyle w:val="TextBody"/>
        <w:bidi w:val="0"/>
        <w:spacing w:before="120" w:after="0"/>
        <w:jc w:val="left"/>
        <w:rPr>
          <w:rFonts w:ascii="Times New Roman" w:hAnsi="Times New Roman"/>
          <w:sz w:val="20"/>
        </w:rPr>
      </w:pPr>
      <w:r>
        <w:rPr>
          <w:rFonts w:ascii="Times New Roman" w:hAnsi="Times New Roman"/>
          <w:sz w:val="20"/>
        </w:rPr>
        <w:t xml:space="preserve">(b) any and all amounts paid by such Covered Person, with the Company’s approval, in settlement thereof, or paid by such Covered Person in satisfaction of any judgment in any such action, suit or proceeding against such Covered Person; </w:t>
      </w:r>
      <w:r>
        <w:rPr>
          <w:rFonts w:ascii="Times New Roman" w:hAnsi="Times New Roman"/>
          <w:sz w:val="20"/>
          <w:u w:val="single"/>
        </w:rPr>
        <w:t>provided</w:t>
      </w:r>
      <w:r>
        <w:rPr>
          <w:rFonts w:ascii="Times New Roman" w:hAnsi="Times New Roman"/>
          <w:sz w:val="20"/>
        </w:rPr>
        <w:t xml:space="preserve">, that the Company will have the right, at its own expense, to assume and defend any such action, suit or proceeding and, once the Company gives notice of its intent to assume the 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 </w:t>
      </w:r>
    </w:p>
    <w:p>
      <w:pPr>
        <w:pStyle w:val="TextBody"/>
        <w:bidi w:val="0"/>
        <w:spacing w:before="12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The Committee shall administer the Plan in a manner consistent with the Inducement Rules. No Shares or other securities shall be issued pursuant to an Award unless the Company is satisfied that such issuance complies with applicable federal and state securities laws and applicable stock exchange requirements. </w:t>
      </w:r>
    </w:p>
    <w:p>
      <w:pPr>
        <w:pStyle w:val="TextBody"/>
        <w:bidi w:val="0"/>
        <w:spacing w:before="120" w:after="0"/>
        <w:jc w:val="left"/>
        <w:rPr>
          <w:rFonts w:ascii="Times New Roman" w:hAnsi="Times New Roman"/>
          <w:b/>
          <w:sz w:val="20"/>
        </w:rPr>
      </w:pPr>
      <w:r>
        <w:rPr>
          <w:rFonts w:ascii="Times New Roman" w:hAnsi="Times New Roman"/>
          <w:b/>
          <w:sz w:val="20"/>
        </w:rPr>
        <w:t xml:space="preserve">1.3 Shares Available for Awards </w:t>
      </w:r>
    </w:p>
    <w:p>
      <w:pPr>
        <w:pStyle w:val="TextBody"/>
        <w:bidi w:val="0"/>
        <w:spacing w:before="12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u w:val="single"/>
        </w:rPr>
        <w:t>Common Stock Subject to the Plan</w:t>
      </w:r>
      <w:r>
        <w:rPr>
          <w:rFonts w:ascii="Times New Roman" w:hAnsi="Times New Roman"/>
          <w:sz w:val="20"/>
        </w:rPr>
        <w:t xml:space="preserve">. Subject to the other provisions of this </w:t>
      </w:r>
      <w:r>
        <w:rPr>
          <w:rFonts w:ascii="Times New Roman" w:hAnsi="Times New Roman"/>
          <w:sz w:val="20"/>
          <w:u w:val="single"/>
        </w:rPr>
        <w:t>Section 1.3</w:t>
      </w:r>
      <w:r>
        <w:rPr>
          <w:rFonts w:ascii="Times New Roman" w:hAnsi="Times New Roman"/>
          <w:sz w:val="20"/>
        </w:rPr>
        <w:t xml:space="preserve">, the total number of Shares that may be granted under the Plan will be 1,500,000.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w:t>
      </w:r>
    </w:p>
    <w:p>
      <w:pPr>
        <w:pStyle w:val="TextBody"/>
        <w:bidi w:val="0"/>
        <w:spacing w:before="12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u w:val="single"/>
        </w:rPr>
        <w:t>Replacement of Shares</w:t>
      </w:r>
      <w:r>
        <w:rPr>
          <w:rFonts w:ascii="Times New Roman" w:hAnsi="Times New Roman"/>
          <w:sz w:val="20"/>
        </w:rPr>
        <w:t xml:space="preserve">.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 In addition, shares subject to an Award that are not delivered in connection with the settlement of a stock appreciation right shall not again be available for Awards. </w:t>
      </w:r>
    </w:p>
    <w:p>
      <w:pPr>
        <w:pStyle w:val="TextBody"/>
        <w:bidi w:val="0"/>
        <w:spacing w:before="12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u w:val="single"/>
        </w:rPr>
        <w:t>Adjustments</w:t>
      </w:r>
      <w:r>
        <w:rPr>
          <w:rFonts w:ascii="Times New Roman" w:hAnsi="Times New Roman"/>
          <w:sz w:val="20"/>
        </w:rPr>
        <w:t xml:space="preserve">. The Committee will: </w:t>
      </w:r>
    </w:p>
    <w:p>
      <w:pPr>
        <w:pStyle w:val="TextBody"/>
        <w:bidi w:val="0"/>
        <w:spacing w:before="120" w:after="0"/>
        <w:jc w:val="left"/>
        <w:rPr>
          <w:rFonts w:ascii="Times New Roman" w:hAnsi="Times New Roman"/>
          <w:sz w:val="20"/>
        </w:rPr>
      </w:pPr>
      <w:r>
        <w:rPr>
          <w:rFonts w:ascii="Times New Roman" w:hAnsi="Times New Roman"/>
          <w:sz w:val="20"/>
        </w:rPr>
        <w:t xml:space="preserve">(a) adjust the number of Shares authorized pursuant to </w:t>
      </w:r>
      <w:r>
        <w:rPr>
          <w:rFonts w:ascii="Times New Roman" w:hAnsi="Times New Roman"/>
          <w:sz w:val="20"/>
          <w:u w:val="single"/>
        </w:rPr>
        <w:t>Section 1.3.1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adjust the terms of any outstanding Awards (including, without limitation, the number of Shares covered by each outstanding Award, the type of property or securities to which the Award relates and the exercise or strike price of any Award), in such manner as it deems appropriate (including, without limitation, by payment of cash) to prevent the enlargement or dilution of rights, as a result of any increase or decrease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number of issued Shares (or issuance of shares of stock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hAnsi="Times New Roman"/>
          <w:sz w:val="20"/>
          <w:u w:val="single"/>
        </w:rPr>
        <w:t>provided that</w:t>
      </w:r>
      <w:r>
        <w:rPr>
          <w:rFonts w:ascii="Times New Roman" w:hAnsi="Times New Roman"/>
          <w:sz w:val="20"/>
        </w:rPr>
        <w:t xml:space="preserve"> no such adjustment may be made if or to the extent that it would cause an outstanding Award to cease to be exempt from, or to fail to comply with, Section 409A.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AWARDS UNDER THE PLAN </w:t>
      </w:r>
    </w:p>
    <w:p>
      <w:pPr>
        <w:pStyle w:val="TextBody"/>
        <w:bidi w:val="0"/>
        <w:spacing w:before="240" w:after="0"/>
        <w:jc w:val="left"/>
        <w:rPr>
          <w:rFonts w:ascii="Times New Roman" w:hAnsi="Times New Roman"/>
          <w:b/>
          <w:sz w:val="20"/>
        </w:rPr>
      </w:pPr>
      <w:r>
        <w:rPr>
          <w:rFonts w:ascii="Times New Roman" w:hAnsi="Times New Roman"/>
          <w:b/>
          <w:sz w:val="20"/>
        </w:rPr>
        <w:t xml:space="preserve">2.1 Types of Awards and Eligibility </w:t>
      </w:r>
    </w:p>
    <w:p>
      <w:pPr>
        <w:pStyle w:val="TextBody"/>
        <w:bidi w:val="0"/>
        <w:spacing w:before="12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rPr>
        <w:t>Types of Awards.</w:t>
      </w:r>
      <w:r>
        <w:rPr>
          <w:rFonts w:ascii="Times New Roman" w:hAnsi="Times New Roman"/>
          <w:sz w:val="20"/>
        </w:rPr>
        <w:t xml:space="preserve"> Awards may be granted only to individuals who satisfy the eligibility requirements set forth in Section 2.1.2. Awards may be in the form of stock-based Awards and may be subject to one or more Performance Goals. Stock-based Awards may be in the form of any of the following, in each case in respect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stock options (provided that such stock options are 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(b)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(c) restricted shares; </w:t>
      </w:r>
    </w:p>
    <w:p>
      <w:pPr>
        <w:pStyle w:val="TextBody"/>
        <w:bidi w:val="0"/>
        <w:spacing w:before="120" w:after="0"/>
        <w:jc w:val="left"/>
        <w:rPr>
          <w:rFonts w:ascii="Times New Roman" w:hAnsi="Times New Roman"/>
          <w:sz w:val="20"/>
        </w:rPr>
      </w:pPr>
      <w:r>
        <w:rPr>
          <w:rFonts w:ascii="Times New Roman" w:hAnsi="Times New Roman"/>
          <w:sz w:val="20"/>
        </w:rPr>
        <w:t xml:space="preserve">(d)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(e) dividend equivalent rights; and </w:t>
      </w:r>
    </w:p>
    <w:p>
      <w:pPr>
        <w:pStyle w:val="TextBody"/>
        <w:bidi w:val="0"/>
        <w:spacing w:before="120" w:after="0"/>
        <w:jc w:val="left"/>
        <w:rPr>
          <w:rFonts w:ascii="Times New Roman" w:hAnsi="Times New Roman"/>
          <w:sz w:val="20"/>
        </w:rPr>
      </w:pPr>
      <w:r>
        <w:rPr>
          <w:rFonts w:ascii="Times New Roman" w:hAnsi="Times New Roman"/>
          <w:sz w:val="20"/>
        </w:rPr>
        <w:t xml:space="preserve">(f) other stock-based Awards (as further described in </w:t>
      </w:r>
      <w:r>
        <w:rPr>
          <w:rFonts w:ascii="Times New Roman" w:hAnsi="Times New Roman"/>
          <w:sz w:val="20"/>
          <w:u w:val="single"/>
        </w:rPr>
        <w:t>Section 2.9</w:t>
      </w:r>
      <w:r>
        <w:rPr>
          <w:rFonts w:ascii="Times New Roman" w:hAnsi="Times New Roman"/>
          <w:sz w:val="20"/>
        </w:rPr>
        <w:t xml:space="preserve">), that the Committee determines to be consistent with the purposes of the Plan and the interests of the Company. </w:t>
      </w:r>
    </w:p>
    <w:p>
      <w:pPr>
        <w:pStyle w:val="TextBody"/>
        <w:bidi w:val="0"/>
        <w:spacing w:before="12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rPr>
        <w:t>Eligibility.</w:t>
      </w:r>
      <w:r>
        <w:rPr>
          <w:rFonts w:ascii="Times New Roman" w:hAnsi="Times New Roman"/>
          <w:sz w:val="20"/>
        </w:rPr>
        <w:t xml:space="preserve"> Awards may be granted only to Eligible Individuals. </w:t>
      </w:r>
    </w:p>
    <w:p>
      <w:pPr>
        <w:pStyle w:val="TextBody"/>
        <w:bidi w:val="0"/>
        <w:spacing w:before="120" w:after="0"/>
        <w:jc w:val="left"/>
        <w:rPr>
          <w:rFonts w:ascii="Times New Roman" w:hAnsi="Times New Roman"/>
          <w:b/>
          <w:sz w:val="20"/>
        </w:rPr>
      </w:pPr>
      <w:r>
        <w:rPr>
          <w:rFonts w:ascii="Times New Roman" w:hAnsi="Times New Roman"/>
          <w:b/>
          <w:sz w:val="20"/>
        </w:rPr>
        <w:t xml:space="preserve">2.2 Agreements Evidencing Awards </w:t>
      </w:r>
    </w:p>
    <w:p>
      <w:pPr>
        <w:pStyle w:val="TextBody"/>
        <w:bidi w:val="0"/>
        <w:spacing w:before="120" w:after="0"/>
        <w:jc w:val="left"/>
        <w:rPr>
          <w:rFonts w:ascii="Times New Roman" w:hAnsi="Times New Roman"/>
          <w:sz w:val="20"/>
        </w:rPr>
      </w:pPr>
      <w:r>
        <w:rPr>
          <w:rFonts w:ascii="Times New Roman" w:hAnsi="Times New Roman"/>
          <w:sz w:val="20"/>
        </w:rPr>
        <w:t xml:space="preserve">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By accepting an Award, a Grantee thereby agrees that the Award will be subject to all of the terms and provisions of the Plan and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No Grantee (or other person having rights pursuant to an Award) will have any of the rights of a stockholder of Bakkt for Shares subject to an Award until the delivery of such Shares. Except as otherwise provided in </w:t>
      </w:r>
      <w:r>
        <w:rPr>
          <w:rFonts w:ascii="Times New Roman" w:hAnsi="Times New Roman"/>
          <w:sz w:val="20"/>
          <w:u w:val="single"/>
        </w:rPr>
        <w:t>Section 1.3.3</w:t>
      </w:r>
      <w:r>
        <w:rPr>
          <w:rFonts w:ascii="Times New Roman" w:hAnsi="Times New Roman"/>
          <w:sz w:val="20"/>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Times New Roman" w:hAnsi="Times New Roman"/>
          <w:b/>
          <w:sz w:val="20"/>
          <w:u w:val="single"/>
        </w:rPr>
        <w:t>Certificates</w:t>
      </w:r>
      <w:r>
        <w:rPr>
          <w:rFonts w:ascii="Times New Roman" w:hAnsi="Times New Roman"/>
          <w:sz w:val="20"/>
        </w:rPr>
        <w:t xml:space="preserve">”) are delivered, or if the Committee elects to use another system, such as book entries by the transfer agent, before the date on which such system evidences the Grantee’s ownership of such Shares. </w:t>
      </w:r>
    </w:p>
    <w:p>
      <w:pPr>
        <w:pStyle w:val="TextBody"/>
        <w:bidi w:val="0"/>
        <w:spacing w:before="120" w:after="0"/>
        <w:jc w:val="left"/>
        <w:rPr>
          <w:rFonts w:ascii="Times New Roman" w:hAnsi="Times New Roman"/>
          <w:b/>
          <w:sz w:val="20"/>
        </w:rPr>
      </w:pPr>
      <w:r>
        <w:rPr>
          <w:rFonts w:ascii="Times New Roman" w:hAnsi="Times New Roman"/>
          <w:b/>
          <w:sz w:val="20"/>
        </w:rPr>
        <w:t xml:space="preserve">2.4 Minimum Vesting </w:t>
      </w:r>
    </w:p>
    <w:p>
      <w:pPr>
        <w:pStyle w:val="TextBody"/>
        <w:bidi w:val="0"/>
        <w:spacing w:before="120" w:after="0"/>
        <w:jc w:val="left"/>
        <w:rPr>
          <w:rFonts w:ascii="Times New Roman" w:hAnsi="Times New Roman"/>
          <w:sz w:val="20"/>
        </w:rPr>
      </w:pPr>
      <w:r>
        <w:rPr>
          <w:rFonts w:ascii="Times New Roman" w:hAnsi="Times New Roman"/>
          <w:sz w:val="20"/>
        </w:rPr>
        <w:t xml:space="preserve">All Awards shall be subject to a minimum time-based vesting or performance period, as applicable, of not less than one year from the grant date. Notwithstanding the foregoing, this Section 2.4 shall not prevent the Committee from accelerating any Award in accordance with any provisions set forth in the Plan. Any Award Agreement may also provide that Shares issued or acquired in connection with the applicable Award will be subject to additional holding requirements specified in such Award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2.5 Stock Options and Stock Appreciation Rights </w:t>
      </w:r>
    </w:p>
    <w:p>
      <w:pPr>
        <w:pStyle w:val="TextBody"/>
        <w:bidi w:val="0"/>
        <w:spacing w:before="120" w:after="0"/>
        <w:jc w:val="left"/>
        <w:rPr>
          <w:rFonts w:ascii="Times New Roman" w:hAnsi="Times New Roman"/>
          <w:sz w:val="20"/>
        </w:rPr>
      </w:pPr>
      <w:r>
        <w:rPr>
          <w:rFonts w:ascii="Times New Roman" w:hAnsi="Times New Roman"/>
          <w:b/>
          <w:sz w:val="20"/>
        </w:rPr>
        <w:t>2.5.1</w:t>
      </w:r>
      <w:r>
        <w:rPr>
          <w:rFonts w:ascii="Times New Roman" w:hAnsi="Times New Roman"/>
          <w:sz w:val="20"/>
        </w:rPr>
        <w:t xml:space="preserve"> </w:t>
      </w:r>
      <w:r>
        <w:rPr>
          <w:rFonts w:ascii="Times New Roman" w:hAnsi="Times New Roman"/>
          <w:b/>
          <w:sz w:val="20"/>
          <w:u w:val="single"/>
        </w:rPr>
        <w:t>Designation of Options</w:t>
      </w:r>
      <w:r>
        <w:rPr>
          <w:rFonts w:ascii="Times New Roman" w:hAnsi="Times New Roman"/>
          <w:sz w:val="20"/>
        </w:rPr>
        <w:t xml:space="preserve">. No Award granted under the Plan shall be intended to qualify as an “incentive stock option” within the meaning of Section 422 of the Code. </w:t>
      </w:r>
    </w:p>
    <w:p>
      <w:pPr>
        <w:pStyle w:val="TextBody"/>
        <w:bidi w:val="0"/>
        <w:spacing w:before="120" w:after="0"/>
        <w:jc w:val="left"/>
        <w:rPr>
          <w:rFonts w:ascii="Times New Roman" w:hAnsi="Times New Roman"/>
          <w:sz w:val="20"/>
        </w:rPr>
      </w:pPr>
      <w:r>
        <w:rPr>
          <w:rFonts w:ascii="Times New Roman" w:hAnsi="Times New Roman"/>
          <w:b/>
          <w:sz w:val="20"/>
        </w:rPr>
        <w:t>2.5.2</w:t>
      </w:r>
      <w:r>
        <w:rPr>
          <w:rFonts w:ascii="Times New Roman" w:hAnsi="Times New Roman"/>
          <w:sz w:val="20"/>
        </w:rPr>
        <w:t xml:space="preserve"> </w:t>
      </w:r>
      <w:r>
        <w:rPr>
          <w:rFonts w:ascii="Times New Roman" w:hAnsi="Times New Roman"/>
          <w:b/>
          <w:sz w:val="20"/>
          <w:u w:val="single"/>
        </w:rPr>
        <w:t>Exercise Price of Stock Options and Stock Appreciation Rights</w:t>
      </w:r>
      <w:r>
        <w:rPr>
          <w:rFonts w:ascii="Times New Roman" w:hAnsi="Times New Roman"/>
          <w:sz w:val="20"/>
        </w:rPr>
        <w:t xml:space="preserve">. The exercise price per share for each stock option or stock appreciation right will be determined by the Committee but, except as otherwise permitted by </w:t>
      </w:r>
      <w:r>
        <w:rPr>
          <w:rFonts w:ascii="Times New Roman" w:hAnsi="Times New Roman"/>
          <w:sz w:val="20"/>
          <w:u w:val="single"/>
        </w:rPr>
        <w:t>Section 1.3.3</w:t>
      </w:r>
      <w:r>
        <w:rPr>
          <w:rFonts w:ascii="Times New Roman" w:hAnsi="Times New Roman"/>
          <w:sz w:val="20"/>
        </w:rPr>
        <w:t xml:space="preserve">, may never be less than the Fair Market Value of a Share. Unless otherwise noted in the Award Agreement, the Fair Market Value of the Common Stock will be its Fair Market Value on the date of grant of the Award of stock options or stock appreciation rights. </w:t>
      </w:r>
    </w:p>
    <w:p>
      <w:pPr>
        <w:pStyle w:val="TextBody"/>
        <w:bidi w:val="0"/>
        <w:spacing w:before="120" w:after="0"/>
        <w:jc w:val="left"/>
        <w:rPr>
          <w:rFonts w:ascii="Times New Roman" w:hAnsi="Times New Roman"/>
          <w:sz w:val="20"/>
        </w:rPr>
      </w:pPr>
      <w:r>
        <w:rPr>
          <w:rFonts w:ascii="Times New Roman" w:hAnsi="Times New Roman"/>
          <w:b/>
          <w:sz w:val="20"/>
        </w:rPr>
        <w:t>2.5.3</w:t>
      </w:r>
      <w:r>
        <w:rPr>
          <w:rFonts w:ascii="Times New Roman" w:hAnsi="Times New Roman"/>
          <w:sz w:val="20"/>
        </w:rPr>
        <w:t xml:space="preserve"> </w:t>
      </w:r>
      <w:r>
        <w:rPr>
          <w:rFonts w:ascii="Times New Roman" w:hAnsi="Times New Roman"/>
          <w:b/>
          <w:sz w:val="20"/>
          <w:u w:val="single"/>
        </w:rPr>
        <w:t>Term of Stock Options and Stock Appreciation Rights</w:t>
      </w:r>
      <w:r>
        <w:rPr>
          <w:rFonts w:ascii="Times New Roman" w:hAnsi="Times New Roman"/>
          <w:sz w:val="20"/>
        </w:rPr>
        <w:t xml:space="preserve">. In no event will any stock option or stock appreciation right be exercisable after the expiration of ten (10) years from the date on which the stock option or stock appreciation right is granted. </w:t>
      </w:r>
    </w:p>
    <w:p>
      <w:pPr>
        <w:pStyle w:val="TextBody"/>
        <w:bidi w:val="0"/>
        <w:spacing w:before="120" w:after="0"/>
        <w:jc w:val="left"/>
        <w:rPr>
          <w:rFonts w:ascii="Times New Roman" w:hAnsi="Times New Roman"/>
          <w:sz w:val="20"/>
        </w:rPr>
      </w:pPr>
      <w:r>
        <w:rPr>
          <w:rFonts w:ascii="Times New Roman" w:hAnsi="Times New Roman"/>
          <w:b/>
          <w:sz w:val="20"/>
        </w:rPr>
        <w:t>2.5.4</w:t>
      </w:r>
      <w:r>
        <w:rPr>
          <w:rFonts w:ascii="Times New Roman" w:hAnsi="Times New Roman"/>
          <w:sz w:val="20"/>
        </w:rPr>
        <w:t xml:space="preserve"> </w:t>
      </w:r>
      <w:r>
        <w:rPr>
          <w:rFonts w:ascii="Times New Roman" w:hAnsi="Times New Roman"/>
          <w:b/>
          <w:sz w:val="20"/>
          <w:u w:val="single"/>
        </w:rPr>
        <w:t>Vesting and Exercise of Stock Option and Payment for Shares</w:t>
      </w:r>
      <w:r>
        <w:rPr>
          <w:rFonts w:ascii="Times New Roman" w:hAnsi="Times New Roman"/>
          <w:sz w:val="20"/>
        </w:rPr>
        <w:t xml:space="preserve">.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 </w:t>
      </w:r>
    </w:p>
    <w:p>
      <w:pPr>
        <w:pStyle w:val="TextBody"/>
        <w:bidi w:val="0"/>
        <w:spacing w:before="120" w:after="0"/>
        <w:jc w:val="left"/>
        <w:rPr>
          <w:rFonts w:ascii="Times New Roman" w:hAnsi="Times New Roman"/>
          <w:sz w:val="20"/>
        </w:rPr>
      </w:pPr>
      <w:r>
        <w:rPr>
          <w:rFonts w:ascii="Times New Roman" w:hAnsi="Times New Roman"/>
          <w:sz w:val="20"/>
        </w:rPr>
        <w:t xml:space="preserve">(a) personal check; </w:t>
      </w:r>
    </w:p>
    <w:p>
      <w:pPr>
        <w:pStyle w:val="TextBody"/>
        <w:bidi w:val="0"/>
        <w:spacing w:before="120" w:after="0"/>
        <w:jc w:val="left"/>
        <w:rPr>
          <w:rFonts w:ascii="Times New Roman" w:hAnsi="Times New Roman"/>
          <w:sz w:val="20"/>
        </w:rPr>
      </w:pPr>
      <w:r>
        <w:rPr>
          <w:rFonts w:ascii="Times New Roman" w:hAnsi="Times New Roman"/>
          <w:sz w:val="20"/>
        </w:rPr>
        <w:t xml:space="preserve">(b) Shares, based on the Fair Market Value as of the exercise date, of the same class as those to be granted by exercise of the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other form of consideration approved by the Company and permitted by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Times New Roman" w:hAnsi="Times New Roman"/>
          <w:b/>
          <w:sz w:val="20"/>
          <w:u w:val="single"/>
        </w:rPr>
        <w:t>Securities Act</w:t>
      </w:r>
      <w:r>
        <w:rPr>
          <w:rFonts w:ascii="Times New Roman" w:hAnsi="Times New Roman"/>
          <w:sz w:val="20"/>
        </w:rPr>
        <w:t xml:space="preserve">”),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 </w:t>
      </w:r>
    </w:p>
    <w:p>
      <w:pPr>
        <w:pStyle w:val="TextBody"/>
        <w:bidi w:val="0"/>
        <w:spacing w:before="120" w:after="0"/>
        <w:jc w:val="left"/>
        <w:rPr>
          <w:rFonts w:ascii="Times New Roman" w:hAnsi="Times New Roman"/>
          <w:sz w:val="20"/>
        </w:rPr>
      </w:pPr>
      <w:r>
        <w:rPr>
          <w:rFonts w:ascii="Times New Roman" w:hAnsi="Times New Roman"/>
          <w:b/>
          <w:sz w:val="20"/>
        </w:rPr>
        <w:t>2.5.5</w:t>
      </w:r>
      <w:r>
        <w:rPr>
          <w:rFonts w:ascii="Times New Roman" w:hAnsi="Times New Roman"/>
          <w:sz w:val="20"/>
        </w:rPr>
        <w:t xml:space="preserve"> </w:t>
      </w:r>
      <w:r>
        <w:rPr>
          <w:rFonts w:ascii="Times New Roman" w:hAnsi="Times New Roman"/>
          <w:b/>
          <w:sz w:val="20"/>
          <w:u w:val="single"/>
        </w:rPr>
        <w:t>No Repricing or Reloads</w:t>
      </w:r>
      <w:r>
        <w:rPr>
          <w:rFonts w:ascii="Times New Roman" w:hAnsi="Times New Roman"/>
          <w:sz w:val="20"/>
        </w:rPr>
        <w:t xml:space="preserve">. Except as otherwise permitted by </w:t>
      </w:r>
      <w:r>
        <w:rPr>
          <w:rFonts w:ascii="Times New Roman" w:hAnsi="Times New Roman"/>
          <w:sz w:val="20"/>
          <w:u w:val="single"/>
        </w:rPr>
        <w:t>Section 1.3.3</w:t>
      </w:r>
      <w:r>
        <w:rPr>
          <w:rFonts w:ascii="Times New Roman" w:hAnsi="Times New Roman"/>
          <w:sz w:val="20"/>
        </w:rPr>
        <w:t xml:space="preserve">,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stockholder approval to the extent required by applicable law or stock exchange rules. The Company will not grant any stock options or stock appreciation rights with automatic reload features. </w:t>
      </w:r>
    </w:p>
    <w:p>
      <w:pPr>
        <w:pStyle w:val="TextBody"/>
        <w:bidi w:val="0"/>
        <w:spacing w:before="120" w:after="0"/>
        <w:jc w:val="left"/>
        <w:rPr>
          <w:rFonts w:ascii="Times New Roman" w:hAnsi="Times New Roman"/>
          <w:b/>
          <w:sz w:val="20"/>
        </w:rPr>
      </w:pPr>
      <w:r>
        <w:rPr>
          <w:rFonts w:ascii="Times New Roman" w:hAnsi="Times New Roman"/>
          <w:b/>
          <w:sz w:val="20"/>
        </w:rPr>
        <w:t xml:space="preserve">2.6 Restricted Shares </w:t>
      </w:r>
    </w:p>
    <w:p>
      <w:pPr>
        <w:pStyle w:val="TextBody"/>
        <w:bidi w:val="0"/>
        <w:spacing w:before="120" w:after="0"/>
        <w:jc w:val="left"/>
        <w:rPr>
          <w:rFonts w:ascii="Times New Roman" w:hAnsi="Times New Roman"/>
          <w:sz w:val="20"/>
        </w:rPr>
      </w:pPr>
      <w:r>
        <w:rPr>
          <w:rFonts w:ascii="Times New Roman" w:hAnsi="Times New Roman"/>
          <w:b/>
          <w:sz w:val="20"/>
        </w:rPr>
        <w:t>2.6.1</w:t>
      </w:r>
      <w:r>
        <w:rPr>
          <w:rFonts w:ascii="Times New Roman" w:hAnsi="Times New Roman"/>
          <w:sz w:val="20"/>
        </w:rPr>
        <w:t xml:space="preserve"> </w:t>
      </w:r>
      <w:r>
        <w:rPr>
          <w:rFonts w:ascii="Times New Roman" w:hAnsi="Times New Roman"/>
          <w:b/>
          <w:sz w:val="20"/>
          <w:u w:val="single"/>
        </w:rPr>
        <w:t>Grants</w:t>
      </w:r>
      <w:r>
        <w:rPr>
          <w:rFonts w:ascii="Times New Roman" w:hAnsi="Times New Roman"/>
          <w:sz w:val="20"/>
        </w:rPr>
        <w:t xml:space="preserve">. The Committee may grant or offer for sale restricted shares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 </w:t>
      </w:r>
    </w:p>
    <w:p>
      <w:pPr>
        <w:pStyle w:val="TextBody"/>
        <w:bidi w:val="0"/>
        <w:spacing w:before="120" w:after="0"/>
        <w:jc w:val="left"/>
        <w:rPr>
          <w:rFonts w:ascii="Times New Roman" w:hAnsi="Times New Roman"/>
          <w:sz w:val="20"/>
        </w:rPr>
      </w:pPr>
      <w:r>
        <w:rPr>
          <w:rFonts w:ascii="Times New Roman" w:hAnsi="Times New Roman"/>
          <w:b/>
          <w:sz w:val="20"/>
        </w:rPr>
        <w:t>2.6.2</w:t>
      </w:r>
      <w:r>
        <w:rPr>
          <w:rFonts w:ascii="Times New Roman" w:hAnsi="Times New Roman"/>
          <w:sz w:val="20"/>
        </w:rPr>
        <w:t xml:space="preserve"> </w:t>
      </w:r>
      <w:r>
        <w:rPr>
          <w:rFonts w:ascii="Times New Roman" w:hAnsi="Times New Roman"/>
          <w:b/>
          <w:sz w:val="20"/>
          <w:u w:val="single"/>
        </w:rPr>
        <w:t>Right to Vote and Receive Dividends on Restricted Shares</w:t>
      </w:r>
      <w:r>
        <w:rPr>
          <w:rFonts w:ascii="Times New Roman" w:hAnsi="Times New Roman"/>
          <w:sz w:val="20"/>
        </w:rPr>
        <w:t xml:space="preserve">.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 </w:t>
      </w:r>
    </w:p>
    <w:p>
      <w:pPr>
        <w:pStyle w:val="TextBody"/>
        <w:bidi w:val="0"/>
        <w:spacing w:before="120" w:after="0"/>
        <w:jc w:val="left"/>
        <w:rPr>
          <w:rFonts w:ascii="Times New Roman" w:hAnsi="Times New Roman"/>
          <w:b/>
          <w:sz w:val="20"/>
        </w:rPr>
      </w:pPr>
      <w:r>
        <w:rPr>
          <w:rFonts w:ascii="Times New Roman" w:hAnsi="Times New Roman"/>
          <w:b/>
          <w:sz w:val="20"/>
        </w:rPr>
        <w:t xml:space="preserve">2.7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grant Awards of restricted stock units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 </w:t>
      </w:r>
    </w:p>
    <w:p>
      <w:pPr>
        <w:pStyle w:val="TextBody"/>
        <w:bidi w:val="0"/>
        <w:spacing w:before="120" w:after="0"/>
        <w:jc w:val="left"/>
        <w:rPr>
          <w:rFonts w:ascii="Times New Roman" w:hAnsi="Times New Roman"/>
          <w:b/>
          <w:sz w:val="20"/>
        </w:rPr>
      </w:pPr>
      <w:r>
        <w:rPr>
          <w:rFonts w:ascii="Times New Roman" w:hAnsi="Times New Roman"/>
          <w:b/>
          <w:sz w:val="20"/>
        </w:rPr>
        <w:t xml:space="preserve">2.8 Dividend Equivalent Rights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Award of restricted stock units subject to Performance Criteria and/or Performance Goals), such dividend equivalent rights shall be subject to 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 </w:t>
      </w:r>
    </w:p>
    <w:p>
      <w:pPr>
        <w:pStyle w:val="TextBody"/>
        <w:bidi w:val="0"/>
        <w:spacing w:before="120" w:after="0"/>
        <w:jc w:val="left"/>
        <w:rPr>
          <w:rFonts w:ascii="Times New Roman" w:hAnsi="Times New Roman"/>
          <w:b/>
          <w:sz w:val="20"/>
        </w:rPr>
      </w:pPr>
      <w:r>
        <w:rPr>
          <w:rFonts w:ascii="Times New Roman" w:hAnsi="Times New Roman"/>
          <w:b/>
          <w:sz w:val="20"/>
        </w:rPr>
        <w:t xml:space="preserve">2.9 Other Stock-Based or Awards </w:t>
      </w:r>
    </w:p>
    <w:p>
      <w:pPr>
        <w:pStyle w:val="TextBody"/>
        <w:bidi w:val="0"/>
        <w:spacing w:before="120" w:after="0"/>
        <w:jc w:val="left"/>
        <w:rPr>
          <w:rFonts w:ascii="Times New Roman" w:hAnsi="Times New Roman"/>
          <w:sz w:val="20"/>
        </w:rPr>
      </w:pPr>
      <w:r>
        <w:rPr>
          <w:rFonts w:ascii="Times New Roman" w:hAnsi="Times New Roman"/>
          <w:b/>
          <w:sz w:val="20"/>
        </w:rPr>
        <w:t>2.9.1</w:t>
      </w:r>
      <w:r>
        <w:rPr>
          <w:rFonts w:ascii="Times New Roman" w:hAnsi="Times New Roman"/>
          <w:sz w:val="20"/>
        </w:rPr>
        <w:t xml:space="preserve"> </w:t>
      </w:r>
      <w:r>
        <w:rPr>
          <w:rFonts w:ascii="Times New Roman" w:hAnsi="Times New Roman"/>
          <w:b/>
          <w:sz w:val="20"/>
          <w:u w:val="single"/>
        </w:rPr>
        <w:t>Grant</w:t>
      </w:r>
      <w:r>
        <w:rPr>
          <w:rFonts w:ascii="Times New Roman" w:hAnsi="Times New Roman"/>
          <w:sz w:val="20"/>
        </w:rPr>
        <w:t>. The Committee may grant other types of stock-based or stock-related Awards (including the grant or offer for sale of unrestricted Shares, performance share Awards or performance units settled in cash) (“</w:t>
      </w:r>
      <w:r>
        <w:rPr>
          <w:rFonts w:ascii="Times New Roman" w:hAnsi="Times New Roman"/>
          <w:b/>
          <w:sz w:val="20"/>
          <w:u w:val="single"/>
        </w:rPr>
        <w:t>Other Stock-Based Awards</w:t>
      </w:r>
      <w:r>
        <w:rPr>
          <w:rFonts w:ascii="Times New Roman" w:hAnsi="Times New Roman"/>
          <w:sz w:val="20"/>
        </w:rPr>
        <w:t xml:space="preserve">”) in such amounts and subject to such terms and conditions as the Committee may determine (subject to </w:t>
      </w:r>
      <w:r>
        <w:rPr>
          <w:rFonts w:ascii="Times New Roman" w:hAnsi="Times New Roman"/>
          <w:sz w:val="20"/>
          <w:u w:val="single"/>
        </w:rPr>
        <w:t>Section 2.4</w:t>
      </w:r>
      <w:r>
        <w:rPr>
          <w:rFonts w:ascii="Times New Roman" w:hAnsi="Times New Roman"/>
          <w:sz w:val="20"/>
        </w:rPr>
        <w:t xml:space="preserve">).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2.10 Repayment If Conditions Not Met </w:t>
      </w:r>
    </w:p>
    <w:p>
      <w:pPr>
        <w:pStyle w:val="TextBody"/>
        <w:bidi w:val="0"/>
        <w:spacing w:before="120" w:after="0"/>
        <w:jc w:val="left"/>
        <w:rPr>
          <w:rFonts w:ascii="Times New Roman" w:hAnsi="Times New Roman"/>
          <w:sz w:val="20"/>
        </w:rPr>
      </w:pPr>
      <w:r>
        <w:rPr>
          <w:rFonts w:ascii="Times New Roman" w:hAnsi="Times New Roman"/>
          <w:sz w:val="20"/>
        </w:rPr>
        <w:t xml:space="preserve">If the Committee determines, in accordance with the terms of the applicable Award Agreement or any applicable Company clawback or recapture policy, that all terms and conditions of the Plan and a Grantee’s Award Agreement were not satisfied, then the Grantee will be obligated to pay the Company immediately upon demand therefor: </w:t>
      </w:r>
    </w:p>
    <w:p>
      <w:pPr>
        <w:pStyle w:val="TextBody"/>
        <w:bidi w:val="0"/>
        <w:spacing w:before="120" w:after="0"/>
        <w:jc w:val="left"/>
        <w:rPr>
          <w:rFonts w:ascii="Times New Roman" w:hAnsi="Times New Roman"/>
          <w:sz w:val="20"/>
        </w:rPr>
      </w:pPr>
      <w:r>
        <w:rPr>
          <w:rFonts w:ascii="Times New Roman" w:hAnsi="Times New Roman"/>
          <w:sz w:val="20"/>
        </w:rPr>
        <w:t xml:space="preserve">(a) 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w:t>
      </w:r>
    </w:p>
    <w:p>
      <w:pPr>
        <w:pStyle w:val="TextBody"/>
        <w:bidi w:val="0"/>
        <w:spacing w:before="120" w:after="0"/>
        <w:jc w:val="left"/>
        <w:rPr>
          <w:rFonts w:ascii="Times New Roman" w:hAnsi="Times New Roman"/>
          <w:sz w:val="20"/>
        </w:rPr>
      </w:pPr>
      <w:r>
        <w:rPr>
          <w:rFonts w:ascii="Times New Roman" w:hAnsi="Times New Roman"/>
          <w:sz w:val="20"/>
        </w:rPr>
        <w:t xml:space="preserve">(b) for restricted shares, an amount equal to the Fair Market Value (determined at the time such shares became vested) of such restricted shares; and </w:t>
      </w:r>
    </w:p>
    <w:p>
      <w:pPr>
        <w:pStyle w:val="TextBody"/>
        <w:bidi w:val="0"/>
        <w:spacing w:before="120" w:after="0"/>
        <w:jc w:val="left"/>
        <w:rPr>
          <w:rFonts w:ascii="Times New Roman" w:hAnsi="Times New Roman"/>
          <w:sz w:val="20"/>
        </w:rPr>
      </w:pPr>
      <w:r>
        <w:rPr>
          <w:rFonts w:ascii="Times New Roman" w:hAnsi="Times New Roman"/>
          <w:sz w:val="20"/>
        </w:rPr>
        <w:t xml:space="preserve">(c) for restricted stock units, an amount equal to the Fair Market Value (determined at the time of delivery) of the Shares delivered for the applicable delivery date, in each case for clauses (a), (b) and (c) of this </w:t>
      </w:r>
      <w:r>
        <w:rPr>
          <w:rFonts w:ascii="Times New Roman" w:hAnsi="Times New Roman"/>
          <w:sz w:val="20"/>
          <w:u w:val="single"/>
        </w:rPr>
        <w:t>Section 2.10</w:t>
      </w:r>
      <w:r>
        <w:rPr>
          <w:rFonts w:ascii="Times New Roman" w:hAnsi="Times New Roman"/>
          <w:sz w:val="20"/>
        </w:rPr>
        <w:t xml:space="preserve">, without reduction for any amount applied to satisfy withholding tax or other obligations in respect of such Award.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3.1 Amendment of the Plan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Plan or in an Award Agreement, the Board may at any time and from time to time suspend, discontinue, revise or amend the Plan in any respect whatsoever; </w:t>
      </w:r>
      <w:r>
        <w:rPr>
          <w:rFonts w:ascii="Times New Roman" w:hAnsi="Times New Roman"/>
          <w:i/>
          <w:sz w:val="20"/>
        </w:rPr>
        <w:t>provided</w:t>
      </w:r>
      <w:r>
        <w:rPr>
          <w:rFonts w:ascii="Times New Roman" w:hAnsi="Times New Roman"/>
          <w:sz w:val="20"/>
        </w:rPr>
        <w:t xml:space="preserve">, that (i) subject to </w:t>
      </w:r>
      <w:r>
        <w:rPr>
          <w:rFonts w:ascii="Times New Roman" w:hAnsi="Times New Roman"/>
          <w:sz w:val="20"/>
          <w:u w:val="single"/>
        </w:rPr>
        <w:t>Sections 1.2</w:t>
      </w:r>
      <w:r>
        <w:rPr>
          <w:rFonts w:ascii="Times New Roman" w:hAnsi="Times New Roman"/>
          <w:sz w:val="20"/>
        </w:rPr>
        <w:t xml:space="preserve">, </w:t>
      </w:r>
      <w:r>
        <w:rPr>
          <w:rFonts w:ascii="Times New Roman" w:hAnsi="Times New Roman"/>
          <w:sz w:val="20"/>
          <w:u w:val="single"/>
        </w:rPr>
        <w:t>1.3.3</w:t>
      </w:r>
      <w:r>
        <w:rPr>
          <w:rFonts w:ascii="Times New Roman" w:hAnsi="Times New Roman"/>
          <w:sz w:val="20"/>
        </w:rPr>
        <w:t xml:space="preserve"> and </w:t>
      </w:r>
      <w:r>
        <w:rPr>
          <w:rFonts w:ascii="Times New Roman" w:hAnsi="Times New Roman"/>
          <w:sz w:val="20"/>
          <w:u w:val="single"/>
        </w:rPr>
        <w:t>3.7</w:t>
      </w:r>
      <w:r>
        <w:rPr>
          <w:rFonts w:ascii="Times New Roman" w:hAnsi="Times New Roman"/>
          <w:sz w:val="20"/>
        </w:rPr>
        <w:t xml:space="preserve">, no such amendment may materially adversely impair the rights of the Grantee of any Award without the Grantee’s consent and (ii) no amendment or alteration shall be effective prior to its approval by the stockholders of the Company to the extent stockholder approval is otherwise required by applicable legal requirements or the requirements of NYSE or such other securities exchange on which the Company’s securities are traded. Notwithstanding any provision in this Plan to the contrary, this Plan shall not be amended or terminated in such manner that would cause this Plan or any amounts or benefits payable hereunder to fail to comply with or be exempt from Section 409A, and any such amendment or termination that may reasonably be expected to result in such failure shall be of no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3.2 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deduct or withhold (or cause to be deducted or withheld) from any payment or distribution to a Grantee whether or not pursuant to the Plan (including Shares otherwise deliverable); </w:t>
      </w:r>
    </w:p>
    <w:p>
      <w:pPr>
        <w:pStyle w:val="TextBody"/>
        <w:bidi w:val="0"/>
        <w:spacing w:before="120" w:after="0"/>
        <w:jc w:val="left"/>
        <w:rPr>
          <w:rFonts w:ascii="Times New Roman" w:hAnsi="Times New Roman"/>
          <w:sz w:val="20"/>
        </w:rPr>
      </w:pPr>
      <w:r>
        <w:rPr>
          <w:rFonts w:ascii="Times New Roman" w:hAnsi="Times New Roman"/>
          <w:sz w:val="20"/>
        </w:rPr>
        <w:t xml:space="preserve">(b) the Committee will be entitled to require that the Grantee remit cash to the Company (through payroll deduction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(c) the Company may enter into any other suitable arrangements to withhold such taxes required by law to be withheld in an amount not to exceed the individual tax rates applicable to the Grantee, as determined by the Company. </w:t>
      </w:r>
    </w:p>
    <w:p>
      <w:pPr>
        <w:pStyle w:val="TextBody"/>
        <w:bidi w:val="0"/>
        <w:spacing w:before="120" w:after="0"/>
        <w:jc w:val="left"/>
        <w:rPr>
          <w:rFonts w:ascii="Times New Roman" w:hAnsi="Times New Roman"/>
          <w:b/>
          <w:sz w:val="20"/>
        </w:rPr>
      </w:pPr>
      <w:r>
        <w:rPr>
          <w:rFonts w:ascii="Times New Roman" w:hAnsi="Times New Roman"/>
          <w:b/>
          <w:sz w:val="20"/>
        </w:rPr>
        <w:t xml:space="preserve">3.3 Required Consents and Legends </w:t>
      </w:r>
    </w:p>
    <w:p>
      <w:pPr>
        <w:pStyle w:val="TextBody"/>
        <w:bidi w:val="0"/>
        <w:spacing w:before="120" w:after="0"/>
        <w:jc w:val="left"/>
        <w:rPr>
          <w:rFonts w:ascii="Times New Roman" w:hAnsi="Times New Roman"/>
          <w:sz w:val="20"/>
        </w:rPr>
      </w:pPr>
      <w:r>
        <w:rPr>
          <w:rFonts w:ascii="Times New Roman" w:hAnsi="Times New Roman"/>
          <w:sz w:val="20"/>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hAnsi="Times New Roman"/>
          <w:b/>
          <w:sz w:val="20"/>
          <w:u w:val="single"/>
        </w:rPr>
        <w:t>Plan Action</w:t>
      </w:r>
      <w:r>
        <w:rPr>
          <w:rFonts w:ascii="Times New Roman" w:hAnsi="Times New Roman"/>
          <w:sz w:val="20"/>
        </w:rPr>
        <w:t xml:space="preserve">”), then, subject to </w:t>
      </w:r>
      <w:r>
        <w:rPr>
          <w:rFonts w:ascii="Times New Roman" w:hAnsi="Times New Roman"/>
          <w:sz w:val="20"/>
          <w:u w:val="single"/>
        </w:rPr>
        <w:t>Section 3.14</w:t>
      </w:r>
      <w:r>
        <w:rPr>
          <w:rFonts w:ascii="Times New Roman" w:hAnsi="Times New Roman"/>
          <w:sz w:val="20"/>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the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 </w:t>
      </w:r>
    </w:p>
    <w:p>
      <w:pPr>
        <w:pStyle w:val="TextBody"/>
        <w:bidi w:val="0"/>
        <w:spacing w:before="120" w:after="0"/>
        <w:jc w:val="left"/>
        <w:rPr>
          <w:rFonts w:ascii="Times New Roman" w:hAnsi="Times New Roman"/>
          <w:b/>
          <w:sz w:val="20"/>
        </w:rPr>
      </w:pPr>
      <w:r>
        <w:rPr>
          <w:rFonts w:ascii="Times New Roman" w:hAnsi="Times New Roman"/>
          <w:b/>
          <w:sz w:val="20"/>
        </w:rPr>
        <w:t xml:space="preserve">3.4 Right of Offset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3.5 Non-Assignability; No Hedging </w:t>
      </w:r>
    </w:p>
    <w:p>
      <w:pPr>
        <w:pStyle w:val="TextBody"/>
        <w:bidi w:val="0"/>
        <w:spacing w:before="120" w:after="0"/>
        <w:jc w:val="left"/>
        <w:rPr>
          <w:rFonts w:ascii="Times New Roman" w:hAnsi="Times New Roman"/>
          <w:sz w:val="20"/>
        </w:rPr>
      </w:pPr>
      <w:r>
        <w:rPr>
          <w:rFonts w:ascii="Times New Roman" w:hAnsi="Times New Roman"/>
          <w:sz w:val="20"/>
        </w:rPr>
        <w:t xml:space="preserve">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that it deems appropriate in its sole discretion, a Grantee to transfer any Award to any person or entity that the Committee so determines; </w:t>
      </w:r>
      <w:r>
        <w:rPr>
          <w:rFonts w:ascii="Times New Roman" w:hAnsi="Times New Roman"/>
          <w:sz w:val="20"/>
          <w:u w:val="single"/>
        </w:rPr>
        <w:t>provided</w:t>
      </w:r>
      <w:r>
        <w:rPr>
          <w:rFonts w:ascii="Times New Roman" w:hAnsi="Times New Roman"/>
          <w:sz w:val="20"/>
        </w:rPr>
        <w:t xml:space="preserve">, that in no case will the Committee permit any transfer to a third-party financial institution. Any sale, exchange, transfer, assignment, pledge, hypothecation, or other disposition in violation of the provisions of this </w:t>
      </w:r>
      <w:r>
        <w:rPr>
          <w:rFonts w:ascii="Times New Roman" w:hAnsi="Times New Roman"/>
          <w:sz w:val="20"/>
          <w:u w:val="single"/>
        </w:rPr>
        <w:t>Section 3.5</w:t>
      </w:r>
      <w:r>
        <w:rPr>
          <w:rFonts w:ascii="Times New Roman" w:hAnsi="Times New Roman"/>
          <w:sz w:val="20"/>
        </w:rPr>
        <w:t xml:space="preserve"> will be null and void and any Award which is hedged in any manner will immediately be forfeited. All of the terms and conditions of the Plan and the Award Agreements will be binding upon any permitted successors and assigns. </w:t>
      </w:r>
    </w:p>
    <w:p>
      <w:pPr>
        <w:pStyle w:val="TextBody"/>
        <w:bidi w:val="0"/>
        <w:spacing w:before="120" w:after="0"/>
        <w:jc w:val="left"/>
        <w:rPr>
          <w:rFonts w:ascii="Times New Roman" w:hAnsi="Times New Roman"/>
          <w:b/>
          <w:sz w:val="20"/>
        </w:rPr>
      </w:pPr>
      <w:r>
        <w:rPr>
          <w:rFonts w:ascii="Times New Roman" w:hAnsi="Times New Roman"/>
          <w:b/>
          <w:sz w:val="20"/>
        </w:rPr>
        <w:t xml:space="preserve">3.6 Change in Control </w:t>
      </w:r>
    </w:p>
    <w:p>
      <w:pPr>
        <w:pStyle w:val="TextBody"/>
        <w:bidi w:val="0"/>
        <w:spacing w:before="120" w:after="0"/>
        <w:jc w:val="left"/>
        <w:rPr>
          <w:rFonts w:ascii="Times New Roman" w:hAnsi="Times New Roman"/>
          <w:sz w:val="20"/>
        </w:rPr>
      </w:pPr>
      <w:r>
        <w:rPr>
          <w:rFonts w:ascii="Times New Roman" w:hAnsi="Times New Roman"/>
          <w:b/>
          <w:sz w:val="20"/>
        </w:rPr>
        <w:t>3.6.1</w:t>
      </w:r>
      <w:r>
        <w:rPr>
          <w:rFonts w:ascii="Times New Roman" w:hAnsi="Times New Roman"/>
          <w:sz w:val="20"/>
        </w:rPr>
        <w:t xml:space="preserve">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 </w:t>
      </w:r>
    </w:p>
    <w:p>
      <w:pPr>
        <w:pStyle w:val="TextBody"/>
        <w:bidi w:val="0"/>
        <w:spacing w:before="120" w:after="0"/>
        <w:jc w:val="left"/>
        <w:rPr>
          <w:rFonts w:ascii="Times New Roman" w:hAnsi="Times New Roman"/>
          <w:sz w:val="20"/>
        </w:rPr>
      </w:pPr>
      <w:r>
        <w:rPr>
          <w:rFonts w:ascii="Times New Roman" w:hAnsi="Times New Roman"/>
          <w:b/>
          <w:sz w:val="20"/>
        </w:rPr>
        <w:t>3.6.2</w:t>
      </w:r>
      <w:r>
        <w:rPr>
          <w:rFonts w:ascii="Times New Roman" w:hAnsi="Times New Roman"/>
          <w:sz w:val="20"/>
        </w:rPr>
        <w:t xml:space="preserve"> As of the Change in Control date, any outstanding Awards subject to Performance Criteria and/or Performance Goals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Times New Roman" w:hAnsi="Times New Roman"/>
          <w:sz w:val="20"/>
          <w:u w:val="single"/>
        </w:rPr>
        <w:t>Section 3.6.1</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b/>
          <w:sz w:val="20"/>
        </w:rPr>
        <w:t>3.6.3</w:t>
      </w:r>
      <w:r>
        <w:rPr>
          <w:rFonts w:ascii="Times New Roman" w:hAnsi="Times New Roman"/>
          <w:sz w:val="20"/>
        </w:rPr>
        <w:t xml:space="preserve">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 exercise price of such stock options or stock appreciation rights, as the case may be; (ii) provide for the assumption of or the issuance of substitute awards that will substantially preserve the otherwise applicable terms of any affected Awards previously granted under the Plan, as determined by the Committee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 (a) 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hAnsi="Times New Roman"/>
          <w:sz w:val="20"/>
          <w:u w:val="single"/>
        </w:rPr>
        <w:t>Section 3.6.3</w:t>
      </w:r>
      <w:r>
        <w:rPr>
          <w:rFonts w:ascii="Times New Roman" w:hAnsi="Times New Roman"/>
          <w:sz w:val="20"/>
        </w:rPr>
        <w:t xml:space="preserve"> may be taken in the event of a merger or other corporate reorganization that does not constitute a Change in Control. </w:t>
      </w:r>
    </w:p>
    <w:p>
      <w:pPr>
        <w:pStyle w:val="TextBody"/>
        <w:bidi w:val="0"/>
        <w:spacing w:before="120" w:after="0"/>
        <w:jc w:val="left"/>
        <w:rPr>
          <w:rFonts w:ascii="Times New Roman" w:hAnsi="Times New Roman"/>
          <w:b/>
          <w:sz w:val="20"/>
        </w:rPr>
      </w:pPr>
      <w:r>
        <w:rPr>
          <w:rFonts w:ascii="Times New Roman" w:hAnsi="Times New Roman"/>
          <w:b/>
          <w:sz w:val="20"/>
        </w:rPr>
        <w:t xml:space="preserve">3.7 No Continued Employment or Engagement; Right of Discharge Reserved </w:t>
      </w:r>
    </w:p>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 </w:t>
      </w:r>
    </w:p>
    <w:p>
      <w:pPr>
        <w:pStyle w:val="TextBody"/>
        <w:bidi w:val="0"/>
        <w:spacing w:before="120" w:after="0"/>
        <w:jc w:val="left"/>
        <w:rPr>
          <w:rFonts w:ascii="Times New Roman" w:hAnsi="Times New Roman"/>
          <w:b/>
          <w:sz w:val="20"/>
        </w:rPr>
      </w:pPr>
      <w:r>
        <w:rPr>
          <w:rFonts w:ascii="Times New Roman" w:hAnsi="Times New Roman"/>
          <w:b/>
          <w:sz w:val="20"/>
        </w:rPr>
        <w:t xml:space="preserve">3.8 Nature of Payments </w:t>
      </w:r>
    </w:p>
    <w:p>
      <w:pPr>
        <w:pStyle w:val="TextBody"/>
        <w:bidi w:val="0"/>
        <w:spacing w:before="120" w:after="0"/>
        <w:jc w:val="left"/>
        <w:rPr>
          <w:rFonts w:ascii="Times New Roman" w:hAnsi="Times New Roman"/>
          <w:sz w:val="20"/>
        </w:rPr>
      </w:pPr>
      <w:r>
        <w:rPr>
          <w:rFonts w:ascii="Times New Roman" w:hAnsi="Times New Roman"/>
          <w:b/>
          <w:sz w:val="20"/>
        </w:rPr>
        <w:t>3.8.1</w:t>
      </w:r>
      <w:r>
        <w:rPr>
          <w:rFonts w:ascii="Times New Roman" w:hAnsi="Times New Roman"/>
          <w:sz w:val="20"/>
        </w:rPr>
        <w:t xml:space="preserve">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 </w:t>
      </w:r>
    </w:p>
    <w:p>
      <w:pPr>
        <w:pStyle w:val="TextBody"/>
        <w:bidi w:val="0"/>
        <w:spacing w:before="120" w:after="0"/>
        <w:jc w:val="left"/>
        <w:rPr>
          <w:rFonts w:ascii="Times New Roman" w:hAnsi="Times New Roman"/>
          <w:sz w:val="20"/>
        </w:rPr>
      </w:pPr>
      <w:r>
        <w:rPr>
          <w:rFonts w:ascii="Times New Roman" w:hAnsi="Times New Roman"/>
          <w:b/>
          <w:sz w:val="20"/>
        </w:rPr>
        <w:t>3.8.2</w:t>
      </w:r>
      <w:r>
        <w:rPr>
          <w:rFonts w:ascii="Times New Roman" w:hAnsi="Times New Roman"/>
          <w:sz w:val="20"/>
        </w:rPr>
        <w:t xml:space="preserve">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3.9 Non-Uniform Determinations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 </w:t>
      </w:r>
    </w:p>
    <w:p>
      <w:pPr>
        <w:pStyle w:val="TextBody"/>
        <w:bidi w:val="0"/>
        <w:spacing w:before="120" w:after="0"/>
        <w:jc w:val="left"/>
        <w:rPr>
          <w:rFonts w:ascii="Times New Roman" w:hAnsi="Times New Roman"/>
          <w:b/>
          <w:sz w:val="20"/>
        </w:rPr>
      </w:pPr>
      <w:r>
        <w:rPr>
          <w:rFonts w:ascii="Times New Roman" w:hAnsi="Times New Roman"/>
          <w:b/>
          <w:sz w:val="20"/>
        </w:rPr>
        <w:t xml:space="preserve">3.10 Other Payments or Awards </w:t>
      </w:r>
    </w:p>
    <w:p>
      <w:pPr>
        <w:pStyle w:val="TextBody"/>
        <w:bidi w:val="0"/>
        <w:spacing w:before="120" w:after="0"/>
        <w:jc w:val="left"/>
        <w:rPr>
          <w:rFonts w:ascii="Times New Roman" w:hAnsi="Times New Roman"/>
          <w:sz w:val="20"/>
        </w:rPr>
      </w:pPr>
      <w:r>
        <w:rPr>
          <w:rFonts w:ascii="Times New Roman" w:hAnsi="Times New Roman"/>
          <w:sz w:val="20"/>
        </w:rPr>
        <w:t xml:space="preserve">Nothing contained in the Plan will be deemed in any way to limit or restrict the Company from making any award or payment to any person under any other plan, arrangement or understanding, whether now existing or hereafter in effect. </w:t>
      </w:r>
    </w:p>
    <w:p>
      <w:pPr>
        <w:pStyle w:val="TextBody"/>
        <w:bidi w:val="0"/>
        <w:spacing w:before="120" w:after="0"/>
        <w:jc w:val="left"/>
        <w:rPr>
          <w:rFonts w:ascii="Times New Roman" w:hAnsi="Times New Roman"/>
          <w:b/>
          <w:sz w:val="20"/>
        </w:rPr>
      </w:pPr>
      <w:r>
        <w:rPr>
          <w:rFonts w:ascii="Times New Roman" w:hAnsi="Times New Roman"/>
          <w:b/>
          <w:sz w:val="20"/>
        </w:rPr>
        <w:t xml:space="preserve">3.11 Plan Headings </w:t>
      </w:r>
    </w:p>
    <w:p>
      <w:pPr>
        <w:pStyle w:val="TextBody"/>
        <w:bidi w:val="0"/>
        <w:spacing w:before="120" w:after="0"/>
        <w:jc w:val="left"/>
        <w:rPr>
          <w:rFonts w:ascii="Times New Roman" w:hAnsi="Times New Roman"/>
          <w:sz w:val="20"/>
        </w:rPr>
      </w:pPr>
      <w:r>
        <w:rPr>
          <w:rFonts w:ascii="Times New Roman" w:hAnsi="Times New Roman"/>
          <w:sz w:val="20"/>
        </w:rPr>
        <w:t xml:space="preserve">The headings in the Plan are for the purpose of convenience only and are not intended to define or limit the construction of the provisions hereof. </w:t>
      </w:r>
    </w:p>
    <w:p>
      <w:pPr>
        <w:pStyle w:val="TextBody"/>
        <w:bidi w:val="0"/>
        <w:spacing w:before="120" w:after="0"/>
        <w:jc w:val="left"/>
        <w:rPr>
          <w:rFonts w:ascii="Times New Roman" w:hAnsi="Times New Roman"/>
          <w:b/>
          <w:sz w:val="20"/>
        </w:rPr>
      </w:pPr>
      <w:r>
        <w:rPr>
          <w:rFonts w:ascii="Times New Roman" w:hAnsi="Times New Roman"/>
          <w:b/>
          <w:sz w:val="20"/>
        </w:rPr>
        <w:t xml:space="preserve">3.12 Termination of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reserves the right to terminate the Plan at any time;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case, the Plan will terminate on the day before the tenth anniversary of the Effective Date, and </w:t>
      </w:r>
      <w:r>
        <w:rPr>
          <w:rFonts w:ascii="Times New Roman" w:hAnsi="Times New Roman"/>
          <w:sz w:val="20"/>
          <w:u w:val="single"/>
        </w:rPr>
        <w:t>provided further</w:t>
      </w:r>
      <w:r>
        <w:rPr>
          <w:rFonts w:ascii="Times New Roman" w:hAnsi="Times New Roman"/>
          <w:sz w:val="20"/>
        </w:rPr>
        <w:t xml:space="preserve">, that all Awards made under the Plan before its termination will remain in effect until such Awards have been satisfied or terminated in accordance with the terms and provisions of the Plan and the applicable Award Agreements. </w:t>
      </w:r>
    </w:p>
    <w:p>
      <w:pPr>
        <w:pStyle w:val="TextBody"/>
        <w:bidi w:val="0"/>
        <w:spacing w:before="120" w:after="0"/>
        <w:jc w:val="left"/>
        <w:rPr>
          <w:rFonts w:ascii="Times New Roman" w:hAnsi="Times New Roman"/>
          <w:b/>
          <w:sz w:val="20"/>
        </w:rPr>
      </w:pPr>
      <w:r>
        <w:rPr>
          <w:rFonts w:ascii="Times New Roman" w:hAnsi="Times New Roman"/>
          <w:b/>
          <w:sz w:val="20"/>
        </w:rPr>
        <w:t xml:space="preserve">3.13 Clawback/Recapture Policy </w:t>
      </w:r>
    </w:p>
    <w:p>
      <w:pPr>
        <w:pStyle w:val="TextBody"/>
        <w:bidi w:val="0"/>
        <w:spacing w:before="120" w:after="0"/>
        <w:jc w:val="left"/>
        <w:rPr>
          <w:rFonts w:ascii="Times New Roman" w:hAnsi="Times New Roman"/>
          <w:sz w:val="20"/>
        </w:rPr>
      </w:pPr>
      <w:r>
        <w:rPr>
          <w:rFonts w:ascii="Times New Roman" w:hAnsi="Times New Roman"/>
          <w:sz w:val="20"/>
        </w:rPr>
        <w:t xml:space="preserve">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 </w:t>
      </w:r>
    </w:p>
    <w:p>
      <w:pPr>
        <w:pStyle w:val="TextBody"/>
        <w:bidi w:val="0"/>
        <w:spacing w:before="120" w:after="0"/>
        <w:jc w:val="left"/>
        <w:rPr>
          <w:rFonts w:ascii="Times New Roman" w:hAnsi="Times New Roman"/>
          <w:b/>
          <w:sz w:val="20"/>
        </w:rPr>
      </w:pPr>
      <w:r>
        <w:rPr>
          <w:rFonts w:ascii="Times New Roman" w:hAnsi="Times New Roman"/>
          <w:b/>
          <w:sz w:val="20"/>
        </w:rPr>
        <w:t xml:space="preserve">3.14 Section 409A </w:t>
      </w:r>
    </w:p>
    <w:p>
      <w:pPr>
        <w:pStyle w:val="TextBody"/>
        <w:bidi w:val="0"/>
        <w:spacing w:before="120" w:after="0"/>
        <w:jc w:val="left"/>
        <w:rPr>
          <w:rFonts w:ascii="Times New Roman" w:hAnsi="Times New Roman"/>
          <w:sz w:val="20"/>
        </w:rPr>
      </w:pPr>
      <w:r>
        <w:rPr>
          <w:rFonts w:ascii="Times New Roman" w:hAnsi="Times New Roman"/>
          <w:b/>
          <w:sz w:val="20"/>
        </w:rPr>
        <w:t>3.14.1</w:t>
      </w:r>
      <w:r>
        <w:rPr>
          <w:rFonts w:ascii="Times New Roman" w:hAnsi="Times New Roman"/>
          <w:sz w:val="20"/>
        </w:rPr>
        <w:t xml:space="preserve">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3.14.2</w:t>
      </w:r>
      <w:r>
        <w:rPr>
          <w:rFonts w:ascii="Times New Roman" w:hAnsi="Times New Roman"/>
          <w:sz w:val="20"/>
        </w:rPr>
        <w:t xml:space="preserve"> Without limiting the generality of </w:t>
      </w:r>
      <w:r>
        <w:rPr>
          <w:rFonts w:ascii="Times New Roman" w:hAnsi="Times New Roman"/>
          <w:sz w:val="20"/>
          <w:u w:val="single"/>
        </w:rPr>
        <w:t>Section 3.14.1</w:t>
      </w:r>
      <w:r>
        <w:rPr>
          <w:rFonts w:ascii="Times New Roman" w:hAnsi="Times New Roman"/>
          <w:sz w:val="20"/>
        </w:rPr>
        <w:t xml:space="preserve">, for any Award made under the Plan that is intended to be “deferred compensation” subject to Section 409A: </w:t>
      </w:r>
    </w:p>
    <w:p>
      <w:pPr>
        <w:pStyle w:val="TextBody"/>
        <w:bidi w:val="0"/>
        <w:spacing w:before="120" w:after="0"/>
        <w:jc w:val="left"/>
        <w:rPr>
          <w:rFonts w:ascii="Times New Roman" w:hAnsi="Times New Roman"/>
          <w:sz w:val="20"/>
        </w:rPr>
      </w:pPr>
      <w:r>
        <w:rPr>
          <w:rFonts w:ascii="Times New Roman" w:hAnsi="Times New Roman"/>
          <w:sz w:val="20"/>
        </w:rPr>
        <w:t xml:space="preserve">(a) any payment due upon a Grantee’s termination of Employment will be paid only upon such Grantee’s separation from service from the Company within the meaning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(b) 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 </w:t>
      </w:r>
    </w:p>
    <w:p>
      <w:pPr>
        <w:pStyle w:val="TextBody"/>
        <w:bidi w:val="0"/>
        <w:spacing w:before="120" w:after="0"/>
        <w:jc w:val="left"/>
        <w:rPr>
          <w:rFonts w:ascii="Times New Roman" w:hAnsi="Times New Roman"/>
          <w:sz w:val="20"/>
        </w:rPr>
      </w:pPr>
      <w:r>
        <w:rPr>
          <w:rFonts w:ascii="Times New Roman" w:hAnsi="Times New Roman"/>
          <w:sz w:val="20"/>
        </w:rPr>
        <w:t xml:space="preserve">(c) 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(e) for any required consent described in </w:t>
      </w:r>
      <w:r>
        <w:rPr>
          <w:rFonts w:ascii="Times New Roman" w:hAnsi="Times New Roman"/>
          <w:sz w:val="20"/>
          <w:u w:val="single"/>
        </w:rPr>
        <w:t>Section 3.3</w:t>
      </w:r>
      <w:r>
        <w:rPr>
          <w:rFonts w:ascii="Times New Roman" w:hAnsi="Times New Roman"/>
          <w:sz w:val="20"/>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 </w:t>
      </w:r>
    </w:p>
    <w:p>
      <w:pPr>
        <w:pStyle w:val="TextBody"/>
        <w:bidi w:val="0"/>
        <w:spacing w:before="120" w:after="0"/>
        <w:jc w:val="left"/>
        <w:rPr>
          <w:rFonts w:ascii="Times New Roman" w:hAnsi="Times New Roman"/>
          <w:sz w:val="20"/>
        </w:rPr>
      </w:pPr>
      <w:r>
        <w:rPr>
          <w:rFonts w:ascii="Times New Roman" w:hAnsi="Times New Roman"/>
          <w:sz w:val="20"/>
        </w:rPr>
        <w:t xml:space="preserve">(f) 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 </w:t>
      </w:r>
    </w:p>
    <w:p>
      <w:pPr>
        <w:pStyle w:val="TextBody"/>
        <w:bidi w:val="0"/>
        <w:spacing w:before="120" w:after="0"/>
        <w:jc w:val="left"/>
        <w:rPr>
          <w:rFonts w:ascii="Times New Roman" w:hAnsi="Times New Roman"/>
          <w:sz w:val="20"/>
        </w:rPr>
      </w:pPr>
      <w:r>
        <w:rPr>
          <w:rFonts w:ascii="Times New Roman" w:hAnsi="Times New Roman"/>
          <w:sz w:val="20"/>
        </w:rPr>
        <w:t xml:space="preserve">(g) if the Award includes “dividend equivalents” (within the meaning of Section 1.409A-3(e) of the Treasury Regulations), the Grantee’s right to the dividend equivalents will be treated separately from the right to other amounts under the Award;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hAnsi="Times New Roman"/>
          <w:sz w:val="20"/>
          <w:u w:val="single"/>
        </w:rPr>
        <w:t>provided that</w:t>
      </w:r>
      <w:r>
        <w:rPr>
          <w:rFonts w:ascii="Times New Roman" w:hAnsi="Times New Roman"/>
          <w:sz w:val="20"/>
        </w:rPr>
        <w:t xml:space="preserve"> the language “at least 20 percent” is used instead of “at least 80 percent” each place it appears in Section 1.414(c)-2(b)(2)(i) of the Treasury Regulations. </w:t>
      </w:r>
    </w:p>
    <w:p>
      <w:pPr>
        <w:pStyle w:val="TextBody"/>
        <w:bidi w:val="0"/>
        <w:spacing w:before="120" w:after="0"/>
        <w:jc w:val="left"/>
        <w:rPr>
          <w:rFonts w:ascii="Times New Roman" w:hAnsi="Times New Roman"/>
          <w:b/>
          <w:sz w:val="20"/>
        </w:rPr>
      </w:pPr>
      <w:r>
        <w:rPr>
          <w:rFonts w:ascii="Times New Roman" w:hAnsi="Times New Roman"/>
          <w:b/>
          <w:sz w:val="20"/>
        </w:rPr>
        <w:t xml:space="preserve">3.15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PLAN AND ALL AWARDS MADE AND ACTIONS TAKEN THEREUNDER WILL BE GOVERNED BY AND CONSTRUED IN ACCORDANCE WITH THE LAWS OF THE STATE OF DELAWARE, WITHOUT REFERENCE TO PRINCIPLES OF CONFLICT OF LAWS. </w:t>
      </w:r>
    </w:p>
    <w:p>
      <w:pPr>
        <w:pStyle w:val="TextBody"/>
        <w:bidi w:val="0"/>
        <w:spacing w:before="120" w:after="0"/>
        <w:jc w:val="left"/>
        <w:rPr>
          <w:rFonts w:ascii="Times New Roman" w:hAnsi="Times New Roman"/>
          <w:b/>
          <w:sz w:val="20"/>
        </w:rPr>
      </w:pPr>
      <w:r>
        <w:rPr>
          <w:rFonts w:ascii="Times New Roman" w:hAnsi="Times New Roman"/>
          <w:b/>
          <w:sz w:val="20"/>
        </w:rPr>
        <w:t xml:space="preserve">3.16 Disputes; Choice of Forum </w:t>
      </w:r>
    </w:p>
    <w:p>
      <w:pPr>
        <w:pStyle w:val="TextBody"/>
        <w:bidi w:val="0"/>
        <w:spacing w:before="120" w:after="0"/>
        <w:jc w:val="left"/>
        <w:rPr>
          <w:rFonts w:ascii="Times New Roman" w:hAnsi="Times New Roman"/>
          <w:sz w:val="20"/>
        </w:rPr>
      </w:pPr>
      <w:r>
        <w:rPr>
          <w:rFonts w:ascii="Times New Roman" w:hAnsi="Times New Roman"/>
          <w:b/>
          <w:sz w:val="20"/>
        </w:rPr>
        <w:t>3.16.1</w:t>
      </w:r>
      <w:r>
        <w:rPr>
          <w:rFonts w:ascii="Times New Roman" w:hAnsi="Times New Roman"/>
          <w:sz w:val="20"/>
        </w:rPr>
        <w:t xml:space="preserve">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Times New Roman" w:hAnsi="Times New Roman"/>
          <w:sz w:val="20"/>
          <w:u w:val="single"/>
        </w:rPr>
        <w:t>Section 3.16.1</w:t>
      </w:r>
      <w:r>
        <w:rPr>
          <w:rFonts w:ascii="Times New Roman" w:hAnsi="Times New Roman"/>
          <w:sz w:val="20"/>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Times New Roman" w:hAnsi="Times New Roman"/>
          <w:sz w:val="20"/>
          <w:u w:val="single"/>
        </w:rPr>
        <w:t>Section 3.16.1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3.16.2</w:t>
      </w:r>
      <w:r>
        <w:rPr>
          <w:rFonts w:ascii="Times New Roman" w:hAnsi="Times New Roman"/>
          <w:sz w:val="20"/>
        </w:rPr>
        <w:t xml:space="preserve">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Times New Roman" w:hAnsi="Times New Roman"/>
          <w:sz w:val="20"/>
          <w:u w:val="single"/>
        </w:rPr>
        <w:t>Section 3.16.1</w:t>
      </w:r>
      <w:r>
        <w:rPr>
          <w:rFonts w:ascii="Times New Roman" w:hAnsi="Times New Roman"/>
          <w:sz w:val="20"/>
        </w:rPr>
        <w:t xml:space="preserve">, (iii) undertake not to commence any action arising out of or relating to or concerning the Plan in any forum other than the forum described in this </w:t>
      </w:r>
      <w:r>
        <w:rPr>
          <w:rFonts w:ascii="Times New Roman" w:hAnsi="Times New Roman"/>
          <w:sz w:val="20"/>
          <w:u w:val="single"/>
        </w:rPr>
        <w:t>Section 3.16</w:t>
      </w:r>
      <w:r>
        <w:rPr>
          <w:rFonts w:ascii="Times New Roman" w:hAnsi="Times New Roman"/>
          <w:sz w:val="20"/>
        </w:rPr>
        <w:t xml:space="preserve"> and (iv) agree that, to the fullest extent permitted by applicable law, a final and non-appealable judgment in any such suit, action or proceeding in any such court will be conclusive and binding upon the Company and each Grantee. </w:t>
      </w:r>
    </w:p>
    <w:p>
      <w:pPr>
        <w:pStyle w:val="TextBody"/>
        <w:bidi w:val="0"/>
        <w:spacing w:before="120" w:after="0"/>
        <w:jc w:val="left"/>
        <w:rPr>
          <w:rFonts w:ascii="Times New Roman" w:hAnsi="Times New Roman"/>
          <w:sz w:val="20"/>
        </w:rPr>
      </w:pPr>
      <w:r>
        <w:rPr>
          <w:rFonts w:ascii="Times New Roman" w:hAnsi="Times New Roman"/>
          <w:b/>
          <w:sz w:val="20"/>
        </w:rPr>
        <w:t>3.16.3</w:t>
      </w:r>
      <w:r>
        <w:rPr>
          <w:rFonts w:ascii="Times New Roman" w:hAnsi="Times New Roman"/>
          <w:sz w:val="20"/>
        </w:rPr>
        <w:t xml:space="preserve">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3.16.4</w:t>
      </w:r>
      <w:r>
        <w:rPr>
          <w:rFonts w:ascii="Times New Roman" w:hAnsi="Times New Roman"/>
          <w:sz w:val="20"/>
        </w:rPr>
        <w:t xml:space="preserve"> Each Grantee, as a condition to such Grantee’s participation in the Plan, agrees to keep confidential the existence of, and any information concerning, a dispute, controversy or claim described in </w:t>
      </w:r>
      <w:r>
        <w:rPr>
          <w:rFonts w:ascii="Times New Roman" w:hAnsi="Times New Roman"/>
          <w:sz w:val="20"/>
          <w:u w:val="single"/>
        </w:rPr>
        <w:t>Section 3.16.1</w:t>
      </w:r>
      <w:r>
        <w:rPr>
          <w:rFonts w:ascii="Times New Roman" w:hAnsi="Times New Roman"/>
          <w:sz w:val="20"/>
        </w:rPr>
        <w:t>, except that a Grantee may disclose information concerning such dispute, controversy or claim to the court that is considering such dispute, controversy or claim or to such Grantee’s legal counsel (</w:t>
      </w:r>
      <w:r>
        <w:rPr>
          <w:rFonts w:ascii="Times New Roman" w:hAnsi="Times New Roman"/>
          <w:sz w:val="20"/>
          <w:u w:val="single"/>
        </w:rPr>
        <w:t>provided that</w:t>
      </w:r>
      <w:r>
        <w:rPr>
          <w:rFonts w:ascii="Times New Roman" w:hAnsi="Times New Roman"/>
          <w:sz w:val="20"/>
        </w:rPr>
        <w:t xml:space="preserve"> such counsel agrees not to disclose any such information other than as necessary to the prosecution or defense of the dispute, controversy or claim). For the avoidance of doubt, nothing in the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 </w:t>
      </w:r>
    </w:p>
    <w:p>
      <w:pPr>
        <w:pStyle w:val="TextBody"/>
        <w:bidi w:val="0"/>
        <w:spacing w:before="120" w:after="0"/>
        <w:jc w:val="left"/>
        <w:rPr>
          <w:rFonts w:ascii="Times New Roman" w:hAnsi="Times New Roman"/>
          <w:b/>
          <w:sz w:val="20"/>
        </w:rPr>
      </w:pPr>
      <w:r>
        <w:rPr>
          <w:rFonts w:ascii="Times New Roman" w:hAnsi="Times New Roman"/>
          <w:b/>
          <w:sz w:val="20"/>
        </w:rPr>
        <w:t xml:space="preserve">3.17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EACH GRANTEE WAIVES ANY RIGHT IT MAY HAVE TO TRIAL BY JURY IN RESPECT OF ANY LITIGATION BASED ON, ARISING OUT OF, UNDER OR IN CONNECTION WITH THE PLAN. </w:t>
      </w:r>
    </w:p>
    <w:p>
      <w:pPr>
        <w:pStyle w:val="TextBody"/>
        <w:bidi w:val="0"/>
        <w:spacing w:before="120" w:after="0"/>
        <w:jc w:val="left"/>
        <w:rPr>
          <w:rFonts w:ascii="Times New Roman" w:hAnsi="Times New Roman"/>
          <w:b/>
          <w:sz w:val="20"/>
        </w:rPr>
      </w:pPr>
      <w:r>
        <w:rPr>
          <w:rFonts w:ascii="Times New Roman" w:hAnsi="Times New Roman"/>
          <w:b/>
          <w:sz w:val="20"/>
        </w:rPr>
        <w:t xml:space="preserve">3.18 Waiver of Claims </w:t>
      </w:r>
    </w:p>
    <w:p>
      <w:pPr>
        <w:pStyle w:val="TextBody"/>
        <w:bidi w:val="0"/>
        <w:spacing w:before="120" w:after="0"/>
        <w:jc w:val="left"/>
        <w:rPr>
          <w:rFonts w:ascii="Times New Roman" w:hAnsi="Times New Roman"/>
          <w:sz w:val="20"/>
        </w:rPr>
      </w:pPr>
      <w:r>
        <w:rPr>
          <w:rFonts w:ascii="Times New Roman" w:hAnsi="Times New Roman"/>
          <w:sz w:val="20"/>
        </w:rPr>
        <w:t xml:space="preserve">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 </w:t>
      </w:r>
    </w:p>
    <w:p>
      <w:pPr>
        <w:pStyle w:val="TextBody"/>
        <w:bidi w:val="0"/>
        <w:spacing w:before="120" w:after="0"/>
        <w:jc w:val="left"/>
        <w:rPr>
          <w:rFonts w:ascii="Times New Roman" w:hAnsi="Times New Roman"/>
          <w:b/>
          <w:sz w:val="20"/>
        </w:rPr>
      </w:pPr>
      <w:r>
        <w:rPr>
          <w:rFonts w:ascii="Times New Roman" w:hAnsi="Times New Roman"/>
          <w:b/>
          <w:sz w:val="20"/>
        </w:rPr>
        <w:t xml:space="preserve">3.19 Severability; Entire Agreement;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hAnsi="Times New Roman"/>
          <w:sz w:val="20"/>
          <w:u w:val="single"/>
        </w:rPr>
        <w:t>provided that</w:t>
      </w:r>
      <w:r>
        <w:rPr>
          <w:rFonts w:ascii="Times New Roman" w:hAnsi="Times New Roman"/>
          <w:sz w:val="20"/>
        </w:rPr>
        <w:t xml:space="preserve"> if any of such provisions is finally held to be invalid, illegal, or unenforceable because it exceeds the</w:t>
      </w:r>
      <w:r>
        <w:rPr>
          <w:rFonts w:ascii="Times New Roman" w:hAnsi="Times New Roman"/>
          <w:sz w:val="20"/>
          <w:u w:val="single"/>
        </w:rPr>
        <w:t xml:space="preserve"> </w:t>
      </w:r>
      <w:r>
        <w:rPr>
          <w:rFonts w:ascii="Times New Roman" w:hAnsi="Times New Roman"/>
          <w:sz w:val="20"/>
        </w:rPr>
        <w:t xml:space="preserve">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Times New Roman" w:hAnsi="Times New Roman"/>
          <w:sz w:val="20"/>
          <w:u w:val="single"/>
        </w:rPr>
        <w:t>Section 3.6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3.20 No Liability for Tax Qualification or Adverse Tax Treatment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 </w:t>
      </w:r>
    </w:p>
    <w:p>
      <w:pPr>
        <w:pStyle w:val="TextBody"/>
        <w:bidi w:val="0"/>
        <w:spacing w:before="120" w:after="0"/>
        <w:jc w:val="left"/>
        <w:rPr>
          <w:rFonts w:ascii="Times New Roman" w:hAnsi="Times New Roman"/>
          <w:b/>
          <w:sz w:val="20"/>
        </w:rPr>
      </w:pPr>
      <w:r>
        <w:rPr>
          <w:rFonts w:ascii="Times New Roman" w:hAnsi="Times New Roman"/>
          <w:b/>
          <w:sz w:val="20"/>
        </w:rPr>
        <w:t xml:space="preserve">3.21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Times New Roman" w:hAnsi="Times New Roman"/>
          <w:sz w:val="20"/>
          <w:u w:val="single"/>
        </w:rPr>
        <w:t>Section 1.2.4</w:t>
      </w:r>
      <w:r>
        <w:rPr>
          <w:rFonts w:ascii="Times New Roman" w:hAnsi="Times New Roman"/>
          <w:sz w:val="20"/>
        </w:rPr>
        <w:t xml:space="preserve"> will inure to the benefit of a Covered Person’s estate and beneficiaries and legatees. </w:t>
      </w:r>
    </w:p>
    <w:p>
      <w:pPr>
        <w:pStyle w:val="TextBody"/>
        <w:bidi w:val="0"/>
        <w:spacing w:before="120" w:after="0"/>
        <w:jc w:val="left"/>
        <w:rPr>
          <w:rFonts w:ascii="Times New Roman" w:hAnsi="Times New Roman"/>
          <w:b/>
          <w:sz w:val="20"/>
        </w:rPr>
      </w:pPr>
      <w:r>
        <w:rPr>
          <w:rFonts w:ascii="Times New Roman" w:hAnsi="Times New Roman"/>
          <w:b/>
          <w:sz w:val="20"/>
        </w:rPr>
        <w:t xml:space="preserve">3.22 Date of Adoption and Effective Date </w:t>
      </w:r>
    </w:p>
    <w:p>
      <w:pPr>
        <w:pStyle w:val="TextBody"/>
        <w:bidi w:val="0"/>
        <w:spacing w:before="120" w:after="0"/>
        <w:jc w:val="left"/>
        <w:rPr>
          <w:rFonts w:ascii="Times New Roman" w:hAnsi="Times New Roman"/>
          <w:sz w:val="20"/>
        </w:rPr>
      </w:pPr>
      <w:r>
        <w:rPr>
          <w:rFonts w:ascii="Times New Roman" w:hAnsi="Times New Roman"/>
          <w:sz w:val="20"/>
        </w:rPr>
        <w:t>The Plan was adopted by the Board on October 19, 2026 (the “</w:t>
      </w:r>
      <w:r>
        <w:rPr>
          <w:rFonts w:ascii="Times New Roman" w:hAnsi="Times New Roman"/>
          <w:b/>
          <w:sz w:val="20"/>
          <w:u w:val="single"/>
        </w:rPr>
        <w:t>Effective Date</w:t>
      </w:r>
      <w:r>
        <w:rPr>
          <w:rFonts w:ascii="Times New Roman" w:hAnsi="Times New Roman"/>
          <w:sz w:val="20"/>
        </w:rPr>
        <w:t xml:space="preserve">”). It is intended that stockholder approval of the Plan not be required pursuant to the inducement award exception under Section 303A.08 of the NYSE Listed Company Manual. </w:t>
      </w:r>
    </w:p>
    <w:p>
      <w:pPr>
        <w:pStyle w:val="TextBody"/>
        <w:bidi w:val="0"/>
        <w:spacing w:before="120" w:after="0"/>
        <w:jc w:val="left"/>
        <w:rPr>
          <w:rFonts w:ascii="Times New Roman" w:hAnsi="Times New Roman"/>
          <w:b/>
          <w:sz w:val="20"/>
        </w:rPr>
      </w:pPr>
      <w:r>
        <w:rPr>
          <w:rFonts w:ascii="Times New Roman" w:hAnsi="Times New Roman"/>
          <w:b/>
          <w:sz w:val="20"/>
        </w:rPr>
        <w:t xml:space="preserve">3.23 Definitions of Certain Terms </w:t>
      </w:r>
    </w:p>
    <w:p>
      <w:pPr>
        <w:pStyle w:val="TextBody"/>
        <w:bidi w:val="0"/>
        <w:spacing w:before="120" w:after="0"/>
        <w:jc w:val="left"/>
        <w:rPr>
          <w:rFonts w:ascii="Times New Roman" w:hAnsi="Times New Roman"/>
          <w:sz w:val="20"/>
        </w:rPr>
      </w:pPr>
      <w:r>
        <w:rPr>
          <w:rFonts w:ascii="Times New Roman" w:hAnsi="Times New Roman"/>
          <w:b/>
          <w:sz w:val="20"/>
        </w:rPr>
        <w:t>3.23.1</w:t>
      </w:r>
      <w:r>
        <w:rPr>
          <w:rFonts w:ascii="Times New Roman" w:hAnsi="Times New Roman"/>
          <w:sz w:val="20"/>
        </w:rPr>
        <w:t xml:space="preserve"> “</w:t>
      </w:r>
      <w:r>
        <w:rPr>
          <w:rFonts w:ascii="Times New Roman" w:hAnsi="Times New Roman"/>
          <w:b/>
          <w:sz w:val="20"/>
          <w:u w:val="single"/>
        </w:rPr>
        <w:t>Award Agreement</w:t>
      </w:r>
      <w:r>
        <w:rPr>
          <w:rFonts w:ascii="Times New Roman" w:hAnsi="Times New Roman"/>
          <w:sz w:val="20"/>
        </w:rPr>
        <w:t xml:space="preserve">”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 </w:t>
      </w:r>
    </w:p>
    <w:p>
      <w:pPr>
        <w:pStyle w:val="TextBody"/>
        <w:bidi w:val="0"/>
        <w:spacing w:before="120" w:after="0"/>
        <w:jc w:val="left"/>
        <w:rPr>
          <w:rFonts w:ascii="Times New Roman" w:hAnsi="Times New Roman"/>
          <w:sz w:val="20"/>
        </w:rPr>
      </w:pPr>
      <w:r>
        <w:rPr>
          <w:rFonts w:ascii="Times New Roman" w:hAnsi="Times New Roman"/>
          <w:b/>
          <w:sz w:val="20"/>
        </w:rPr>
        <w:t>3.23.2</w:t>
      </w:r>
      <w:r>
        <w:rPr>
          <w:rFonts w:ascii="Times New Roman" w:hAnsi="Times New Roman"/>
          <w:sz w:val="20"/>
        </w:rPr>
        <w:t xml:space="preserve"> “</w:t>
      </w:r>
      <w:r>
        <w:rPr>
          <w:rFonts w:ascii="Times New Roman" w:hAnsi="Times New Roman"/>
          <w:b/>
          <w:sz w:val="20"/>
          <w:u w:val="single"/>
        </w:rPr>
        <w:t>Cause</w:t>
      </w:r>
      <w:r>
        <w:rPr>
          <w:rFonts w:ascii="Times New Roman" w:hAnsi="Times New Roman"/>
          <w:sz w:val="20"/>
        </w:rPr>
        <w:t xml:space="preserve">” means, unless otherwise provided in an Award Agreement or employment agreement applicable to the relevant Grantee: </w:t>
      </w:r>
    </w:p>
    <w:p>
      <w:pPr>
        <w:pStyle w:val="TextBody"/>
        <w:bidi w:val="0"/>
        <w:spacing w:before="120" w:after="0"/>
        <w:jc w:val="left"/>
        <w:rPr>
          <w:rFonts w:ascii="Times New Roman" w:hAnsi="Times New Roman"/>
          <w:sz w:val="20"/>
        </w:rPr>
      </w:pPr>
      <w:r>
        <w:rPr>
          <w:rFonts w:ascii="Times New Roman" w:hAnsi="Times New Roman"/>
          <w:sz w:val="20"/>
        </w:rPr>
        <w:t xml:space="preserve">(a) Grantee is convicted of, pleads guilty to, or confesses or otherwise admits to any felony involving intentional conduct or any act of fraud, misappropriation or embezzlement; </w:t>
      </w:r>
    </w:p>
    <w:p>
      <w:pPr>
        <w:pStyle w:val="TextBody"/>
        <w:bidi w:val="0"/>
        <w:spacing w:before="120" w:after="0"/>
        <w:jc w:val="left"/>
        <w:rPr>
          <w:rFonts w:ascii="Times New Roman" w:hAnsi="Times New Roman"/>
          <w:sz w:val="20"/>
        </w:rPr>
      </w:pPr>
      <w:r>
        <w:rPr>
          <w:rFonts w:ascii="Times New Roman" w:hAnsi="Times New Roman"/>
          <w:sz w:val="20"/>
        </w:rPr>
        <w:t xml:space="preserve">(b) Grantee knowingly engages in any act or course of conduct or knowingly fails to engage in any act or course of conduct which is reasonably likely to adversely affect the Company’s ability to conduct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(c) any act or omission by Grantee involving malfeasance or gross negligence in the performance of Grantee’s duties and responsibilities to the material detriment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(d) Grantee breaches in any material respect any of the provisions of any applicable employment agreement or Award Agreement or violates any provision of any generally applicable code of conduct which is distributed in writing to the Company’s employees,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3.23.3</w:t>
      </w:r>
      <w:r>
        <w:rPr>
          <w:rFonts w:ascii="Times New Roman" w:hAnsi="Times New Roman"/>
          <w:sz w:val="20"/>
        </w:rPr>
        <w:t xml:space="preserve"> “</w:t>
      </w:r>
      <w:r>
        <w:rPr>
          <w:rFonts w:ascii="Times New Roman" w:hAnsi="Times New Roman"/>
          <w:b/>
          <w:sz w:val="20"/>
          <w:u w:val="single"/>
        </w:rPr>
        <w:t>Change in Control</w:t>
      </w:r>
      <w:r>
        <w:rPr>
          <w:rFonts w:ascii="Times New Roman" w:hAnsi="Times New Roman"/>
          <w:sz w:val="20"/>
        </w:rPr>
        <w:t xml:space="preserve">” means the happening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“person” (as that term is used in Sections 13(d) and 14(d)(2) of the Exchange Act), is or becomes the beneficial owner (as defined in Rule 13d-3 under the Exchange Act), directly or indirectly, of securities representing 30% or more of the combined voting power of the then outstanding securities of Bakkt eligible to vote for the election of the members of Bakkt’s Board; </w:t>
      </w:r>
    </w:p>
    <w:p>
      <w:pPr>
        <w:pStyle w:val="TextBody"/>
        <w:bidi w:val="0"/>
        <w:spacing w:before="120" w:after="0"/>
        <w:jc w:val="left"/>
        <w:rPr>
          <w:rFonts w:ascii="Times New Roman" w:hAnsi="Times New Roman"/>
          <w:sz w:val="20"/>
        </w:rPr>
      </w:pPr>
      <w:r>
        <w:rPr>
          <w:rFonts w:ascii="Times New Roman" w:hAnsi="Times New Roman"/>
          <w:sz w:val="20"/>
        </w:rPr>
        <w:t>(b) during any period of not more than thirty-six (36) months, individuals who constitute the Board as of the beginning of the period (the “</w:t>
      </w:r>
      <w:r>
        <w:rPr>
          <w:rFonts w:ascii="Times New Roman" w:hAnsi="Times New Roman"/>
          <w:b/>
          <w:sz w:val="20"/>
          <w:u w:val="single"/>
        </w:rPr>
        <w:t>Incumbent Directors</w:t>
      </w:r>
      <w:r>
        <w:rPr>
          <w:rFonts w:ascii="Times New Roman" w:hAnsi="Times New Roman"/>
          <w:sz w:val="20"/>
        </w:rPr>
        <w:t xml:space="preserve">”) cease for any reason to constitute at least a majority of the Board, </w:t>
      </w:r>
      <w:r>
        <w:rPr>
          <w:rFonts w:ascii="Times New Roman" w:hAnsi="Times New Roman"/>
          <w:sz w:val="20"/>
          <w:u w:val="single"/>
        </w:rPr>
        <w:t>provided that</w:t>
      </w:r>
      <w:r>
        <w:rPr>
          <w:rFonts w:ascii="Times New Roman" w:hAnsi="Times New Roman"/>
          <w:sz w:val="20"/>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 </w:t>
      </w:r>
    </w:p>
    <w:p>
      <w:pPr>
        <w:pStyle w:val="TextBody"/>
        <w:bidi w:val="0"/>
        <w:spacing w:before="120" w:after="0"/>
        <w:jc w:val="left"/>
        <w:rPr>
          <w:rFonts w:ascii="Times New Roman" w:hAnsi="Times New Roman"/>
          <w:sz w:val="20"/>
        </w:rPr>
      </w:pPr>
      <w:r>
        <w:rPr>
          <w:rFonts w:ascii="Times New Roman" w:hAnsi="Times New Roman"/>
          <w:sz w:val="20"/>
        </w:rPr>
        <w:t xml:space="preserve">(c) any dissolution or liquidation of Bakkt or any sale or the disposition of 50% or more of the assets or business of Bakkt; or </w:t>
      </w:r>
    </w:p>
    <w:p>
      <w:pPr>
        <w:pStyle w:val="TextBody"/>
        <w:bidi w:val="0"/>
        <w:spacing w:before="120" w:after="0"/>
        <w:jc w:val="left"/>
        <w:rPr>
          <w:rFonts w:ascii="Times New Roman" w:hAnsi="Times New Roman"/>
          <w:sz w:val="20"/>
        </w:rPr>
      </w:pPr>
      <w:r>
        <w:rPr>
          <w:rFonts w:ascii="Times New Roman" w:hAnsi="Times New Roman"/>
          <w:sz w:val="20"/>
        </w:rPr>
        <w:t>(d) 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 or indirectly has beneficial ownership of at least 95% of the voting power of the successor or survivor corporation in such transaction and (2) the number of the securities of such successor or survivor corporation or ultimate parent corporation (the “</w:t>
      </w:r>
      <w:r>
        <w:rPr>
          <w:rFonts w:ascii="Times New Roman" w:hAnsi="Times New Roman"/>
          <w:b/>
          <w:sz w:val="20"/>
          <w:u w:val="single"/>
        </w:rPr>
        <w:t>Post-Transaction Corporation</w:t>
      </w:r>
      <w:r>
        <w:rPr>
          <w:rFonts w:ascii="Times New Roman" w:hAnsi="Times New Roman"/>
          <w:sz w:val="20"/>
        </w:rPr>
        <w:t xml:space="preserve">”) representing the voting power described in </w:t>
      </w:r>
      <w:r>
        <w:rPr>
          <w:rFonts w:ascii="Times New Roman" w:hAnsi="Times New Roman"/>
          <w:sz w:val="20"/>
          <w:u w:val="single"/>
        </w:rPr>
        <w:t>Section 3.23.3(d)(1)</w:t>
      </w:r>
      <w:r>
        <w:rPr>
          <w:rFonts w:ascii="Times New Roman" w:hAnsi="Times New Roman"/>
          <w:sz w:val="20"/>
        </w:rPr>
        <w:t xml:space="preserve"> held by the persons described in </w:t>
      </w:r>
      <w:r>
        <w:rPr>
          <w:rFonts w:ascii="Times New Roman" w:hAnsi="Times New Roman"/>
          <w:sz w:val="20"/>
          <w:u w:val="single"/>
        </w:rPr>
        <w:t>Section 3.23.3(d)(1)</w:t>
      </w:r>
      <w:r>
        <w:rPr>
          <w:rFonts w:ascii="Times New Roman" w:hAnsi="Times New Roman"/>
          <w:sz w:val="20"/>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Times New Roman" w:hAnsi="Times New Roman"/>
          <w:sz w:val="20"/>
          <w:u w:val="single"/>
        </w:rPr>
        <w:t>provided</w:t>
      </w:r>
      <w:r>
        <w:rPr>
          <w:rFonts w:ascii="Times New Roman" w:hAnsi="Times New Roman"/>
          <w:sz w:val="20"/>
        </w:rPr>
        <w:t xml:space="preserve"> (3) the percentage described in </w:t>
      </w:r>
      <w:r>
        <w:rPr>
          <w:rFonts w:ascii="Times New Roman" w:hAnsi="Times New Roman"/>
          <w:sz w:val="20"/>
          <w:u w:val="single"/>
        </w:rPr>
        <w:t>Section 3.23.3(d)(1)</w:t>
      </w:r>
      <w:r>
        <w:rPr>
          <w:rFonts w:ascii="Times New Roman" w:hAnsi="Times New Roman"/>
          <w:sz w:val="20"/>
        </w:rPr>
        <w:t xml:space="preserve"> of the securities of the Post-Transaction Corporation and the number described in </w:t>
      </w:r>
      <w:r>
        <w:rPr>
          <w:rFonts w:ascii="Times New Roman" w:hAnsi="Times New Roman"/>
          <w:sz w:val="20"/>
          <w:u w:val="single"/>
        </w:rPr>
        <w:t>Section 3.23.3(d)(2)</w:t>
      </w:r>
      <w:r>
        <w:rPr>
          <w:rFonts w:ascii="Times New Roman" w:hAnsi="Times New Roman"/>
          <w:sz w:val="20"/>
        </w:rPr>
        <w:t xml:space="preserve"> of the securities of the Post-Transaction Corporation will be determined exclusively by reference to the securities of the Post-Transaction Corporation which result from the beneficial ownership of Shares by the persons described in </w:t>
      </w:r>
      <w:r>
        <w:rPr>
          <w:rFonts w:ascii="Times New Roman" w:hAnsi="Times New Roman"/>
          <w:sz w:val="20"/>
          <w:u w:val="single"/>
        </w:rPr>
        <w:t>Section 3.23.3(d)(1)</w:t>
      </w:r>
      <w:r>
        <w:rPr>
          <w:rFonts w:ascii="Times New Roman" w:hAnsi="Times New Roman"/>
          <w:sz w:val="20"/>
        </w:rPr>
        <w:t xml:space="preserve"> immediately before the consummation of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3.23.4</w:t>
      </w:r>
      <w:r>
        <w:rPr>
          <w:rFonts w:ascii="Times New Roman" w:hAnsi="Times New Roman"/>
          <w:sz w:val="20"/>
        </w:rPr>
        <w:t xml:space="preserve"> “</w:t>
      </w:r>
      <w:r>
        <w:rPr>
          <w:rFonts w:ascii="Times New Roman" w:hAnsi="Times New Roman"/>
          <w:b/>
          <w:sz w:val="20"/>
          <w:u w:val="single"/>
        </w:rPr>
        <w:t>Code</w:t>
      </w:r>
      <w:r>
        <w:rPr>
          <w:rFonts w:ascii="Times New Roman" w:hAnsi="Times New Roman"/>
          <w:sz w:val="20"/>
        </w:rPr>
        <w:t xml:space="preserve">” means the Internal Revenue Code of 1986, as amended from time to time, or any successor thereto, and the applicable rulings and regulations thereunder. </w:t>
      </w:r>
    </w:p>
    <w:p>
      <w:pPr>
        <w:pStyle w:val="TextBody"/>
        <w:bidi w:val="0"/>
        <w:spacing w:before="120" w:after="0"/>
        <w:jc w:val="left"/>
        <w:rPr>
          <w:rFonts w:ascii="Times New Roman" w:hAnsi="Times New Roman"/>
          <w:sz w:val="20"/>
        </w:rPr>
      </w:pPr>
      <w:r>
        <w:rPr>
          <w:rFonts w:ascii="Times New Roman" w:hAnsi="Times New Roman"/>
          <w:b/>
          <w:sz w:val="20"/>
        </w:rPr>
        <w:t>3.23.5</w:t>
      </w:r>
      <w:r>
        <w:rPr>
          <w:rFonts w:ascii="Times New Roman" w:hAnsi="Times New Roman"/>
          <w:sz w:val="20"/>
        </w:rPr>
        <w:t xml:space="preserve"> “</w:t>
      </w:r>
      <w:r>
        <w:rPr>
          <w:rFonts w:ascii="Times New Roman" w:hAnsi="Times New Roman"/>
          <w:b/>
          <w:sz w:val="20"/>
          <w:u w:val="single"/>
        </w:rPr>
        <w:t>Common Stock</w:t>
      </w:r>
      <w:r>
        <w:rPr>
          <w:rFonts w:ascii="Times New Roman" w:hAnsi="Times New Roman"/>
          <w:sz w:val="20"/>
        </w:rPr>
        <w:t xml:space="preserve">” means the Class A common stock of Bakkt, par value $0.0001 per share, and any other securities or property issued in exchange therefor or in lieu thereof pursuant to </w:t>
      </w:r>
      <w:r>
        <w:rPr>
          <w:rFonts w:ascii="Times New Roman" w:hAnsi="Times New Roman"/>
          <w:sz w:val="20"/>
          <w:u w:val="single"/>
        </w:rPr>
        <w:t>Section 1.3.3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3.23.6</w:t>
      </w:r>
      <w:r>
        <w:rPr>
          <w:rFonts w:ascii="Times New Roman" w:hAnsi="Times New Roman"/>
          <w:sz w:val="20"/>
        </w:rPr>
        <w:t xml:space="preserve"> “</w:t>
      </w:r>
      <w:r>
        <w:rPr>
          <w:rFonts w:ascii="Times New Roman" w:hAnsi="Times New Roman"/>
          <w:b/>
          <w:sz w:val="20"/>
          <w:u w:val="single"/>
        </w:rPr>
        <w:t>Eligible Individual</w:t>
      </w:r>
      <w:r>
        <w:rPr>
          <w:rFonts w:ascii="Times New Roman" w:hAnsi="Times New Roman"/>
          <w:sz w:val="20"/>
        </w:rPr>
        <w:t xml:space="preserve">” means any prospective employee who is commencing employment with the Company or a Subsidiary, including via an “employer of record,” or is being rehired following a bona fide period of interruption of employment by the Company or a Subsidiary, if he or she is granted an Award in connection with his or her commencement of employment with the Company or a Subsidiary and such grant is an inducement material to his or her entering into employment with the Company or a Subsidiary (within the meaning of, and as interpreted in accordance with, the Inducement Rules). The Committee may in its discretion adopt procedures from time to time to ensure that a prospective employee is eligible to participate in the Plan in accordance with the Inducement Rules prior to the granting of any Awards to such individual under the Plan (including without limitation a requirement that each such prospective employee certify to the Company prior to the receipt of an Award under the Plan that he or she has had a bona fide period of interruption of employment, and that the grant of Awards under the Plan is an inducement material to his or her agreement to enter into employment with the Company or a Subsidiary). </w:t>
      </w:r>
    </w:p>
    <w:p>
      <w:pPr>
        <w:pStyle w:val="TextBody"/>
        <w:bidi w:val="0"/>
        <w:spacing w:before="120" w:after="0"/>
        <w:jc w:val="left"/>
        <w:rPr>
          <w:rFonts w:ascii="Times New Roman" w:hAnsi="Times New Roman"/>
          <w:sz w:val="20"/>
        </w:rPr>
      </w:pPr>
      <w:r>
        <w:rPr>
          <w:rFonts w:ascii="Times New Roman" w:hAnsi="Times New Roman"/>
          <w:b/>
          <w:sz w:val="20"/>
        </w:rPr>
        <w:t>3.23.7</w:t>
      </w:r>
      <w:r>
        <w:rPr>
          <w:rFonts w:ascii="Times New Roman" w:hAnsi="Times New Roman"/>
          <w:sz w:val="20"/>
        </w:rPr>
        <w:t xml:space="preserve"> “</w:t>
      </w:r>
      <w:r>
        <w:rPr>
          <w:rFonts w:ascii="Times New Roman" w:hAnsi="Times New Roman"/>
          <w:b/>
          <w:sz w:val="20"/>
          <w:u w:val="single"/>
        </w:rPr>
        <w:t>Employment</w:t>
      </w:r>
      <w:r>
        <w:rPr>
          <w:rFonts w:ascii="Times New Roman" w:hAnsi="Times New Roman"/>
          <w:sz w:val="20"/>
        </w:rPr>
        <w:t xml:space="preserve">”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 </w:t>
      </w:r>
    </w:p>
    <w:p>
      <w:pPr>
        <w:pStyle w:val="TextBody"/>
        <w:bidi w:val="0"/>
        <w:spacing w:before="120" w:after="0"/>
        <w:jc w:val="left"/>
        <w:rPr>
          <w:rFonts w:ascii="Times New Roman" w:hAnsi="Times New Roman"/>
          <w:sz w:val="20"/>
        </w:rPr>
      </w:pPr>
      <w:r>
        <w:rPr>
          <w:rFonts w:ascii="Times New Roman" w:hAnsi="Times New Roman"/>
          <w:b/>
          <w:sz w:val="20"/>
        </w:rPr>
        <w:t>3.23.8</w:t>
      </w:r>
      <w:r>
        <w:rPr>
          <w:rFonts w:ascii="Times New Roman" w:hAnsi="Times New Roman"/>
          <w:sz w:val="20"/>
        </w:rPr>
        <w:t xml:space="preserve"> “</w:t>
      </w:r>
      <w:r>
        <w:rPr>
          <w:rFonts w:ascii="Times New Roman" w:hAnsi="Times New Roman"/>
          <w:b/>
          <w:sz w:val="20"/>
          <w:u w:val="single"/>
        </w:rPr>
        <w:t>Fair Market Value</w:t>
      </w:r>
      <w:r>
        <w:rPr>
          <w:rFonts w:ascii="Times New Roman" w:hAnsi="Times New Roman"/>
          <w:sz w:val="20"/>
        </w:rPr>
        <w:t xml:space="preserve">” means, for a Share, the closing price reported for the Common Stock on the applicable date as reported on NYSE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 </w:t>
      </w:r>
    </w:p>
    <w:p>
      <w:pPr>
        <w:pStyle w:val="TextBody"/>
        <w:bidi w:val="0"/>
        <w:spacing w:before="120" w:after="0"/>
        <w:jc w:val="left"/>
        <w:rPr>
          <w:rFonts w:ascii="Times New Roman" w:hAnsi="Times New Roman"/>
          <w:sz w:val="20"/>
        </w:rPr>
      </w:pPr>
      <w:r>
        <w:rPr>
          <w:rFonts w:ascii="Times New Roman" w:hAnsi="Times New Roman"/>
          <w:b/>
          <w:sz w:val="20"/>
        </w:rPr>
        <w:t>3.23.9</w:t>
      </w:r>
      <w:r>
        <w:rPr>
          <w:rFonts w:ascii="Times New Roman" w:hAnsi="Times New Roman"/>
          <w:sz w:val="20"/>
        </w:rPr>
        <w:t xml:space="preserve"> “</w:t>
      </w:r>
      <w:r>
        <w:rPr>
          <w:rFonts w:ascii="Times New Roman" w:hAnsi="Times New Roman"/>
          <w:b/>
          <w:sz w:val="20"/>
          <w:u w:val="single"/>
        </w:rPr>
        <w:t>Good Reason</w:t>
      </w:r>
      <w:r>
        <w:rPr>
          <w:rFonts w:ascii="Times New Roman" w:hAnsi="Times New Roman"/>
          <w:sz w:val="20"/>
        </w:rPr>
        <w:t xml:space="preserve">” means, unless otherwise provided in an Award Agreement or employment agreement, and in the absence of written consent of a Grantee: </w:t>
      </w:r>
    </w:p>
    <w:p>
      <w:pPr>
        <w:pStyle w:val="TextBody"/>
        <w:bidi w:val="0"/>
        <w:spacing w:before="120" w:after="0"/>
        <w:jc w:val="left"/>
        <w:rPr>
          <w:rFonts w:ascii="Times New Roman" w:hAnsi="Times New Roman"/>
          <w:sz w:val="20"/>
        </w:rPr>
      </w:pPr>
      <w:r>
        <w:rPr>
          <w:rFonts w:ascii="Times New Roman" w:hAnsi="Times New Roman"/>
          <w:sz w:val="20"/>
        </w:rPr>
        <w:t xml:space="preserve">(a) there is a material reduction in the Grantee’s base salary in effect immediately prior to a Change in Control;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is a transfer of the Grantee’s primary work site to a new primary work site that is more than thirty (30) miles (measured along a straight line) from the Grantee’s primary work site unless such new primary work site is closer (measured along a straight line) to the Grantee’s primary residence than the Grantee’s then current primary work site. </w:t>
      </w:r>
    </w:p>
    <w:p>
      <w:pPr>
        <w:pStyle w:val="TextBody"/>
        <w:bidi w:val="0"/>
        <w:spacing w:before="240" w:after="0"/>
        <w:jc w:val="left"/>
        <w:rPr>
          <w:rFonts w:ascii="Times New Roman" w:hAnsi="Times New Roman"/>
          <w:sz w:val="20"/>
        </w:rPr>
      </w:pPr>
      <w:r>
        <w:rPr>
          <w:rFonts w:ascii="Times New Roman" w:hAnsi="Times New Roman"/>
          <w:sz w:val="20"/>
        </w:rPr>
        <w:t xml:space="preserve">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 (30) days to cure the event constituting Good Reason, and must actually terminate his or her employment with the Company within sixty (60) days after the Company’s failure to cure such event. </w:t>
      </w:r>
    </w:p>
    <w:p>
      <w:pPr>
        <w:pStyle w:val="TextBody"/>
        <w:bidi w:val="0"/>
        <w:spacing w:before="120" w:after="0"/>
        <w:jc w:val="left"/>
        <w:rPr>
          <w:rFonts w:ascii="Times New Roman" w:hAnsi="Times New Roman"/>
          <w:sz w:val="20"/>
        </w:rPr>
      </w:pPr>
      <w:r>
        <w:rPr>
          <w:rFonts w:ascii="Times New Roman" w:hAnsi="Times New Roman"/>
          <w:b/>
          <w:sz w:val="20"/>
        </w:rPr>
        <w:t>3.23.10</w:t>
      </w:r>
      <w:r>
        <w:rPr>
          <w:rFonts w:ascii="Times New Roman" w:hAnsi="Times New Roman"/>
          <w:sz w:val="20"/>
        </w:rPr>
        <w:t xml:space="preserve"> “</w:t>
      </w:r>
      <w:r>
        <w:rPr>
          <w:rFonts w:ascii="Times New Roman" w:hAnsi="Times New Roman"/>
          <w:b/>
          <w:sz w:val="20"/>
          <w:u w:val="single"/>
        </w:rPr>
        <w:t>Grantee</w:t>
      </w:r>
      <w:r>
        <w:rPr>
          <w:rFonts w:ascii="Times New Roman" w:hAnsi="Times New Roman"/>
          <w:sz w:val="20"/>
        </w:rPr>
        <w:t xml:space="preserve">” means an Eligible Individual who has been granted an Award under the Plan. </w:t>
      </w:r>
    </w:p>
    <w:p>
      <w:pPr>
        <w:pStyle w:val="TextBody"/>
        <w:bidi w:val="0"/>
        <w:spacing w:before="120" w:after="0"/>
        <w:jc w:val="left"/>
        <w:rPr>
          <w:rFonts w:ascii="Times New Roman" w:hAnsi="Times New Roman"/>
          <w:sz w:val="20"/>
        </w:rPr>
      </w:pPr>
      <w:r>
        <w:rPr>
          <w:rFonts w:ascii="Times New Roman" w:hAnsi="Times New Roman"/>
          <w:b/>
          <w:sz w:val="20"/>
        </w:rPr>
        <w:t>3.23.11</w:t>
      </w:r>
      <w:r>
        <w:rPr>
          <w:rFonts w:ascii="Times New Roman" w:hAnsi="Times New Roman"/>
          <w:sz w:val="20"/>
        </w:rPr>
        <w:t xml:space="preserve"> “</w:t>
      </w:r>
      <w:r>
        <w:rPr>
          <w:rFonts w:ascii="Times New Roman" w:hAnsi="Times New Roman"/>
          <w:b/>
          <w:sz w:val="20"/>
          <w:u w:val="single"/>
        </w:rPr>
        <w:t>Performance Criteria</w:t>
      </w:r>
      <w:r>
        <w:rPr>
          <w:rFonts w:ascii="Times New Roman" w:hAnsi="Times New Roman"/>
          <w:sz w:val="20"/>
        </w:rPr>
        <w:t xml:space="preserve">”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stockholder return or similar measures); increase in the Fair Market Value of Common Stock; or changes (or the absence of changes) in the per share or aggregate Fair Market Value of Common Stock. </w:t>
      </w:r>
    </w:p>
    <w:p>
      <w:pPr>
        <w:pStyle w:val="TextBody"/>
        <w:bidi w:val="0"/>
        <w:spacing w:before="120" w:after="0"/>
        <w:jc w:val="left"/>
        <w:rPr>
          <w:rFonts w:ascii="Times New Roman" w:hAnsi="Times New Roman"/>
          <w:sz w:val="20"/>
        </w:rPr>
      </w:pPr>
      <w:r>
        <w:rPr>
          <w:rFonts w:ascii="Times New Roman" w:hAnsi="Times New Roman"/>
          <w:b/>
          <w:sz w:val="20"/>
        </w:rPr>
        <w:t>3.23.12</w:t>
      </w:r>
      <w:r>
        <w:rPr>
          <w:rFonts w:ascii="Times New Roman" w:hAnsi="Times New Roman"/>
          <w:sz w:val="20"/>
        </w:rPr>
        <w:t xml:space="preserve"> “</w:t>
      </w:r>
      <w:r>
        <w:rPr>
          <w:rFonts w:ascii="Times New Roman" w:hAnsi="Times New Roman"/>
          <w:b/>
          <w:sz w:val="20"/>
          <w:u w:val="single"/>
        </w:rPr>
        <w:t>Performance Goals</w:t>
      </w:r>
      <w:r>
        <w:rPr>
          <w:rFonts w:ascii="Times New Roman" w:hAnsi="Times New Roman"/>
          <w:sz w:val="20"/>
        </w:rPr>
        <w:t xml:space="preserve">” means the performance goals established by the Committee in connection with the grant of Awards, which may or may not be based on Performance Criteria and which may differ from Grantee to Grantee and from Award to Award. </w:t>
      </w:r>
    </w:p>
    <w:p>
      <w:pPr>
        <w:pStyle w:val="TextBody"/>
        <w:bidi w:val="0"/>
        <w:spacing w:before="120" w:after="0"/>
        <w:jc w:val="left"/>
        <w:rPr>
          <w:rFonts w:ascii="Times New Roman" w:hAnsi="Times New Roman"/>
          <w:sz w:val="20"/>
        </w:rPr>
      </w:pPr>
      <w:r>
        <w:rPr>
          <w:rFonts w:ascii="Times New Roman" w:hAnsi="Times New Roman"/>
          <w:b/>
          <w:sz w:val="20"/>
        </w:rPr>
        <w:t>3.23.13</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w:t>
      </w:r>
      <w:r>
        <w:rPr>
          <w:rFonts w:ascii="Times New Roman" w:hAnsi="Times New Roman"/>
          <w:sz w:val="20"/>
        </w:rPr>
        <w:t xml:space="preserve">” means Code Section 409A, including any amendments or successor provisions to that section, and any regulations and other administrative guidance thereunder, as it may be from time to time amended or interpreted through further administrative guidance. </w:t>
      </w:r>
    </w:p>
    <w:p>
      <w:pPr>
        <w:pStyle w:val="TextBody"/>
        <w:bidi w:val="0"/>
        <w:spacing w:before="120" w:after="0"/>
        <w:jc w:val="left"/>
        <w:rPr>
          <w:rFonts w:ascii="Times New Roman" w:hAnsi="Times New Roman"/>
          <w:sz w:val="20"/>
        </w:rPr>
      </w:pPr>
      <w:r>
        <w:rPr>
          <w:rFonts w:ascii="Times New Roman" w:hAnsi="Times New Roman"/>
          <w:b/>
          <w:sz w:val="20"/>
        </w:rPr>
        <w:t>3.23.14</w:t>
      </w:r>
      <w:r>
        <w:rPr>
          <w:rFonts w:ascii="Times New Roman" w:hAnsi="Times New Roman"/>
          <w:sz w:val="20"/>
        </w:rPr>
        <w:t xml:space="preserve"> “</w:t>
      </w:r>
      <w:r>
        <w:rPr>
          <w:rFonts w:ascii="Times New Roman" w:hAnsi="Times New Roman"/>
          <w:b/>
          <w:sz w:val="20"/>
          <w:u w:val="single"/>
        </w:rPr>
        <w:t>Subsidiary</w:t>
      </w:r>
      <w:r>
        <w:rPr>
          <w:rFonts w:ascii="Times New Roman" w:hAnsi="Times New Roman"/>
          <w:sz w:val="20"/>
        </w:rPr>
        <w:t xml:space="preserve">” means any direct or indirect subsidiary of Bakkt within the meaning of Rule 405 under the Securities Act, as of the Effective Date. </w:t>
      </w:r>
    </w:p>
    <w:p>
      <w:pPr>
        <w:pStyle w:val="TextBody"/>
        <w:bidi w:val="0"/>
        <w:spacing w:before="120" w:after="0"/>
        <w:jc w:val="left"/>
        <w:rPr>
          <w:rFonts w:ascii="Times New Roman" w:hAnsi="Times New Roman"/>
          <w:sz w:val="20"/>
        </w:rPr>
      </w:pPr>
      <w:r>
        <w:rPr>
          <w:rFonts w:ascii="Times New Roman" w:hAnsi="Times New Roman"/>
          <w:b/>
          <w:sz w:val="20"/>
        </w:rPr>
        <w:t>3.23.15</w:t>
      </w:r>
      <w:r>
        <w:rPr>
          <w:rFonts w:ascii="Times New Roman" w:hAnsi="Times New Roman"/>
          <w:sz w:val="20"/>
        </w:rPr>
        <w:t xml:space="preserve"> “</w:t>
      </w:r>
      <w:r>
        <w:rPr>
          <w:rFonts w:ascii="Times New Roman" w:hAnsi="Times New Roman"/>
          <w:b/>
          <w:sz w:val="20"/>
          <w:u w:val="single"/>
        </w:rPr>
        <w:t>Treasury Regulations</w:t>
      </w:r>
      <w:r>
        <w:rPr>
          <w:rFonts w:ascii="Times New Roman" w:hAnsi="Times New Roman"/>
          <w:sz w:val="20"/>
        </w:rPr>
        <w:t xml:space="preserve">” means the regulations promulgated under the Code by the United States Treasury Department,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7" w:name="d171896dex102.htm"/>
      <w:bookmarkStart w:id="8" w:name="ksd171896dex102"/>
      <w:bookmarkEnd w:id="7"/>
      <w:bookmarkEnd w:id="8"/>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RESTRICTED STOCK UNIT GRANT </w:t>
      </w:r>
    </w:p>
    <w:p>
      <w:pPr>
        <w:pStyle w:val="TextBody"/>
        <w:bidi w:val="0"/>
        <w:spacing w:before="240" w:after="0"/>
        <w:jc w:val="left"/>
        <w:rPr>
          <w:rFonts w:ascii="Times New Roman" w:hAnsi="Times New Roman"/>
          <w:sz w:val="20"/>
        </w:rPr>
      </w:pPr>
      <w:r>
        <w:rPr>
          <w:rFonts w:ascii="Times New Roman" w:hAnsi="Times New Roman"/>
          <w:sz w:val="20"/>
        </w:rPr>
        <w:t>Unless otherwise defined herein, the terms defined in the Bakkt, Inc. 2026 Inducement Plan (the “</w:t>
      </w:r>
      <w:r>
        <w:rPr>
          <w:rFonts w:ascii="Times New Roman" w:hAnsi="Times New Roman"/>
          <w:sz w:val="20"/>
          <w:u w:val="single"/>
        </w:rPr>
        <w:t>Plan</w:t>
      </w:r>
      <w:r>
        <w:rPr>
          <w:rFonts w:ascii="Times New Roman" w:hAnsi="Times New Roman"/>
          <w:sz w:val="20"/>
        </w:rPr>
        <w:t>”) will have the same meanings in this Restricted Stock Unit Agreement which includes the Notice of Restricted Stock Unit Grant (the “</w:t>
      </w:r>
      <w:r>
        <w:rPr>
          <w:rFonts w:ascii="Times New Roman" w:hAnsi="Times New Roman"/>
          <w:sz w:val="20"/>
          <w:u w:val="single"/>
        </w:rPr>
        <w:t>Notice of Grant</w:t>
      </w:r>
      <w:r>
        <w:rPr>
          <w:rFonts w:ascii="Times New Roman" w:hAnsi="Times New Roman"/>
          <w:sz w:val="20"/>
        </w:rPr>
        <w:t xml:space="preserve">”), the Terms and Conditions of Restricted Stock Unit Grant, attached hereto as </w:t>
      </w:r>
      <w:r>
        <w:rPr>
          <w:rFonts w:ascii="Times New Roman" w:hAnsi="Times New Roman"/>
          <w:sz w:val="20"/>
          <w:u w:val="single"/>
        </w:rPr>
        <w:t>Exhibit A</w:t>
      </w:r>
      <w:r>
        <w:rPr>
          <w:rFonts w:ascii="Times New Roman" w:hAnsi="Times New Roman"/>
          <w:sz w:val="20"/>
        </w:rPr>
        <w:t>, and all other exhibits, appendices, and addenda attached hereto (the “</w:t>
      </w:r>
      <w:r>
        <w:rPr>
          <w:rFonts w:ascii="Times New Roman" w:hAnsi="Times New Roman"/>
          <w:sz w:val="20"/>
          <w:u w:val="single"/>
        </w:rPr>
        <w:t>Award</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Award is granted by the Committee as a material inducement to Grantee’s entering into Employment with the Company or its Subsidiaries pursuant to the Inducement Rules, including Section 303A.08 of the NYSE Listed Company Manual, and is intended to constitute an employment inducement award exempt from the stockholder approval requirements thereof; this Award Agreement shall be interpreted accordingly. By accepting this Award, Grantee represents that Grantee is an Eligible Individual and has not previously been an employee or director of the Company or any Subsidiary (or, if previously employed, has had a bona fide period of interruption of employment), and acknowledges that the Award is an inducement material to Grantee’s entering into Employment with the Company or its Subsidiaries.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64"/>
        <w:gridCol w:w="123"/>
        <w:gridCol w:w="4709"/>
      </w:tblGrid>
      <w:tr>
        <w:trPr/>
        <w:tc>
          <w:tcPr>
            <w:tcW w:w="49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09" w:type="dxa"/>
            <w:tcBorders/>
            <w:vAlign w:val="center"/>
          </w:tcPr>
          <w:p>
            <w:pPr>
              <w:pStyle w:val="TableContents"/>
              <w:bidi w:val="0"/>
              <w:spacing w:before="0" w:after="283"/>
              <w:jc w:val="left"/>
              <w:rPr>
                <w:sz w:val="4"/>
                <w:szCs w:val="4"/>
              </w:rPr>
            </w:pPr>
            <w:r>
              <w:rPr>
                <w:sz w:val="4"/>
                <w:szCs w:val="4"/>
              </w:rPr>
            </w:r>
          </w:p>
        </w:tc>
      </w:tr>
      <w:tr>
        <w:trPr/>
        <w:tc>
          <w:tcPr>
            <w:tcW w:w="4964" w:type="dxa"/>
            <w:tcBorders/>
          </w:tcPr>
          <w:p>
            <w:pPr>
              <w:pStyle w:val="TableContents"/>
              <w:bidi w:val="0"/>
              <w:spacing w:before="0" w:after="283"/>
              <w:jc w:val="left"/>
              <w:rPr/>
            </w:pPr>
            <w:r>
              <w:rPr/>
              <w:t>Grantee Name:</w:t>
            </w:r>
          </w:p>
        </w:tc>
        <w:tc>
          <w:tcPr>
            <w:tcW w:w="123" w:type="dxa"/>
            <w:tcBorders/>
            <w:vAlign w:val="bottom"/>
          </w:tcPr>
          <w:p>
            <w:pPr>
              <w:pStyle w:val="TableContents"/>
              <w:bidi w:val="0"/>
              <w:spacing w:before="0" w:after="283"/>
              <w:jc w:val="left"/>
              <w:rPr/>
            </w:pPr>
            <w:r>
              <w:rPr/>
              <w:t>  </w:t>
            </w:r>
          </w:p>
        </w:tc>
        <w:tc>
          <w:tcPr>
            <w:tcW w:w="47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&lt;&lt;Grantee&gt;&gt;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Grantee has been granted an Award of Restricted Stock Units, subject to the terms and conditions of the Plan and this Award Agreement,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000"/>
        <w:gridCol w:w="120"/>
        <w:gridCol w:w="4676"/>
      </w:tblGrid>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5000" w:type="dxa"/>
            <w:tcBorders/>
          </w:tcPr>
          <w:p>
            <w:pPr>
              <w:pStyle w:val="TableContents"/>
              <w:bidi w:val="0"/>
              <w:spacing w:before="0" w:after="283"/>
              <w:jc w:val="left"/>
              <w:rPr/>
            </w:pPr>
            <w:r>
              <w:rPr/>
              <w:t>Grant Number:</w:t>
            </w:r>
          </w:p>
        </w:tc>
        <w:tc>
          <w:tcPr>
            <w:tcW w:w="120" w:type="dxa"/>
            <w:tcBorders/>
            <w:vAlign w:val="bottom"/>
          </w:tcPr>
          <w:p>
            <w:pPr>
              <w:pStyle w:val="TableContents"/>
              <w:bidi w:val="0"/>
              <w:spacing w:before="0" w:after="283"/>
              <w:jc w:val="left"/>
              <w:rPr/>
            </w:pPr>
            <w:r>
              <w:rPr/>
              <w:t>  </w:t>
            </w:r>
          </w:p>
        </w:tc>
        <w:tc>
          <w:tcPr>
            <w:tcW w:w="46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&lt;&lt;Grant_Number&gt;&gt;</w:t>
            </w:r>
          </w:p>
        </w:tc>
      </w:tr>
      <w:tr>
        <w:trPr>
          <w:trHeight w:val="120" w:hRule="atLeast"/>
        </w:trPr>
        <w:tc>
          <w:tcPr>
            <w:tcW w:w="5000"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000" w:type="dxa"/>
            <w:tcBorders/>
          </w:tcPr>
          <w:p>
            <w:pPr>
              <w:pStyle w:val="TableContents"/>
              <w:bidi w:val="0"/>
              <w:spacing w:before="0" w:after="283"/>
              <w:jc w:val="left"/>
              <w:rPr/>
            </w:pPr>
            <w:r>
              <w:rPr/>
              <w:t>Date of Grant:</w:t>
            </w:r>
          </w:p>
        </w:tc>
        <w:tc>
          <w:tcPr>
            <w:tcW w:w="120" w:type="dxa"/>
            <w:tcBorders/>
            <w:vAlign w:val="bottom"/>
          </w:tcPr>
          <w:p>
            <w:pPr>
              <w:pStyle w:val="TableContents"/>
              <w:bidi w:val="0"/>
              <w:spacing w:before="0" w:after="283"/>
              <w:jc w:val="left"/>
              <w:rPr/>
            </w:pPr>
            <w:r>
              <w:rPr/>
              <w:t>  </w:t>
            </w:r>
          </w:p>
        </w:tc>
        <w:tc>
          <w:tcPr>
            <w:tcW w:w="46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&lt;&lt;Date of Grant&gt;&gt;</w:t>
            </w:r>
          </w:p>
        </w:tc>
      </w:tr>
      <w:tr>
        <w:trPr>
          <w:trHeight w:val="120" w:hRule="atLeast"/>
        </w:trPr>
        <w:tc>
          <w:tcPr>
            <w:tcW w:w="5000"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000"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46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&lt;&lt;Vesting Commencement Date&gt;&gt;</w:t>
            </w:r>
          </w:p>
        </w:tc>
      </w:tr>
      <w:tr>
        <w:trPr>
          <w:trHeight w:val="120" w:hRule="atLeast"/>
        </w:trPr>
        <w:tc>
          <w:tcPr>
            <w:tcW w:w="5000"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000" w:type="dxa"/>
            <w:tcBorders/>
          </w:tcPr>
          <w:p>
            <w:pPr>
              <w:pStyle w:val="TableContents"/>
              <w:bidi w:val="0"/>
              <w:spacing w:before="0" w:after="283"/>
              <w:jc w:val="left"/>
              <w:rPr/>
            </w:pPr>
            <w:r>
              <w:rPr/>
              <w:t>Total Number of Restricted Stock Units:</w:t>
            </w:r>
          </w:p>
        </w:tc>
        <w:tc>
          <w:tcPr>
            <w:tcW w:w="120" w:type="dxa"/>
            <w:tcBorders/>
            <w:vAlign w:val="bottom"/>
          </w:tcPr>
          <w:p>
            <w:pPr>
              <w:pStyle w:val="TableContents"/>
              <w:bidi w:val="0"/>
              <w:spacing w:before="0" w:after="283"/>
              <w:jc w:val="left"/>
              <w:rPr/>
            </w:pPr>
            <w:r>
              <w:rPr/>
              <w:t>  </w:t>
            </w:r>
          </w:p>
        </w:tc>
        <w:tc>
          <w:tcPr>
            <w:tcW w:w="46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&lt;&lt;Amount&gt;&gt;</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Vesting Schedule: </w:t>
      </w:r>
    </w:p>
    <w:p>
      <w:pPr>
        <w:pStyle w:val="TextBody"/>
        <w:bidi w:val="0"/>
        <w:spacing w:before="120" w:after="0"/>
        <w:jc w:val="left"/>
        <w:rPr>
          <w:rFonts w:ascii="Times New Roman" w:hAnsi="Times New Roman"/>
          <w:sz w:val="20"/>
        </w:rPr>
      </w:pPr>
      <w:r>
        <w:rPr>
          <w:rFonts w:ascii="Times New Roman" w:hAnsi="Times New Roman"/>
          <w:sz w:val="20"/>
        </w:rPr>
        <w:t xml:space="preserve">Vesting Date(s): This Award shall vest on the date(s) set forth on </w:t>
      </w:r>
      <w:r>
        <w:rPr>
          <w:rFonts w:ascii="Times New Roman" w:hAnsi="Times New Roman"/>
          <w:sz w:val="20"/>
          <w:u w:val="single"/>
        </w:rPr>
        <w:t>Exhibit B</w:t>
      </w:r>
      <w:r>
        <w:rPr>
          <w:rFonts w:ascii="Times New Roman" w:hAnsi="Times New Roman"/>
          <w:sz w:val="20"/>
        </w:rPr>
        <w:t xml:space="preserve">, subject to the satisfaction of the terms and conditions described in the exhibits (including all schedules subject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Grantee’s signature and the signature of the representative of the Company below, Grantee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hAnsi="Times New Roman"/>
          <w:sz w:val="20"/>
          <w:u w:val="single"/>
        </w:rPr>
        <w:t>Exhibit A</w:t>
      </w:r>
      <w:r>
        <w:rPr>
          <w:rFonts w:ascii="Times New Roman" w:hAnsi="Times New Roman"/>
          <w:sz w:val="20"/>
        </w:rPr>
        <w:t xml:space="preserve">,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5"/>
        <w:gridCol w:w="122"/>
        <w:gridCol w:w="23"/>
        <w:gridCol w:w="122"/>
        <w:gridCol w:w="4873"/>
      </w:tblGrid>
      <w:tr>
        <w:trPr/>
        <w:tc>
          <w:tcPr>
            <w:tcW w:w="50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50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GRANTEE</w:t>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BAKKT, INC.</w:t>
            </w:r>
          </w:p>
        </w:tc>
      </w:tr>
      <w:tr>
        <w:trPr/>
        <w:tc>
          <w:tcPr>
            <w:tcW w:w="5065" w:type="dxa"/>
            <w:tcBorders/>
          </w:tcPr>
          <w:p>
            <w:pPr>
              <w:pStyle w:val="TableContents"/>
              <w:bidi w:val="0"/>
              <w:spacing w:before="0" w:after="283"/>
              <w:jc w:val="left"/>
              <w:rPr/>
            </w:pPr>
            <w:r>
              <w:rPr/>
              <w:t>Signature</w:t>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Signature</w:t>
            </w:r>
          </w:p>
        </w:tc>
      </w:tr>
      <w:tr>
        <w:trPr>
          <w:trHeight w:val="240" w:hRule="atLeast"/>
        </w:trPr>
        <w:tc>
          <w:tcPr>
            <w:tcW w:w="5065" w:type="dxa"/>
            <w:tcBorders/>
            <w:vAlign w:val="center"/>
          </w:tcPr>
          <w:p>
            <w:pPr>
              <w:pStyle w:val="TableContents"/>
              <w:bidi w:val="0"/>
              <w:spacing w:before="0" w:after="283"/>
              <w:jc w:val="left"/>
              <w:rPr>
                <w:sz w:val="4"/>
                <w:szCs w:val="4"/>
              </w:rPr>
            </w:pPr>
            <w:r>
              <w:rPr>
                <w:sz w:val="4"/>
                <w:szCs w:val="4"/>
              </w:rPr>
            </w:r>
          </w:p>
        </w:tc>
        <w:tc>
          <w:tcPr>
            <w:tcW w:w="145" w:type="dxa"/>
            <w:gridSpan w:val="2"/>
            <w:tcBorders/>
            <w:vAlign w:val="center"/>
          </w:tcPr>
          <w:p>
            <w:pPr>
              <w:pStyle w:val="TableContents"/>
              <w:bidi w:val="0"/>
              <w:spacing w:before="0" w:after="283"/>
              <w:jc w:val="left"/>
              <w:rPr>
                <w:sz w:val="4"/>
                <w:szCs w:val="4"/>
              </w:rPr>
            </w:pPr>
            <w:r>
              <w:rPr>
                <w:sz w:val="4"/>
                <w:szCs w:val="4"/>
              </w:rPr>
            </w:r>
          </w:p>
        </w:tc>
        <w:tc>
          <w:tcPr>
            <w:tcW w:w="4995" w:type="dxa"/>
            <w:gridSpan w:val="2"/>
            <w:tcBorders/>
            <w:vAlign w:val="center"/>
          </w:tcPr>
          <w:p>
            <w:pPr>
              <w:pStyle w:val="TableContents"/>
              <w:bidi w:val="0"/>
              <w:spacing w:before="0" w:after="283"/>
              <w:jc w:val="left"/>
              <w:rPr>
                <w:sz w:val="4"/>
                <w:szCs w:val="4"/>
              </w:rPr>
            </w:pPr>
            <w:r>
              <w:rPr>
                <w:sz w:val="4"/>
                <w:szCs w:val="4"/>
              </w:rPr>
            </w:r>
          </w:p>
        </w:tc>
      </w:tr>
      <w:tr>
        <w:trPr/>
        <w:tc>
          <w:tcPr>
            <w:tcW w:w="50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&lt;&lt;Grantee&gt;&gt;</w:t>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Akshay Naheta</w:t>
            </w:r>
          </w:p>
        </w:tc>
      </w:tr>
      <w:tr>
        <w:trPr/>
        <w:tc>
          <w:tcPr>
            <w:tcW w:w="5065" w:type="dxa"/>
            <w:tcBorders/>
          </w:tcPr>
          <w:p>
            <w:pPr>
              <w:pStyle w:val="TableContents"/>
              <w:bidi w:val="0"/>
              <w:spacing w:before="0" w:after="283"/>
              <w:jc w:val="left"/>
              <w:rPr/>
            </w:pPr>
            <w:r>
              <w:rPr/>
              <w:t>Print Name</w:t>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Print Name</w:t>
            </w:r>
          </w:p>
        </w:tc>
      </w:tr>
      <w:tr>
        <w:trPr>
          <w:trHeight w:val="240" w:hRule="atLeast"/>
        </w:trPr>
        <w:tc>
          <w:tcPr>
            <w:tcW w:w="5065" w:type="dxa"/>
            <w:tcBorders/>
            <w:vAlign w:val="center"/>
          </w:tcPr>
          <w:p>
            <w:pPr>
              <w:pStyle w:val="TableContents"/>
              <w:bidi w:val="0"/>
              <w:spacing w:before="0" w:after="283"/>
              <w:jc w:val="left"/>
              <w:rPr>
                <w:sz w:val="4"/>
                <w:szCs w:val="4"/>
              </w:rPr>
            </w:pPr>
            <w:r>
              <w:rPr>
                <w:sz w:val="4"/>
                <w:szCs w:val="4"/>
              </w:rPr>
            </w:r>
          </w:p>
        </w:tc>
        <w:tc>
          <w:tcPr>
            <w:tcW w:w="145" w:type="dxa"/>
            <w:gridSpan w:val="2"/>
            <w:tcBorders/>
            <w:vAlign w:val="center"/>
          </w:tcPr>
          <w:p>
            <w:pPr>
              <w:pStyle w:val="TableContents"/>
              <w:bidi w:val="0"/>
              <w:spacing w:before="0" w:after="283"/>
              <w:jc w:val="left"/>
              <w:rPr>
                <w:sz w:val="4"/>
                <w:szCs w:val="4"/>
              </w:rPr>
            </w:pPr>
            <w:r>
              <w:rPr>
                <w:sz w:val="4"/>
                <w:szCs w:val="4"/>
              </w:rPr>
            </w:r>
          </w:p>
        </w:tc>
        <w:tc>
          <w:tcPr>
            <w:tcW w:w="4995" w:type="dxa"/>
            <w:gridSpan w:val="2"/>
            <w:tcBorders/>
            <w:vAlign w:val="center"/>
          </w:tcPr>
          <w:p>
            <w:pPr>
              <w:pStyle w:val="TableContents"/>
              <w:bidi w:val="0"/>
              <w:spacing w:before="0" w:after="283"/>
              <w:jc w:val="left"/>
              <w:rPr>
                <w:sz w:val="4"/>
                <w:szCs w:val="4"/>
              </w:rPr>
            </w:pPr>
            <w:r>
              <w:rPr>
                <w:sz w:val="4"/>
                <w:szCs w:val="4"/>
              </w:rPr>
            </w:r>
          </w:p>
        </w:tc>
      </w:tr>
      <w:tr>
        <w:trPr/>
        <w:tc>
          <w:tcPr>
            <w:tcW w:w="506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Executive Officer</w:t>
            </w:r>
          </w:p>
        </w:tc>
      </w:tr>
      <w:tr>
        <w:trPr/>
        <w:tc>
          <w:tcPr>
            <w:tcW w:w="506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Title</w:t>
            </w:r>
          </w:p>
        </w:tc>
      </w:tr>
      <w:tr>
        <w:trPr>
          <w:trHeight w:val="240" w:hRule="atLeast"/>
        </w:trPr>
        <w:tc>
          <w:tcPr>
            <w:tcW w:w="5065" w:type="dxa"/>
            <w:tcBorders/>
            <w:vAlign w:val="center"/>
          </w:tcPr>
          <w:p>
            <w:pPr>
              <w:pStyle w:val="TableContents"/>
              <w:bidi w:val="0"/>
              <w:spacing w:before="0" w:after="283"/>
              <w:jc w:val="left"/>
              <w:rPr>
                <w:sz w:val="4"/>
                <w:szCs w:val="4"/>
              </w:rPr>
            </w:pPr>
            <w:r>
              <w:rPr>
                <w:sz w:val="4"/>
                <w:szCs w:val="4"/>
              </w:rPr>
            </w:r>
          </w:p>
        </w:tc>
        <w:tc>
          <w:tcPr>
            <w:tcW w:w="145" w:type="dxa"/>
            <w:gridSpan w:val="2"/>
            <w:tcBorders/>
            <w:vAlign w:val="center"/>
          </w:tcPr>
          <w:p>
            <w:pPr>
              <w:pStyle w:val="TableContents"/>
              <w:bidi w:val="0"/>
              <w:spacing w:before="0" w:after="283"/>
              <w:jc w:val="left"/>
              <w:rPr>
                <w:sz w:val="4"/>
                <w:szCs w:val="4"/>
              </w:rPr>
            </w:pPr>
            <w:r>
              <w:rPr>
                <w:sz w:val="4"/>
                <w:szCs w:val="4"/>
              </w:rPr>
            </w:r>
          </w:p>
        </w:tc>
        <w:tc>
          <w:tcPr>
            <w:tcW w:w="4995" w:type="dxa"/>
            <w:gridSpan w:val="2"/>
            <w:tcBorders/>
            <w:vAlign w:val="center"/>
          </w:tcPr>
          <w:p>
            <w:pPr>
              <w:pStyle w:val="TableContents"/>
              <w:bidi w:val="0"/>
              <w:spacing w:before="0" w:after="283"/>
              <w:jc w:val="left"/>
              <w:rPr>
                <w:sz w:val="4"/>
                <w:szCs w:val="4"/>
              </w:rPr>
            </w:pPr>
            <w:r>
              <w:rPr>
                <w:sz w:val="4"/>
                <w:szCs w:val="4"/>
              </w:rPr>
            </w:r>
          </w:p>
        </w:tc>
      </w:tr>
      <w:tr>
        <w:trPr/>
        <w:tc>
          <w:tcPr>
            <w:tcW w:w="50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Grantee Residence Address</w:t>
            </w:r>
          </w:p>
        </w:tc>
        <w:tc>
          <w:tcPr>
            <w:tcW w:w="12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AND CONDITIONS OF RESTRICTED STOCK UNIT GRANT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Restricted Stock Units</w:t>
      </w:r>
      <w:r>
        <w:rPr>
          <w:rFonts w:ascii="Times New Roman" w:hAnsi="Times New Roman"/>
          <w:sz w:val="20"/>
        </w:rPr>
        <w:t>. The Company hereby grants to the individual (“</w:t>
      </w:r>
      <w:r>
        <w:rPr>
          <w:rFonts w:ascii="Times New Roman" w:hAnsi="Times New Roman"/>
          <w:sz w:val="20"/>
          <w:u w:val="single"/>
        </w:rPr>
        <w:t>Grantee</w:t>
      </w:r>
      <w:r>
        <w:rPr>
          <w:rFonts w:ascii="Times New Roman" w:hAnsi="Times New Roman"/>
          <w:sz w:val="20"/>
        </w:rPr>
        <w:t>”) named in the Notice of Restricted Stock Unit Grant of this Award Agreement (the “</w:t>
      </w:r>
      <w:r>
        <w:rPr>
          <w:rFonts w:ascii="Times New Roman" w:hAnsi="Times New Roman"/>
          <w:sz w:val="20"/>
          <w:u w:val="single"/>
        </w:rPr>
        <w:t>Notice of Grant</w:t>
      </w:r>
      <w:r>
        <w:rPr>
          <w:rFonts w:ascii="Times New Roman" w:hAnsi="Times New Roman"/>
          <w:sz w:val="20"/>
        </w:rPr>
        <w:t xml:space="preserve">”) under the Plan an Award of Restricted Stock Units, subject to the terms and conditions of this Award Agreement and the Plan, which is incorporated herein by reference. In the event of a conflict between the terms and conditions of the Plan and this Award Agreement, the terms and conditions of the Plan shall prevail.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Company’s Obligation to Pay</w:t>
      </w:r>
      <w:r>
        <w:rPr>
          <w:rFonts w:ascii="Times New Roman" w:hAnsi="Times New Roman"/>
          <w:sz w:val="20"/>
        </w:rPr>
        <w:t>. Each Restricted Stock Unit represents the right to receive a share of Company Class A Common Stock (a “</w:t>
      </w:r>
      <w:r>
        <w:rPr>
          <w:rFonts w:ascii="Times New Roman" w:hAnsi="Times New Roman"/>
          <w:sz w:val="20"/>
          <w:u w:val="single"/>
        </w:rPr>
        <w:t>Share</w:t>
      </w:r>
      <w:r>
        <w:rPr>
          <w:rFonts w:ascii="Times New Roman" w:hAnsi="Times New Roman"/>
          <w:sz w:val="20"/>
        </w:rPr>
        <w:t xml:space="preserve">”) on the date it vests. Unless and until a Restricted Stock Unit has vested in the manner set forth in Sections 3 or 4, Grantee will have no right to payment of any such Restricted Stock Unit. Prior to actual payment of any vested Restricted Stock Units, each such Restricted Stock Unit will represent an unsecured obligation of the Company, payable (if at all) only from the general assets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Vesting Schedule</w:t>
      </w:r>
      <w:r>
        <w:rPr>
          <w:rFonts w:ascii="Times New Roman" w:hAnsi="Times New Roman"/>
          <w:sz w:val="20"/>
        </w:rPr>
        <w:t xml:space="preserve">.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Restricted Stock Units scheduled to vest on a certain date or upon the occurrence of a certain condition will not vest in accordance with any of the provisions of this Award Agreement, unless Grantee will have been continuously in Employment from the Date of Grant until the date such vesting occurs.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after 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Rule</w:t>
      </w:r>
      <w:r>
        <w:rPr>
          <w:rFonts w:ascii="Times New Roman" w:hAnsi="Times New Roman"/>
          <w:sz w:val="20"/>
        </w:rPr>
        <w:t xml:space="preserve">. Subject to Section 7, any Restricted Stock Units that vest will be paid to Grantee (or in the event of Grantee’s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Grantee be permitted, directly or indirectly, to specify the taxable year of payment of any Restricted Stock Units payable under this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Discretionary Acceleration</w:t>
      </w:r>
      <w:r>
        <w:rPr>
          <w:rFonts w:ascii="Times New Roman" w:hAnsi="Times New Roman"/>
          <w:sz w:val="20"/>
        </w:rPr>
        <w:t xml:space="preserve">.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Grantee’s Employment (provided that such termination is a “separation from service” within the meaning of Section 409A, as determined by the Committee), other than due to Grantee’s death, and if (x) Grantee is a U.S. taxpayer and a “specified employee” within the meaning of Section 409A at the time of such termination of Employment and (y) the payment of such accelerated Restricted Stock Units will result in the imposition of additional tax under Section 409A if paid to Grantee on or within the six (6) month period following the cessation of Grantee’s Employment, then the payment of such accelerated Restricted Stock Units will not be made until the date six (6) months and one (1) day following the date of cessation of Grantee’s Employment, unless Grantee dies following his or her termination of Employment, in which case, the Restricted Stock Units will be paid in Shares to Grantee’s estate as soon as practicable following his or her death. </w:t>
      </w:r>
    </w:p>
    <w:p>
      <w:pPr>
        <w:pStyle w:val="TextBody"/>
        <w:bidi w:val="0"/>
        <w:spacing w:before="120" w:after="0"/>
        <w:jc w:val="left"/>
        <w:rPr>
          <w:rFonts w:ascii="Times New Roman" w:hAnsi="Times New Roman"/>
          <w:sz w:val="20"/>
        </w:rPr>
      </w:pPr>
      <w:r>
        <w:rPr>
          <w:rFonts w:ascii="Times New Roman" w:hAnsi="Times New Roman"/>
          <w:sz w:val="20"/>
        </w:rPr>
        <w:t xml:space="preserve">(iii)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Employment,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Forfeiture Upon Termination of Employment</w:t>
      </w:r>
      <w:r>
        <w:rPr>
          <w:rFonts w:ascii="Times New Roman" w:hAnsi="Times New Roman"/>
          <w:sz w:val="20"/>
        </w:rPr>
        <w:t xml:space="preserve">. Unless specifically provided otherwise in the Plan (including Section 3.6 thereof), this Award Agreement or other written agreement authorized by the Committee between Grantee and the Company or any of its Subsidiaries, as applicable, governing the terms of this Award, if Grantee’s Employment is terminated for any or no reason, the then-unvested Restricted Stock Units awarded by this Award Agreement will thereupon be forfeited at no cost to the Company and Grantee will have no further rights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Death of Grantee</w:t>
      </w:r>
      <w:r>
        <w:rPr>
          <w:rFonts w:ascii="Times New Roman" w:hAnsi="Times New Roman"/>
          <w:sz w:val="20"/>
        </w:rPr>
        <w:t xml:space="preserve">.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Responsibility for Taxes</w:t>
      </w:r>
      <w:r>
        <w:rPr>
          <w:rFonts w:ascii="Times New Roman" w:hAnsi="Times New Roman"/>
          <w:sz w:val="20"/>
        </w:rPr>
        <w:t>. Grantee acknowledges that, regardless of any action taken by the Company or, if different, Grantee’s employer or any parent or Subsidiary of the Company to which Grantee is providing services (together, the “</w:t>
      </w:r>
      <w:r>
        <w:rPr>
          <w:rFonts w:ascii="Times New Roman" w:hAnsi="Times New Roman"/>
          <w:sz w:val="20"/>
          <w:u w:val="single"/>
        </w:rPr>
        <w:t>Service Recipients</w:t>
      </w:r>
      <w:r>
        <w:rPr>
          <w:rFonts w:ascii="Times New Roman" w:hAnsi="Times New Roman"/>
          <w:sz w:val="20"/>
        </w:rPr>
        <w:t>”), the ultimate liability for any tax and/or social insurance liability obligations and requirements in connection with the Restricted Stock Units,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Grantee has, or has agreed to bear, with respect to the Restricted Stock Units (or settlement thereof or issuance of Shares thereunder) (collectively, the “</w:t>
      </w:r>
      <w:r>
        <w:rPr>
          <w:rFonts w:ascii="Times New Roman" w:hAnsi="Times New Roman"/>
          <w:sz w:val="20"/>
          <w:u w:val="single"/>
        </w:rPr>
        <w:t>Tax Obligations</w:t>
      </w:r>
      <w:r>
        <w:rPr>
          <w:rFonts w:ascii="Times New Roman" w:hAnsi="Times New Roman"/>
          <w:sz w:val="20"/>
        </w:rPr>
        <w:t xml:space="preserve">”),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Withholding</w:t>
      </w:r>
      <w:r>
        <w:rPr>
          <w:rFonts w:ascii="Times New Roman" w:hAnsi="Times New Roman"/>
          <w:sz w:val="20"/>
        </w:rPr>
        <w:t>. Pursuant to such procedures as the Committee may specify from time to time, the applicable Service Recipient(s) will withhold the amount required to be withheld for the payment of Tax Obligations (the “</w:t>
      </w:r>
      <w:r>
        <w:rPr>
          <w:rFonts w:ascii="Times New Roman" w:hAnsi="Times New Roman"/>
          <w:sz w:val="20"/>
          <w:u w:val="single"/>
        </w:rPr>
        <w:t>Withholding Obligations</w:t>
      </w:r>
      <w:r>
        <w:rPr>
          <w:rFonts w:ascii="Times New Roman" w:hAnsi="Times New Roman"/>
          <w:sz w:val="20"/>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Net Share Withholding</w:t>
      </w:r>
      <w:r>
        <w:rPr>
          <w:rFonts w:ascii="Times New Roman" w:hAnsi="Times New Roman"/>
          <w:sz w:val="20"/>
        </w:rPr>
        <w:t xml:space="preserve">”), (iii) withholding the amount of such Withholding Obligations from Grantee’s wages or other cash compensation paid to Grantee by the applicable Service Recipient(s),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Sell to Cover</w:t>
      </w:r>
      <w:r>
        <w:rPr>
          <w:rFonts w:ascii="Times New Roman" w:hAnsi="Times New Roman"/>
          <w:sz w:val="20"/>
        </w:rPr>
        <w:t xml:space="preserve">”), or (vi) such other means as the Committee deems appropriate. If the Withholding Obligations are satisfied by withholding in Shares, for tax purposes, Grantee is deemed to have been issued the full number of Shares subject to the vested Restricted Stock Units,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Consequences</w:t>
      </w:r>
      <w:r>
        <w:rPr>
          <w:rFonts w:ascii="Times New Roman" w:hAnsi="Times New Roman"/>
          <w:sz w:val="20"/>
        </w:rPr>
        <w:t xml:space="preserve">.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Company’s Obligation to Deliver Shares</w:t>
      </w:r>
      <w:r>
        <w:rPr>
          <w:rFonts w:ascii="Times New Roman" w:hAnsi="Times New Roman"/>
          <w:sz w:val="20"/>
        </w:rPr>
        <w:t xml:space="preserve">.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Restricted Stock Units otherwise are scheduled to vest pursuant to Sections 3 or 4 or Grantee’s Withholding Obligations otherwise become due, Grantee permanently will forfeit such Restricted Stock Units to which Grantee’s Withholding Obligation relates and any right to receive Shares thereunder and such Restricted Stock Units will be returned to the Company at no cost to the Company. Grantee acknowledges and agrees that the Company may permanently refuse to issue or deliver the Shares if such Withholding Obligations are not delivered at the time they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Rights as Stockholder</w:t>
      </w:r>
      <w:r>
        <w:rPr>
          <w:rFonts w:ascii="Times New Roman" w:hAnsi="Times New Roman"/>
          <w:sz w:val="20"/>
        </w:rPr>
        <w:t xml:space="preserve">.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Guarantee of Continued Service</w:t>
      </w:r>
      <w:r>
        <w:rPr>
          <w:rFonts w:ascii="Times New Roman" w:hAnsi="Times New Roman"/>
          <w:sz w:val="20"/>
        </w:rPr>
        <w:t xml:space="preserve">. Grantee acknowledges and agrees that the vesting of the Restricted Stock Units pursuant to the vesting schedule hereof is earned only by continuing in Employment through the applicable vesting dates, which unless provided otherwise under applicable law, is at the will of the applicable Service Recipient and not through the act of being hired, being granted this Restricted Stock Unit award, or acquiring Shares hereunder. Grantee further acknowledges and agrees that this Award Agreement, the transactions contemplated hereunder, and the vesting schedule set forth herein do not constitute an express or implied promise of continued Employment for the vesting period, for any period, or at all, and shall not interfere in any way with Grantee’s right or the right of any Service Recipient to terminate Grantee’s Employment, subject to applicable law, which termination, unless provided otherwise under applicable law or written agreement between Grantee and the Service Recipient, may be at any time,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Grant is Not Transferable</w:t>
      </w:r>
      <w:r>
        <w:rPr>
          <w:rFonts w:ascii="Times New Roman" w:hAnsi="Times New Roman"/>
          <w:sz w:val="20"/>
        </w:rPr>
        <w:t xml:space="preserve">.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Nature of Grant</w:t>
      </w:r>
      <w:r>
        <w:rPr>
          <w:rFonts w:ascii="Times New Roman" w:hAnsi="Times New Roman"/>
          <w:sz w:val="20"/>
        </w:rPr>
        <w:t xml:space="preserve">. In accepting this Award of Restricted Stock Units, Grantee acknowledges, understands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120" w:after="0"/>
        <w:jc w:val="left"/>
        <w:rPr>
          <w:rFonts w:ascii="Times New Roman" w:hAnsi="Times New Roman"/>
          <w:sz w:val="20"/>
        </w:rPr>
      </w:pPr>
      <w:r>
        <w:rPr>
          <w:rFonts w:ascii="Times New Roman" w:hAnsi="Times New Roman"/>
          <w:sz w:val="20"/>
        </w:rPr>
        <w:t xml:space="preserve">(b) all decisions with respect to future Restricted Stock Units or other grants, if any, will be at the sole discretion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(c) Grantee is voluntarily participating in the Plan; </w:t>
      </w:r>
    </w:p>
    <w:p>
      <w:pPr>
        <w:pStyle w:val="TextBody"/>
        <w:bidi w:val="0"/>
        <w:spacing w:before="120" w:after="0"/>
        <w:jc w:val="left"/>
        <w:rPr>
          <w:rFonts w:ascii="Times New Roman" w:hAnsi="Times New Roman"/>
          <w:sz w:val="20"/>
        </w:rPr>
      </w:pPr>
      <w:r>
        <w:rPr>
          <w:rFonts w:ascii="Times New Roman" w:hAnsi="Times New Roman"/>
          <w:sz w:val="20"/>
        </w:rPr>
        <w:t xml:space="preserve">(d) the Restricted Stock Units and the Shares subject to the Restricted Stock Units are not intended to replace any pension rights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120" w:after="0"/>
        <w:jc w:val="left"/>
        <w:rPr>
          <w:rFonts w:ascii="Times New Roman" w:hAnsi="Times New Roman"/>
          <w:sz w:val="20"/>
        </w:rPr>
      </w:pPr>
      <w:r>
        <w:rPr>
          <w:rFonts w:ascii="Times New Roman" w:hAnsi="Times New Roman"/>
          <w:sz w:val="20"/>
        </w:rPr>
        <w:t xml:space="preserve">(f) the future value of the Shares underlying the Restricted Stock Units is unknown, indeterminable, and cannot be predicted with certainty; </w:t>
      </w:r>
    </w:p>
    <w:p>
      <w:pPr>
        <w:pStyle w:val="TextBody"/>
        <w:bidi w:val="0"/>
        <w:spacing w:before="120" w:after="0"/>
        <w:jc w:val="left"/>
        <w:rPr>
          <w:rFonts w:ascii="Times New Roman" w:hAnsi="Times New Roman"/>
          <w:sz w:val="20"/>
        </w:rPr>
      </w:pPr>
      <w:r>
        <w:rPr>
          <w:rFonts w:ascii="Times New Roman" w:hAnsi="Times New Roman"/>
          <w:sz w:val="20"/>
        </w:rPr>
        <w:t xml:space="preserve">(g) for purposes of the Restricted Stock Units, Grantee’s Employment will be considered terminated as of the date Grantee is no longer actively providing services to the Company or any Subsidiary (regardless of the reason for such termination and whether or not later found to be invalid or in breach of employment laws in the jurisdiction where Grantee is in Employment or the terms of Grantee’s employment or service agreement, if any), and unless otherwise expressly provided in this Award Agreement (including by reference in the Notice of Grant to other arrangements or contracts) or determined by the Committee, Grantee’s right to vest in the Restricted Stock Units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in Employment or the terms of Grantee’s employment or service agreement, if any, unless Grantee is providing bona fide services during such time); the Committee shall have the exclusive discretion to determine when Grantee is no longer actively providing services for purposes of this Award of Restricted Stock Units (including whether Grantee may still be considered to be providing services while on a leave of absence and consistent with local law). Further, for the avoidance of doubt, Grantee shall not be entitled to any pro rata vesting of any Restricted Stock Units should Grantee’s Employment cease before the Restricted Stock Units have fully vested (e.g., if Grantee’s Employment ceases on March 1 before all of the Restricted Stock Units have vested, Grantee shall not be entitled to any vesting of the Restricted Stock Units that were scheduled to vest on the immediately following vesting date of March 10); </w:t>
      </w:r>
    </w:p>
    <w:p>
      <w:pPr>
        <w:pStyle w:val="TextBody"/>
        <w:bidi w:val="0"/>
        <w:spacing w:before="120" w:after="0"/>
        <w:jc w:val="left"/>
        <w:rPr>
          <w:rFonts w:ascii="Times New Roman" w:hAnsi="Times New Roman"/>
          <w:sz w:val="20"/>
        </w:rPr>
      </w:pPr>
      <w:r>
        <w:rPr>
          <w:rFonts w:ascii="Times New Roman" w:hAnsi="Times New Roman"/>
          <w:sz w:val="20"/>
        </w:rPr>
        <w:t xml:space="preserve">(h) unless otherwise provided in the Plan (including Section 3.6 thereof)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 </w:t>
      </w:r>
    </w:p>
    <w:p>
      <w:pPr>
        <w:pStyle w:val="TextBody"/>
        <w:bidi w:val="0"/>
        <w:spacing w:before="120" w:after="0"/>
        <w:jc w:val="left"/>
        <w:rPr>
          <w:rFonts w:ascii="Times New Roman" w:hAnsi="Times New Roman"/>
          <w:sz w:val="20"/>
        </w:rPr>
      </w:pPr>
      <w:r>
        <w:rPr>
          <w:rFonts w:ascii="Times New Roman" w:hAnsi="Times New Roman"/>
          <w:sz w:val="20"/>
        </w:rPr>
        <w:t xml:space="preserve">(i) the following provisions apply only if Grantee is providing services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the Restricted Stock Units and the Shares subject to the Restricted Stock Units are not part of normal or expected compensation or salary for any purpose; </w:t>
      </w:r>
    </w:p>
    <w:p>
      <w:pPr>
        <w:pStyle w:val="TextBody"/>
        <w:bidi w:val="0"/>
        <w:spacing w:before="120" w:after="0"/>
        <w:jc w:val="left"/>
        <w:rPr>
          <w:rFonts w:ascii="Times New Roman" w:hAnsi="Times New Roman"/>
          <w:sz w:val="20"/>
        </w:rPr>
      </w:pPr>
      <w:r>
        <w:rPr>
          <w:rFonts w:ascii="Times New Roman" w:hAnsi="Times New Roman"/>
          <w:sz w:val="20"/>
        </w:rPr>
        <w:t xml:space="preserve">(ii) Grantee acknowledges and agrees that no Service Recipient shall be liable for any foreign exchange rate fluctuation between Grantee’s local currency and the United States Dollar that may affect the value of the Restricted Stock Units or of any amounts due to Grantee pursuant to the settlement of the Restricted Stock Units or the subsequent sale of any Shares acquired upon settlement;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claim or entitlement to compensation or damages shall arise from forfeiture of the Restricted Stock Units resulting from the termination of Grantee’s Employment (for any reason whatsoever whether or not later found to be invalid or in breach of employment laws in the jurisdiction where Grantee is in Employment or the terms of Grantee’s employment or service agreement, if any), and in consideration of the grant of the Restricted Stock Units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Advice Regarding Grant</w:t>
      </w:r>
      <w:r>
        <w:rPr>
          <w:rFonts w:ascii="Times New Roman" w:hAnsi="Times New Roman"/>
          <w:sz w:val="20"/>
        </w:rPr>
        <w:t xml:space="preserve">. The Company is not providing any tax, legal or financial advice, nor is the Company making any recommendations regarding Grantee’s participation in the Plan, or Grantee’s acquisition or sale of the Shares underlying the Restricted Stock Units. Grantee is hereby advised to consult with his or her own personal tax, legal and financial advisers regarding his or her participation in the Plan before taking any action related to the Plan.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Data Privacy</w:t>
      </w:r>
      <w:r>
        <w:rPr>
          <w:rFonts w:ascii="Times New Roman" w:hAnsi="Times New Roman"/>
          <w:sz w:val="20"/>
        </w:rPr>
        <w:t xml:space="preserve">. Grantee hereby explicitly and unambiguously consents to the collection, use and transfer, in electronic or other form, of Grantee’s personal data as described in this Award Agreement and any other Restricted Stock Unit grant materials by and among, as applicable, the Service Recipients for the exclusive purpose of implementing, administering and managing Grantee’s participation in the Plan. </w:t>
      </w:r>
    </w:p>
    <w:p>
      <w:pPr>
        <w:pStyle w:val="TextBody"/>
        <w:bidi w:val="0"/>
        <w:spacing w:before="240" w:after="0"/>
        <w:jc w:val="left"/>
        <w:rPr>
          <w:rFonts w:ascii="Times New Roman" w:hAnsi="Times New Roman"/>
          <w:sz w:val="20"/>
        </w:rPr>
      </w:pPr>
      <w:r>
        <w:rPr>
          <w:rFonts w:ascii="Times New Roman" w:hAnsi="Times New Roman"/>
          <w:sz w:val="20"/>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Grantee’s favor (“</w:t>
      </w:r>
      <w:r>
        <w:rPr>
          <w:rFonts w:ascii="Times New Roman" w:hAnsi="Times New Roman"/>
          <w:sz w:val="20"/>
          <w:u w:val="single"/>
        </w:rPr>
        <w:t>Data</w:t>
      </w:r>
      <w:r>
        <w:rPr>
          <w:rFonts w:ascii="Times New Roman" w:hAnsi="Times New Roman"/>
          <w:sz w:val="20"/>
        </w:rPr>
        <w:t xml:space="preserve">”), for the exclusive purpose of implementing, administering and managing the Plan. </w:t>
      </w:r>
    </w:p>
    <w:p>
      <w:pPr>
        <w:pStyle w:val="TextBody"/>
        <w:bidi w:val="0"/>
        <w:spacing w:before="240" w:after="0"/>
        <w:jc w:val="left"/>
        <w:rPr>
          <w:rFonts w:ascii="Times New Roman" w:hAnsi="Times New Roman"/>
          <w:sz w:val="20"/>
        </w:rPr>
      </w:pPr>
      <w:r>
        <w:rPr>
          <w:rFonts w:ascii="Times New Roman" w:hAnsi="Times New Roman"/>
          <w:sz w:val="20"/>
        </w:rPr>
        <w:t xml:space="preserve">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and career with the Service Recipient will not be adversely affected. The only adverse consequence of refusing or withdrawing Grantee’s consent is that the Company would not be able to grant Grantee Restricted Stock Units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Award Agreement will be addressed to the Company at Bakkt, Inc., 3280 Peachtree Road NE, 7th Floor, Atlanta, GA 30305, or at such other address as the Company may hereafter designate in writing.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Additional Conditions to Issuance of Stock</w:t>
      </w:r>
      <w:r>
        <w:rPr>
          <w:rFonts w:ascii="Times New Roman" w:hAnsi="Times New Roman"/>
          <w:sz w:val="20"/>
        </w:rPr>
        <w:t xml:space="preserve">. If at any time the Company determines,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Language</w:t>
      </w:r>
      <w:r>
        <w:rPr>
          <w:rFonts w:ascii="Times New Roman" w:hAnsi="Times New Roman"/>
          <w:sz w:val="20"/>
        </w:rPr>
        <w:t xml:space="preserve">. If Grantee has received this Award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Interpretation</w:t>
      </w:r>
      <w:r>
        <w:rPr>
          <w:rFonts w:ascii="Times New Roman" w:hAnsi="Times New Roman"/>
          <w:sz w:val="20"/>
        </w:rPr>
        <w:t xml:space="preserve">.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Restricted Stock Units awarded under the Plan or future Restricted Stock Units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Captions</w:t>
      </w:r>
      <w:r>
        <w:rPr>
          <w:rFonts w:ascii="Times New Roman" w:hAnsi="Times New Roman"/>
          <w:sz w:val="20"/>
        </w:rPr>
        <w:t xml:space="preserve">. Captions provided herein are for convenience only and are not to serve as a basis for interpretation or construction of this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Amendment, Suspension or Termination of the Plan</w:t>
      </w:r>
      <w:r>
        <w:rPr>
          <w:rFonts w:ascii="Times New Roman" w:hAnsi="Times New Roman"/>
          <w:sz w:val="20"/>
        </w:rPr>
        <w:t xml:space="preserve">. By accepting this Award, Grantee expressly warrants that he or she has received an Award of Restricted Stock Units under the Plan, and has received, read and understood a description of the Plan. Grantee understands that the Plan is discretionary in nature and may be amended, suspended or terminated by the Committee at any time.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Country Addendum</w:t>
      </w:r>
      <w:r>
        <w:rPr>
          <w:rFonts w:ascii="Times New Roman" w:hAnsi="Times New Roman"/>
          <w:sz w:val="20"/>
        </w:rPr>
        <w:t>. Notwithstanding any provisions in this Award Agreement, the Restricted Stock Unit grant shall be subject to any special terms and conditions set forth in an appendix (if any) to this Award Agreement for any country whose laws are applicable to Grantee and this Award of Restricted Stock Units (as determined by the Committee in its sole discretion) (the “</w:t>
      </w:r>
      <w:r>
        <w:rPr>
          <w:rFonts w:ascii="Times New Roman" w:hAnsi="Times New Roman"/>
          <w:sz w:val="20"/>
          <w:u w:val="single"/>
        </w:rPr>
        <w:t>Country Addendum</w:t>
      </w:r>
      <w:r>
        <w:rPr>
          <w:rFonts w:ascii="Times New Roman" w:hAnsi="Times New Roman"/>
          <w:sz w:val="20"/>
        </w:rPr>
        <w:t xml:space="preserve">”).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Modifications to the Award Agreement</w:t>
      </w:r>
      <w:r>
        <w:rPr>
          <w:rFonts w:ascii="Times New Roman" w:hAnsi="Times New Roman"/>
          <w:sz w:val="20"/>
        </w:rPr>
        <w:t xml:space="preserve">.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 Waiver</w:t>
      </w:r>
      <w:r>
        <w:rPr>
          <w:rFonts w:ascii="Times New Roman" w:hAnsi="Times New Roman"/>
          <w:sz w:val="20"/>
        </w:rPr>
        <w:t xml:space="preserve">.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Governing Law; Severability</w:t>
      </w:r>
      <w:r>
        <w:rPr>
          <w:rFonts w:ascii="Times New Roman" w:hAnsi="Times New Roman"/>
          <w:sz w:val="20"/>
        </w:rPr>
        <w:t xml:space="preserve">.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Entire Agreement</w:t>
      </w:r>
      <w:r>
        <w:rPr>
          <w:rFonts w:ascii="Times New Roman" w:hAnsi="Times New Roman"/>
          <w:sz w:val="20"/>
        </w:rPr>
        <w:t xml:space="preserve">.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VESTING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right"/>
        <w:rPr>
          <w:rFonts w:ascii="Times New Roman" w:hAnsi="Times New Roman"/>
          <w:b/>
          <w:sz w:val="20"/>
        </w:rPr>
      </w:pPr>
      <w:bookmarkStart w:id="9" w:name="d171896dex103.htm"/>
      <w:bookmarkStart w:id="10" w:name="ksd171896dex103"/>
      <w:bookmarkEnd w:id="9"/>
      <w:bookmarkEnd w:id="10"/>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PERFORMANCE UNIT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PERFORMANCE UNIT GRANT </w:t>
      </w:r>
    </w:p>
    <w:p>
      <w:pPr>
        <w:pStyle w:val="TextBody"/>
        <w:bidi w:val="0"/>
        <w:spacing w:before="120" w:after="0"/>
        <w:jc w:val="left"/>
        <w:rPr>
          <w:rFonts w:ascii="Times New Roman" w:hAnsi="Times New Roman"/>
          <w:sz w:val="20"/>
        </w:rPr>
      </w:pPr>
      <w:r>
        <w:rPr>
          <w:rFonts w:ascii="Times New Roman" w:hAnsi="Times New Roman"/>
          <w:sz w:val="20"/>
        </w:rPr>
        <w:t>Unless otherwise defined herein, the terms defined in the Bakkt, Inc. 2026 Inducement Plan (the “</w:t>
      </w:r>
      <w:r>
        <w:rPr>
          <w:rFonts w:ascii="Times New Roman" w:hAnsi="Times New Roman"/>
          <w:sz w:val="20"/>
          <w:u w:val="single"/>
        </w:rPr>
        <w:t>Plan</w:t>
      </w:r>
      <w:r>
        <w:rPr>
          <w:rFonts w:ascii="Times New Roman" w:hAnsi="Times New Roman"/>
          <w:sz w:val="20"/>
        </w:rPr>
        <w:t>”) will have the same meanings in this Performance Unit Agreement which includes the Notice of Performance Unit Grant (the “</w:t>
      </w:r>
      <w:r>
        <w:rPr>
          <w:rFonts w:ascii="Times New Roman" w:hAnsi="Times New Roman"/>
          <w:sz w:val="20"/>
          <w:u w:val="single"/>
        </w:rPr>
        <w:t>Notice of Grant</w:t>
      </w:r>
      <w:r>
        <w:rPr>
          <w:rFonts w:ascii="Times New Roman" w:hAnsi="Times New Roman"/>
          <w:sz w:val="20"/>
        </w:rPr>
        <w:t xml:space="preserve">”), the Terms and Conditions of Performance Unit Grant, attached hereto as </w:t>
      </w:r>
      <w:r>
        <w:rPr>
          <w:rFonts w:ascii="Times New Roman" w:hAnsi="Times New Roman"/>
          <w:sz w:val="20"/>
          <w:u w:val="single"/>
        </w:rPr>
        <w:t>Exhibit A</w:t>
      </w:r>
      <w:r>
        <w:rPr>
          <w:rFonts w:ascii="Times New Roman" w:hAnsi="Times New Roman"/>
          <w:sz w:val="20"/>
        </w:rPr>
        <w:t>, and all other exhibits, appendices, and addenda attached hereto (the “</w:t>
      </w:r>
      <w:r>
        <w:rPr>
          <w:rFonts w:ascii="Times New Roman" w:hAnsi="Times New Roman"/>
          <w:sz w:val="20"/>
          <w:u w:val="single"/>
        </w:rPr>
        <w:t>Award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Award is granted by the Committee as a material inducement to the Grantee’s entering into Employment with the Company or its Subsidiaries pursuant to the Inducement Rules, including Section 303A.08 of the NYSE Listed Company Manual, to the extent applicable, and is intended to constitute an employment inducement award exempt from the stockholder approval requirements thereof; this Award Agreement shall be interpreted accordingly. By accepting this Award, Grantee represents that Grantee is an Eligible Individual and has not previously been an employee or director of the Company or any Subsidiary (or, if previously employed, has had a bona fide period of interruption of employment), and acknowledges that the Award is an inducement material to Grantee’s entering into Employment with the Company or its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4"/>
        <w:gridCol w:w="123"/>
        <w:gridCol w:w="4918"/>
      </w:tblGrid>
      <w:tr>
        <w:trPr/>
        <w:tc>
          <w:tcPr>
            <w:tcW w:w="51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0"/>
              <w:jc w:val="left"/>
              <w:rPr/>
            </w:pPr>
            <w:r>
              <w:rPr/>
              <w:t> </w:t>
            </w:r>
            <w:r>
              <w:rPr>
                <w:rFonts w:ascii="Times New Roman" w:hAnsi="Times New Roman"/>
                <w:sz w:val="20"/>
              </w:rPr>
              <w:t>Grantee Name:</w:t>
            </w:r>
          </w:p>
        </w:tc>
        <w:tc>
          <w:tcPr>
            <w:tcW w:w="123" w:type="dxa"/>
            <w:tcBorders/>
            <w:vAlign w:val="bottom"/>
          </w:tcPr>
          <w:p>
            <w:pPr>
              <w:pStyle w:val="TableContents"/>
              <w:bidi w:val="0"/>
              <w:spacing w:before="0" w:after="283"/>
              <w:jc w:val="left"/>
              <w:rPr/>
            </w:pPr>
            <w:r>
              <w:rPr/>
              <w:t>  </w:t>
            </w:r>
          </w:p>
        </w:tc>
        <w:tc>
          <w:tcPr>
            <w:tcW w:w="49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&lt;&lt;Grantee&gt;&gt;</w:t>
            </w:r>
          </w:p>
        </w:tc>
      </w:tr>
    </w:tbl>
    <w:p>
      <w:pPr>
        <w:pStyle w:val="TextBody"/>
        <w:bidi w:val="0"/>
        <w:spacing w:before="240" w:after="0"/>
        <w:jc w:val="left"/>
        <w:rPr>
          <w:rFonts w:ascii="Times New Roman" w:hAnsi="Times New Roman"/>
          <w:sz w:val="20"/>
        </w:rPr>
      </w:pPr>
      <w:r>
        <w:rPr>
          <w:rFonts w:ascii="Times New Roman" w:hAnsi="Times New Roman"/>
          <w:sz w:val="20"/>
        </w:rPr>
        <w:t>The undersigned Grantee has been granted an Award of Performance Units (“</w:t>
      </w:r>
      <w:r>
        <w:rPr>
          <w:rFonts w:ascii="Times New Roman" w:hAnsi="Times New Roman"/>
          <w:sz w:val="20"/>
          <w:u w:val="single"/>
        </w:rPr>
        <w:t>PSUs</w:t>
      </w:r>
      <w:r>
        <w:rPr>
          <w:rFonts w:ascii="Times New Roman" w:hAnsi="Times New Roman"/>
          <w:sz w:val="20"/>
        </w:rPr>
        <w:t xml:space="preserve">”), subject to the terms and conditions of the Plan and this Award Agreement,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pPr>
            <w:r>
              <w:rPr/>
              <w:t> </w:t>
            </w:r>
            <w:r>
              <w:rPr>
                <w:rFonts w:ascii="Times New Roman" w:hAnsi="Times New Roman"/>
                <w:sz w:val="20"/>
              </w:rPr>
              <w:t>Grant Number:</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&lt;&lt;Grant_Number&gt;&gt;</w:t>
            </w:r>
          </w:p>
        </w:tc>
      </w:tr>
      <w:tr>
        <w:trPr>
          <w:trHeight w:val="12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pPr>
            <w:r>
              <w:rPr/>
              <w:t> </w:t>
            </w:r>
            <w:r>
              <w:rPr>
                <w:rFonts w:ascii="Times New Roman" w:hAnsi="Times New Roman"/>
                <w:sz w:val="20"/>
              </w:rPr>
              <w:t>Date of Grant:</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&lt;&lt;Date of Grant&gt;&gt;</w:t>
            </w:r>
          </w:p>
        </w:tc>
      </w:tr>
      <w:tr>
        <w:trPr>
          <w:trHeight w:val="12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pPr>
            <w:r>
              <w:rPr/>
              <w:t> </w:t>
            </w:r>
            <w:r>
              <w:rPr>
                <w:rFonts w:ascii="Times New Roman" w:hAnsi="Times New Roman"/>
                <w:sz w:val="20"/>
              </w:rPr>
              <w:t>Vesting Commencement Date: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&lt;&lt;Vesting Commencement Date&gt;&gt;</w:t>
            </w:r>
          </w:p>
        </w:tc>
      </w:tr>
      <w:tr>
        <w:trPr>
          <w:trHeight w:val="12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pPr>
            <w:r>
              <w:rPr/>
              <w:t> </w:t>
            </w:r>
            <w:r>
              <w:rPr>
                <w:rFonts w:ascii="Times New Roman" w:hAnsi="Times New Roman"/>
                <w:sz w:val="20"/>
              </w:rPr>
              <w:t>Total Target Number of PSUs:</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&lt;&lt;Amount&gt;&gt;</w:t>
            </w:r>
          </w:p>
        </w:tc>
      </w:tr>
      <w:tr>
        <w:trPr>
          <w:trHeight w:val="12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pPr>
            <w:r>
              <w:rPr/>
              <w:t> </w:t>
            </w:r>
            <w:r>
              <w:rPr>
                <w:rFonts w:ascii="Times New Roman" w:hAnsi="Times New Roman"/>
                <w:sz w:val="20"/>
              </w:rPr>
              <w:t>Total Maximum Number of PSUs:</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&lt;&lt;Amount&gt;&gt;</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Vesting Schedule: </w:t>
      </w:r>
    </w:p>
    <w:p>
      <w:pPr>
        <w:pStyle w:val="TextBody"/>
        <w:bidi w:val="0"/>
        <w:spacing w:before="120" w:after="0"/>
        <w:jc w:val="left"/>
        <w:rPr>
          <w:rFonts w:ascii="Times New Roman" w:hAnsi="Times New Roman"/>
          <w:sz w:val="20"/>
        </w:rPr>
      </w:pPr>
      <w:r>
        <w:rPr>
          <w:rFonts w:ascii="Times New Roman" w:hAnsi="Times New Roman"/>
          <w:sz w:val="20"/>
        </w:rPr>
        <w:t xml:space="preserve">Vesting Date(s): This Award shall vest on the date(s) set forth on </w:t>
      </w:r>
      <w:r>
        <w:rPr>
          <w:rFonts w:ascii="Times New Roman" w:hAnsi="Times New Roman"/>
          <w:sz w:val="20"/>
          <w:u w:val="single"/>
        </w:rPr>
        <w:t>Exhibit B</w:t>
      </w:r>
      <w:r>
        <w:rPr>
          <w:rFonts w:ascii="Times New Roman" w:hAnsi="Times New Roman"/>
          <w:sz w:val="20"/>
        </w:rPr>
        <w:t xml:space="preserve"> subject to the satisfaction of the terms and conditions described in the exhibits (including all schedules subject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Grantee’s signature and the signature of the representative of the Company below, Grantee and the Company agree that this Award of PSUs is granted under and governed by the terms and conditions of the Plan and this Award Agreement, including the Terms and Conditions of Performance Unit Grant attached hereto as </w:t>
      </w:r>
      <w:r>
        <w:rPr>
          <w:rFonts w:ascii="Times New Roman" w:hAnsi="Times New Roman"/>
          <w:sz w:val="20"/>
          <w:u w:val="single"/>
        </w:rPr>
        <w:t>Exhibit A</w:t>
      </w:r>
      <w:r>
        <w:rPr>
          <w:rFonts w:ascii="Times New Roman" w:hAnsi="Times New Roman"/>
          <w:sz w:val="20"/>
        </w:rPr>
        <w:t xml:space="preserve">,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1"/>
        <w:gridCol w:w="108"/>
        <w:gridCol w:w="633"/>
        <w:gridCol w:w="120"/>
        <w:gridCol w:w="4553"/>
      </w:tblGrid>
      <w:tr>
        <w:trPr/>
        <w:tc>
          <w:tcPr>
            <w:tcW w:w="47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3" w:type="dxa"/>
            <w:tcBorders/>
            <w:vAlign w:val="center"/>
          </w:tcPr>
          <w:p>
            <w:pPr>
              <w:pStyle w:val="TableContents"/>
              <w:bidi w:val="0"/>
              <w:spacing w:before="0" w:after="283"/>
              <w:jc w:val="left"/>
              <w:rPr>
                <w:sz w:val="4"/>
                <w:szCs w:val="4"/>
              </w:rPr>
            </w:pPr>
            <w:r>
              <w:rPr>
                <w:sz w:val="4"/>
                <w:szCs w:val="4"/>
              </w:rPr>
            </w:r>
          </w:p>
        </w:tc>
      </w:tr>
      <w:tr>
        <w:trPr/>
        <w:tc>
          <w:tcPr>
            <w:tcW w:w="4791" w:type="dxa"/>
            <w:tcBorders/>
          </w:tcPr>
          <w:p>
            <w:pPr>
              <w:pStyle w:val="TableContents"/>
              <w:bidi w:val="0"/>
              <w:spacing w:before="0" w:after="283"/>
              <w:jc w:val="left"/>
              <w:rPr/>
            </w:pPr>
            <w:r>
              <w:rPr/>
              <w:t>GRANTEE</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pPr>
            <w:r>
              <w:rPr/>
              <w:t>BAKKT, INC.</w:t>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pBdr>
                <w:bottom w:val="single" w:sz="2" w:space="1" w:color="000000"/>
              </w:pBdr>
              <w:bidi w:val="0"/>
              <w:spacing w:before="0" w:after="20"/>
              <w:jc w:val="left"/>
              <w:rPr/>
            </w:pPr>
            <w:r>
              <w:rPr/>
              <w:t> </w:t>
            </w:r>
          </w:p>
        </w:tc>
      </w:tr>
      <w:tr>
        <w:trPr/>
        <w:tc>
          <w:tcPr>
            <w:tcW w:w="4791" w:type="dxa"/>
            <w:tcBorders/>
          </w:tcPr>
          <w:p>
            <w:pPr>
              <w:pStyle w:val="TableContents"/>
              <w:bidi w:val="0"/>
              <w:spacing w:before="0" w:after="283"/>
              <w:jc w:val="left"/>
              <w:rPr/>
            </w:pPr>
            <w:r>
              <w:rPr/>
              <w:t>Signature</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pPr>
            <w:r>
              <w:rPr/>
              <w:t>Signature</w:t>
            </w:r>
          </w:p>
        </w:tc>
      </w:tr>
      <w:tr>
        <w:trPr>
          <w:trHeight w:val="240" w:hRule="atLeast"/>
        </w:trPr>
        <w:tc>
          <w:tcPr>
            <w:tcW w:w="4791" w:type="dxa"/>
            <w:tcBorders/>
            <w:vAlign w:val="center"/>
          </w:tcPr>
          <w:p>
            <w:pPr>
              <w:pStyle w:val="TableContents"/>
              <w:bidi w:val="0"/>
              <w:spacing w:before="0" w:after="283"/>
              <w:jc w:val="left"/>
              <w:rPr>
                <w:sz w:val="4"/>
                <w:szCs w:val="4"/>
              </w:rPr>
            </w:pPr>
            <w:r>
              <w:rPr>
                <w:sz w:val="4"/>
                <w:szCs w:val="4"/>
              </w:rPr>
            </w:r>
          </w:p>
        </w:tc>
        <w:tc>
          <w:tcPr>
            <w:tcW w:w="741"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Akshay Naheta</w:t>
            </w:r>
          </w:p>
        </w:tc>
      </w:tr>
      <w:tr>
        <w:trPr/>
        <w:tc>
          <w:tcPr>
            <w:tcW w:w="4791" w:type="dxa"/>
            <w:tcBorders/>
          </w:tcPr>
          <w:p>
            <w:pPr>
              <w:pStyle w:val="TableContents"/>
              <w:bidi w:val="0"/>
              <w:spacing w:before="0" w:after="283"/>
              <w:jc w:val="left"/>
              <w:rPr/>
            </w:pPr>
            <w:r>
              <w:rPr/>
              <w:t>Print Name</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pPr>
            <w:r>
              <w:rPr/>
              <w:t>Print Name</w:t>
            </w:r>
          </w:p>
        </w:tc>
      </w:tr>
      <w:tr>
        <w:trPr>
          <w:trHeight w:val="240" w:hRule="atLeast"/>
        </w:trPr>
        <w:tc>
          <w:tcPr>
            <w:tcW w:w="4791" w:type="dxa"/>
            <w:tcBorders/>
            <w:vAlign w:val="center"/>
          </w:tcPr>
          <w:p>
            <w:pPr>
              <w:pStyle w:val="TableContents"/>
              <w:bidi w:val="0"/>
              <w:spacing w:before="0" w:after="283"/>
              <w:jc w:val="left"/>
              <w:rPr>
                <w:sz w:val="4"/>
                <w:szCs w:val="4"/>
              </w:rPr>
            </w:pPr>
            <w:r>
              <w:rPr>
                <w:sz w:val="4"/>
                <w:szCs w:val="4"/>
              </w:rPr>
            </w:r>
          </w:p>
        </w:tc>
        <w:tc>
          <w:tcPr>
            <w:tcW w:w="741"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7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Executive Officer</w:t>
            </w:r>
          </w:p>
        </w:tc>
      </w:tr>
      <w:tr>
        <w:trPr/>
        <w:tc>
          <w:tcPr>
            <w:tcW w:w="47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pPr>
            <w:r>
              <w:rPr/>
              <w:t>Title</w:t>
            </w:r>
          </w:p>
        </w:tc>
      </w:tr>
      <w:tr>
        <w:trPr>
          <w:trHeight w:val="240" w:hRule="atLeast"/>
        </w:trPr>
        <w:tc>
          <w:tcPr>
            <w:tcW w:w="4791" w:type="dxa"/>
            <w:tcBorders/>
            <w:vAlign w:val="center"/>
          </w:tcPr>
          <w:p>
            <w:pPr>
              <w:pStyle w:val="TableContents"/>
              <w:bidi w:val="0"/>
              <w:spacing w:before="0" w:after="283"/>
              <w:jc w:val="left"/>
              <w:rPr>
                <w:sz w:val="4"/>
                <w:szCs w:val="4"/>
              </w:rPr>
            </w:pPr>
            <w:r>
              <w:rPr>
                <w:sz w:val="4"/>
                <w:szCs w:val="4"/>
              </w:rPr>
            </w:r>
          </w:p>
        </w:tc>
        <w:tc>
          <w:tcPr>
            <w:tcW w:w="741" w:type="dxa"/>
            <w:gridSpan w:val="2"/>
            <w:tcBorders/>
            <w:vAlign w:val="center"/>
          </w:tcPr>
          <w:p>
            <w:pPr>
              <w:pStyle w:val="TableContents"/>
              <w:bidi w:val="0"/>
              <w:spacing w:before="0" w:after="283"/>
              <w:jc w:val="left"/>
              <w:rPr>
                <w:sz w:val="4"/>
                <w:szCs w:val="4"/>
              </w:rPr>
            </w:pPr>
            <w:r>
              <w:rPr>
                <w:sz w:val="4"/>
                <w:szCs w:val="4"/>
              </w:rPr>
            </w:r>
          </w:p>
        </w:tc>
        <w:tc>
          <w:tcPr>
            <w:tcW w:w="4673" w:type="dxa"/>
            <w:gridSpan w:val="2"/>
            <w:tcBorders/>
            <w:vAlign w:val="center"/>
          </w:tcPr>
          <w:p>
            <w:pPr>
              <w:pStyle w:val="TableContents"/>
              <w:bidi w:val="0"/>
              <w:spacing w:before="0" w:after="283"/>
              <w:jc w:val="left"/>
              <w:rPr>
                <w:sz w:val="4"/>
                <w:szCs w:val="4"/>
              </w:rPr>
            </w:pPr>
            <w:r>
              <w:rPr>
                <w:sz w:val="4"/>
                <w:szCs w:val="4"/>
              </w:rPr>
            </w:r>
          </w:p>
        </w:tc>
      </w:tr>
      <w:tr>
        <w:trPr/>
        <w:tc>
          <w:tcPr>
            <w:tcW w:w="4791" w:type="dxa"/>
            <w:tcBorders/>
          </w:tcPr>
          <w:p>
            <w:pPr>
              <w:pStyle w:val="TableContents"/>
              <w:bidi w:val="0"/>
              <w:spacing w:before="0" w:after="283"/>
              <w:jc w:val="left"/>
              <w:rPr/>
            </w:pPr>
            <w:r>
              <w:rPr/>
              <w:t>Grantee Residence Address:</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sz w:val="4"/>
                <w:szCs w:val="4"/>
              </w:rPr>
            </w:pPr>
            <w:r>
              <w:rPr>
                <w:sz w:val="4"/>
                <w:szCs w:val="4"/>
              </w:rPr>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sz w:val="4"/>
                <w:szCs w:val="4"/>
              </w:rPr>
            </w:pPr>
            <w:r>
              <w:rPr>
                <w:sz w:val="4"/>
                <w:szCs w:val="4"/>
              </w:rPr>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sz w:val="4"/>
                <w:szCs w:val="4"/>
              </w:rPr>
            </w:pPr>
            <w:r>
              <w:rPr>
                <w:sz w:val="4"/>
                <w:szCs w:val="4"/>
              </w:rPr>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sz w:val="4"/>
                <w:szCs w:val="4"/>
              </w:rPr>
            </w:pPr>
            <w:r>
              <w:rPr>
                <w:sz w:val="4"/>
                <w:szCs w:val="4"/>
              </w:rPr>
            </w:r>
          </w:p>
        </w:tc>
      </w:tr>
      <w:tr>
        <w:trPr/>
        <w:tc>
          <w:tcPr>
            <w:tcW w:w="4791"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6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3"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PERFORMANCE UNIT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AND CONDITIONS OF PERFORMANCE UNIT GRANT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PSUs</w:t>
      </w:r>
      <w:r>
        <w:rPr>
          <w:rFonts w:ascii="Times New Roman" w:hAnsi="Times New Roman"/>
          <w:sz w:val="20"/>
        </w:rPr>
        <w:t>. The Company hereby grants to the individual (“</w:t>
      </w:r>
      <w:r>
        <w:rPr>
          <w:rFonts w:ascii="Times New Roman" w:hAnsi="Times New Roman"/>
          <w:sz w:val="20"/>
          <w:u w:val="single"/>
        </w:rPr>
        <w:t>Grantee</w:t>
      </w:r>
      <w:r>
        <w:rPr>
          <w:rFonts w:ascii="Times New Roman" w:hAnsi="Times New Roman"/>
          <w:sz w:val="20"/>
        </w:rPr>
        <w:t>”) named in the Notice of Performance Unit Grant of this Award Agreement (the “</w:t>
      </w:r>
      <w:r>
        <w:rPr>
          <w:rFonts w:ascii="Times New Roman" w:hAnsi="Times New Roman"/>
          <w:sz w:val="20"/>
          <w:u w:val="single"/>
        </w:rPr>
        <w:t>Notice of Grant</w:t>
      </w:r>
      <w:r>
        <w:rPr>
          <w:rFonts w:ascii="Times New Roman" w:hAnsi="Times New Roman"/>
          <w:sz w:val="20"/>
        </w:rPr>
        <w:t xml:space="preserve">”) under the Plan an Award of PSUs, subject to the terms and conditions of this Award Agreement and the Plan, which is incorporated herein by reference. In the event of a conflict between the terms and conditions of the Plan and this Award Agreement, the terms and conditions of the Plan shall prevail.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Compan</w:t>
      </w:r>
      <w:r>
        <w:rPr>
          <w:rFonts w:ascii="Times New Roman" w:hAnsi="Times New Roman"/>
          <w:sz w:val="20"/>
        </w:rPr>
        <w:t>y</w:t>
      </w:r>
      <w:r>
        <w:rPr>
          <w:rFonts w:ascii="Times New Roman" w:hAnsi="Times New Roman"/>
          <w:sz w:val="20"/>
          <w:u w:val="single"/>
        </w:rPr>
        <w:t>’s Obli</w:t>
      </w:r>
      <w:r>
        <w:rPr>
          <w:rFonts w:ascii="Times New Roman" w:hAnsi="Times New Roman"/>
          <w:sz w:val="20"/>
        </w:rPr>
        <w:t>g</w:t>
      </w:r>
      <w:r>
        <w:rPr>
          <w:rFonts w:ascii="Times New Roman" w:hAnsi="Times New Roman"/>
          <w:sz w:val="20"/>
          <w:u w:val="single"/>
        </w:rPr>
        <w:t>ation to Pa</w:t>
      </w:r>
      <w:r>
        <w:rPr>
          <w:rFonts w:ascii="Times New Roman" w:hAnsi="Times New Roman"/>
          <w:sz w:val="20"/>
        </w:rPr>
        <w:t>y. Each PSU represents the right to receive a share of Company Class A Common Stock (a “</w:t>
      </w:r>
      <w:r>
        <w:rPr>
          <w:rFonts w:ascii="Times New Roman" w:hAnsi="Times New Roman"/>
          <w:sz w:val="20"/>
          <w:u w:val="single"/>
        </w:rPr>
        <w:t>Share</w:t>
      </w:r>
      <w:r>
        <w:rPr>
          <w:rFonts w:ascii="Times New Roman" w:hAnsi="Times New Roman"/>
          <w:sz w:val="20"/>
        </w:rPr>
        <w:t xml:space="preserve">”) on the date it vests. Unless and until a PSU has vested in the manner set forth in Section 3 or 4, Grantee will have no right to payment of any such PSU. Prior to actual payment of any vested PSUs, each such PSU will represent an unsecured obligation of the Company, payable (if at all) only from the general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w:t>
      </w:r>
      <w:r>
        <w:rPr>
          <w:rFonts w:ascii="Times New Roman" w:hAnsi="Times New Roman"/>
          <w:sz w:val="20"/>
        </w:rPr>
        <w:t xml:space="preserve">g </w:t>
      </w:r>
      <w:r>
        <w:rPr>
          <w:rFonts w:ascii="Times New Roman" w:hAnsi="Times New Roman"/>
          <w:sz w:val="20"/>
          <w:u w:val="single"/>
        </w:rPr>
        <w:t>Schedule</w:t>
      </w:r>
      <w:r>
        <w:rPr>
          <w:rFonts w:ascii="Times New Roman" w:hAnsi="Times New Roman"/>
          <w:sz w:val="20"/>
        </w:rPr>
        <w:t xml:space="preserve">.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in Employment from the Date of Grant until the date such vesting occurs.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after Vesting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Rule</w:t>
      </w:r>
      <w:r>
        <w:rPr>
          <w:rFonts w:ascii="Times New Roman" w:hAnsi="Times New Roman"/>
          <w:sz w:val="20"/>
        </w:rPr>
        <w:t xml:space="preserve">.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Discretionar</w:t>
      </w:r>
      <w:r>
        <w:rPr>
          <w:rFonts w:ascii="Times New Roman" w:hAnsi="Times New Roman"/>
          <w:sz w:val="20"/>
        </w:rPr>
        <w:t>y</w:t>
      </w:r>
      <w:r>
        <w:rPr>
          <w:rFonts w:ascii="Times New Roman" w:hAnsi="Times New Roman"/>
          <w:sz w:val="20"/>
          <w:u w:val="single"/>
        </w:rPr>
        <w:t xml:space="preserve"> Acceleration</w:t>
      </w:r>
      <w:r>
        <w:rPr>
          <w:rFonts w:ascii="Times New Roman" w:hAnsi="Times New Roman"/>
          <w:sz w:val="20"/>
        </w:rPr>
        <w:t xml:space="preserve">. The Committee, in its discretion, may accelerate the vesting of the balance, or some lesser portion of the balance, of the unvested PSUs at any time, subject to the terms of the Plan. If so accelerated, such PSUs will be considered as having vested as of the date specified by the Committee.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Employment (provided that such termination is a “separation from service” within the meaning of Section 409A, as determined by the Committee), other than due to Grantee’s death, and if (x) Grantee is a U.S. taxpayer and a “specified employee” within the meaning of Section 409A at the time of such termination of Employment and (y) the payment of such accelerated PSUs will result in the imposition of additional tax under Section 409A if paid to Grantee on or within the six (6) month period following the cessation of Grantee’s Employment, then the payment of such accelerated PSUs will not be made until the date six (6) months and one (1) day following the date of cessation of Grantee’s Employment, unless Grantee dies following his or her termination of Employment, in which case, the PSUs will be paid in Shares to Grantee’s estate as soon as practicable following his or her death. </w:t>
      </w:r>
    </w:p>
    <w:p>
      <w:pPr>
        <w:pStyle w:val="TextBody"/>
        <w:bidi w:val="0"/>
        <w:spacing w:before="240" w:after="0"/>
        <w:jc w:val="left"/>
        <w:rPr>
          <w:rFonts w:ascii="Times New Roman" w:hAnsi="Times New Roman"/>
          <w:sz w:val="20"/>
        </w:rPr>
      </w:pPr>
      <w:r>
        <w:rPr>
          <w:rFonts w:ascii="Times New Roman" w:hAnsi="Times New Roman"/>
          <w:sz w:val="20"/>
        </w:rPr>
        <w:t xml:space="preserve">(iii) 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Forfeiture Upon Termination of Employment</w:t>
      </w:r>
      <w:r>
        <w:rPr>
          <w:rFonts w:ascii="Times New Roman" w:hAnsi="Times New Roman"/>
          <w:sz w:val="20"/>
        </w:rPr>
        <w:t xml:space="preserve">. Unless specifically provided otherwise in the Plan (including Section 3.6 thereof), this Award Agreement or other written agreement authorized by the Committee between Grantee and the Company or any of its Subsidiaries, as applicable, governing the terms of this Award, if Grantee’s Employment is terminated for any or no reason, the then-unvested PSUs awarded by this Award Agreement will thereupon be forfeited at no cost to the Company and Grantee will have no further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Death of Grantee</w:t>
      </w:r>
      <w:r>
        <w:rPr>
          <w:rFonts w:ascii="Times New Roman" w:hAnsi="Times New Roman"/>
          <w:sz w:val="20"/>
        </w:rPr>
        <w:t xml:space="preserve">.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Responsibili</w:t>
      </w:r>
      <w:r>
        <w:rPr>
          <w:rFonts w:ascii="Times New Roman" w:hAnsi="Times New Roman"/>
          <w:sz w:val="20"/>
        </w:rPr>
        <w:t>t</w:t>
      </w:r>
      <w:r>
        <w:rPr>
          <w:rFonts w:ascii="Times New Roman" w:hAnsi="Times New Roman"/>
          <w:sz w:val="20"/>
          <w:u w:val="single"/>
        </w:rPr>
        <w:t>y for Taxes</w:t>
      </w:r>
      <w:r>
        <w:rPr>
          <w:rFonts w:ascii="Times New Roman" w:hAnsi="Times New Roman"/>
          <w:sz w:val="20"/>
        </w:rPr>
        <w:t>. Grantee acknowledges that, regardless of any action taken by the Company or, if different, Grantee’s employer or any parent or Subsidiary of the Company to which Grantee is providing services (together, the “</w:t>
      </w:r>
      <w:r>
        <w:rPr>
          <w:rFonts w:ascii="Times New Roman" w:hAnsi="Times New Roman"/>
          <w:sz w:val="20"/>
          <w:u w:val="single"/>
        </w:rPr>
        <w:t>Service Recipients</w:t>
      </w:r>
      <w:r>
        <w:rPr>
          <w:rFonts w:ascii="Times New Roman" w:hAnsi="Times New Roman"/>
          <w:sz w:val="20"/>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Times New Roman" w:hAnsi="Times New Roman"/>
          <w:sz w:val="20"/>
          <w:u w:val="single"/>
        </w:rPr>
        <w:t>Tax Obli</w:t>
      </w:r>
      <w:r>
        <w:rPr>
          <w:rFonts w:ascii="Times New Roman" w:hAnsi="Times New Roman"/>
          <w:sz w:val="20"/>
        </w:rPr>
        <w:t>g</w:t>
      </w:r>
      <w:r>
        <w:rPr>
          <w:rFonts w:ascii="Times New Roman" w:hAnsi="Times New Roman"/>
          <w:sz w:val="20"/>
          <w:u w:val="single"/>
        </w:rPr>
        <w:t>ations</w:t>
      </w:r>
      <w:r>
        <w:rPr>
          <w:rFonts w:ascii="Times New Roman" w:hAnsi="Times New Roman"/>
          <w:sz w:val="20"/>
        </w:rPr>
        <w:t xml:space="preserve">”),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 (B) 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Withholdin</w:t>
      </w:r>
      <w:r>
        <w:rPr>
          <w:rFonts w:ascii="Times New Roman" w:hAnsi="Times New Roman"/>
          <w:sz w:val="20"/>
        </w:rPr>
        <w:t>g. Pursuant to such procedures as the Committee may specify from time to time, the applicable Service Recipient(s) will withhold the amount required to be withheld for the payment of Tax Obligations (the “</w:t>
      </w:r>
      <w:r>
        <w:rPr>
          <w:rFonts w:ascii="Times New Roman" w:hAnsi="Times New Roman"/>
          <w:sz w:val="20"/>
          <w:u w:val="single"/>
        </w:rPr>
        <w:t>Withholding Obligations</w:t>
      </w:r>
      <w:r>
        <w:rPr>
          <w:rFonts w:ascii="Times New Roman" w:hAnsi="Times New Roman"/>
          <w:sz w:val="20"/>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Net Share Withholdin</w:t>
      </w:r>
      <w:r>
        <w:rPr>
          <w:rFonts w:ascii="Times New Roman" w:hAnsi="Times New Roman"/>
          <w:sz w:val="20"/>
        </w:rPr>
        <w:t xml:space="preserve">g”),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Sell to Cover</w:t>
      </w:r>
      <w:r>
        <w:rPr>
          <w:rFonts w:ascii="Times New Roman" w:hAnsi="Times New Roman"/>
          <w:sz w:val="20"/>
        </w:rPr>
        <w:t xml:space="preserve">”), or (vi) such other means as the Committee deems appropriate. If the Withholding Obligations are satisfied by withholding in Shares, for tax 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Consequences</w:t>
      </w:r>
      <w:r>
        <w:rPr>
          <w:rFonts w:ascii="Times New Roman" w:hAnsi="Times New Roman"/>
          <w:sz w:val="20"/>
        </w:rPr>
        <w:t xml:space="preserve">.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w:t>
      </w:r>
      <w:r>
        <w:rPr>
          <w:rFonts w:ascii="Times New Roman" w:hAnsi="Times New Roman"/>
          <w:sz w:val="20"/>
        </w:rPr>
        <w:t>y</w:t>
      </w:r>
      <w:r>
        <w:rPr>
          <w:rFonts w:ascii="Times New Roman" w:hAnsi="Times New Roman"/>
          <w:sz w:val="20"/>
          <w:u w:val="single"/>
        </w:rPr>
        <w:t>’s Obli</w:t>
      </w:r>
      <w:r>
        <w:rPr>
          <w:rFonts w:ascii="Times New Roman" w:hAnsi="Times New Roman"/>
          <w:sz w:val="20"/>
        </w:rPr>
        <w:t>g</w:t>
      </w:r>
      <w:r>
        <w:rPr>
          <w:rFonts w:ascii="Times New Roman" w:hAnsi="Times New Roman"/>
          <w:sz w:val="20"/>
          <w:u w:val="single"/>
        </w:rPr>
        <w:t>ation to Deliver Shares</w:t>
      </w:r>
      <w:r>
        <w:rPr>
          <w:rFonts w:ascii="Times New Roman" w:hAnsi="Times New Roman"/>
          <w:sz w:val="20"/>
        </w:rPr>
        <w:t xml:space="preserve">.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Ri</w:t>
      </w:r>
      <w:r>
        <w:rPr>
          <w:rFonts w:ascii="Times New Roman" w:hAnsi="Times New Roman"/>
          <w:sz w:val="20"/>
        </w:rPr>
        <w:t>g</w:t>
      </w:r>
      <w:r>
        <w:rPr>
          <w:rFonts w:ascii="Times New Roman" w:hAnsi="Times New Roman"/>
          <w:sz w:val="20"/>
          <w:u w:val="single"/>
        </w:rPr>
        <w:t>hts as Stockholder</w:t>
      </w:r>
      <w:r>
        <w:rPr>
          <w:rFonts w:ascii="Times New Roman" w:hAnsi="Times New Roman"/>
          <w:sz w:val="20"/>
        </w:rPr>
        <w:t xml:space="preserve">.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Guarantee of Continued Service</w:t>
      </w:r>
      <w:r>
        <w:rPr>
          <w:rFonts w:ascii="Times New Roman" w:hAnsi="Times New Roman"/>
          <w:sz w:val="20"/>
        </w:rPr>
        <w:t xml:space="preserve">. Grantee acknowledges and agrees that the vesting of the PSUs pursuant to the vesting schedule hereof is earned only by continuing in Employment through the applicable vesting dates, which unless provided otherwise under applicable law, is at the will of the applicable Service Recipient and not through the act of being hired, being granted this PSU award, or acquiring Shares hereunder. Grantee further acknowledges and agrees that this Award Agreement, the transactions contemplated hereunder, and the vesting schedule set forth herein do not constitute an express or implied promise of continued Employment for the vesting period, for any period, or at all, and shall not interfere in any way with Grantee’s right or the right of any Service Recipient to terminate Grantee’s Employment, subject to applicable law, which termination, unless provided otherwise under applicable law or written agreement between Grantee and the Service Recipient, may be at any time,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Grant is Not Transferable</w:t>
      </w:r>
      <w:r>
        <w:rPr>
          <w:rFonts w:ascii="Times New Roman" w:hAnsi="Times New Roman"/>
          <w:sz w:val="20"/>
        </w:rPr>
        <w:t xml:space="preserve">.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Nature of Grant</w:t>
      </w:r>
      <w:r>
        <w:rPr>
          <w:rFonts w:ascii="Times New Roman" w:hAnsi="Times New Roman"/>
          <w:sz w:val="20"/>
        </w:rPr>
        <w:t xml:space="preserve">. In accepting this Award of PSUs, Grantee acknowledges, understands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the grant of the PSUs is voluntary and occasional and does not create any contractual or other right to receive future grants of PSUs, or benefits in lieu of PSUs, even if PSUs have been granted in the past; </w:t>
      </w:r>
    </w:p>
    <w:p>
      <w:pPr>
        <w:pStyle w:val="TextBody"/>
        <w:bidi w:val="0"/>
        <w:spacing w:before="240" w:after="0"/>
        <w:jc w:val="left"/>
        <w:rPr>
          <w:rFonts w:ascii="Times New Roman" w:hAnsi="Times New Roman"/>
          <w:sz w:val="20"/>
        </w:rPr>
      </w:pPr>
      <w:r>
        <w:rPr>
          <w:rFonts w:ascii="Times New Roman" w:hAnsi="Times New Roman"/>
          <w:sz w:val="20"/>
        </w:rPr>
        <w:t xml:space="preserve">(b) all decisions with respect to future PSUs or other grants, if any, will be at the sole discretion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Grantee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(d) the PSUs and the Shares subject to the PSUs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(e) 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(f) the future value of the Shares underlying the PSUs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the PSUs, Grantee’s Employment will be considered terminated as of the date Grantee is no longer actively providing services to the Company or any Subsidiary (regardless of the reason for such termination and whether or not later found to be invalid or in breach of employment laws in the jurisdiction where Grantee is in Employment or the terms of Grantee’s employment or service agreement, if any), and unless otherwise expressly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this Award Agreement (including by reference in the Notice of Grant to other arrangements or contracts) or determined by the Committee, Grantee’s right to vest in the PSUs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in Employment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Employment cease before the PSUs have fully vested (e.g., if Grantee’s Employment ceases on March 1 before all of the PSUs have vested, Grantee shall not be entitled to any vesting of the PSUs that were scheduled to vest on the immediately following vesting date of March 10); </w:t>
      </w:r>
    </w:p>
    <w:p>
      <w:pPr>
        <w:pStyle w:val="TextBody"/>
        <w:bidi w:val="0"/>
        <w:spacing w:before="240" w:after="0"/>
        <w:jc w:val="left"/>
        <w:rPr>
          <w:rFonts w:ascii="Times New Roman" w:hAnsi="Times New Roman"/>
          <w:sz w:val="20"/>
        </w:rPr>
      </w:pPr>
      <w:r>
        <w:rPr>
          <w:rFonts w:ascii="Times New Roman" w:hAnsi="Times New Roman"/>
          <w:sz w:val="20"/>
        </w:rPr>
        <w:t xml:space="preserve">(h) unless otherwise provided in the Plan (including Section 3.6 thereof, under which outstanding PSUs are deemed earned at the greater of target and actual performance upon a Change in Control)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 </w:t>
      </w:r>
    </w:p>
    <w:p>
      <w:pPr>
        <w:pStyle w:val="TextBody"/>
        <w:bidi w:val="0"/>
        <w:spacing w:before="240" w:after="0"/>
        <w:jc w:val="left"/>
        <w:rPr>
          <w:rFonts w:ascii="Times New Roman" w:hAnsi="Times New Roman"/>
          <w:sz w:val="20"/>
        </w:rPr>
      </w:pPr>
      <w:r>
        <w:rPr>
          <w:rFonts w:ascii="Times New Roman" w:hAnsi="Times New Roman"/>
          <w:sz w:val="20"/>
        </w:rPr>
        <w:t xml:space="preserve">(i) the following provisions apply only if Grantee is providing services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 the PSUs and the Shares subject to the PSUs are not part of normal or expected compensation or salary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(ii) 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 </w:t>
      </w:r>
    </w:p>
    <w:p>
      <w:pPr>
        <w:pStyle w:val="TextBody"/>
        <w:bidi w:val="0"/>
        <w:spacing w:before="240" w:after="0"/>
        <w:jc w:val="left"/>
        <w:rPr>
          <w:rFonts w:ascii="Times New Roman" w:hAnsi="Times New Roman"/>
          <w:sz w:val="20"/>
        </w:rPr>
      </w:pPr>
      <w:r>
        <w:rPr>
          <w:rFonts w:ascii="Times New Roman" w:hAnsi="Times New Roman"/>
          <w:sz w:val="20"/>
        </w:rPr>
        <w:t xml:space="preserve">(iii) no claim or entitlement to compensation or damages shall arise from forfeiture of the PSUs resulting from the termination of Grantee’s Employment (for any reason whatsoever whether or not later found to be invalid or in breach of employment laws in the jurisdiction where Grantee is in Employment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Advice Regarding Grant</w:t>
      </w:r>
      <w:r>
        <w:rPr>
          <w:rFonts w:ascii="Times New Roman" w:hAnsi="Times New Roman"/>
          <w:sz w:val="20"/>
        </w:rPr>
        <w:t xml:space="preserve">. The Company is not providing any tax, legal or financial advice, nor is the Company making any recommendations regarding Grantee’s participation in the Plan, or Grantee’s acquisition or sale of the Shares underlying the PSUs. Grantee is hereby advised to consult with his or her own personal tax, legal and financial advisers regarding his or her participation in the Plan before taking any action related to the Plan.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Data Privac</w:t>
      </w:r>
      <w:r>
        <w:rPr>
          <w:rFonts w:ascii="Times New Roman" w:hAnsi="Times New Roman"/>
          <w:sz w:val="20"/>
        </w:rPr>
        <w:t xml:space="preserve">y. Grantee hereby explicitly and unambiguously consents to the collection, use and transfer, in electronic or other form, of Grantee’s personal data as described in this Award Agreement and any other PSU grant materials by and among, as applicable, the Service Recipients for the exclusive purpose of implementing, administering and managing Grantee’s participation in the Plan. </w:t>
      </w:r>
    </w:p>
    <w:p>
      <w:pPr>
        <w:pStyle w:val="TextBody"/>
        <w:bidi w:val="0"/>
        <w:spacing w:before="240" w:after="0"/>
        <w:jc w:val="left"/>
        <w:rPr>
          <w:rFonts w:ascii="Times New Roman" w:hAnsi="Times New Roman"/>
          <w:sz w:val="20"/>
        </w:rPr>
      </w:pPr>
      <w:r>
        <w:rPr>
          <w:rFonts w:ascii="Times New Roman" w:hAnsi="Times New Roman"/>
          <w:sz w:val="20"/>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Times New Roman" w:hAnsi="Times New Roman"/>
          <w:sz w:val="20"/>
          <w:u w:val="single"/>
        </w:rPr>
        <w:t>Data</w:t>
      </w:r>
      <w:r>
        <w:rPr>
          <w:rFonts w:ascii="Times New Roman" w:hAnsi="Times New Roman"/>
          <w:sz w:val="20"/>
        </w:rPr>
        <w:t xml:space="preserve">”), for the exclusive purpose of implementing, administering and managing the Plan. </w:t>
      </w:r>
    </w:p>
    <w:p>
      <w:pPr>
        <w:pStyle w:val="TextBody"/>
        <w:bidi w:val="0"/>
        <w:spacing w:before="240" w:after="0"/>
        <w:jc w:val="left"/>
        <w:rPr>
          <w:rFonts w:ascii="Times New Roman" w:hAnsi="Times New Roman"/>
          <w:sz w:val="20"/>
        </w:rPr>
      </w:pPr>
      <w:r>
        <w:rPr>
          <w:rFonts w:ascii="Times New Roman" w:hAnsi="Times New Roman"/>
          <w:sz w:val="20"/>
        </w:rPr>
        <w:t xml:space="preserve">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Award Agreement will be addressed to the Company at Bakkt, Inc., 3280 Peachtree Road NE, 7th Floor, Atlanta, GA 30305, or at such other address as the Company may hereafter designate in writing.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w:t>
      </w:r>
      <w:r>
        <w:rPr>
          <w:rFonts w:ascii="Times New Roman" w:hAnsi="Times New Roman"/>
          <w:sz w:val="20"/>
        </w:rPr>
        <w:t>g</w:t>
      </w:r>
      <w:r>
        <w:rPr>
          <w:rFonts w:ascii="Times New Roman" w:hAnsi="Times New Roman"/>
          <w:sz w:val="20"/>
          <w:u w:val="single"/>
        </w:rPr>
        <w:t>ns</w:t>
      </w:r>
      <w:r>
        <w:rPr>
          <w:rFonts w:ascii="Times New Roman" w:hAnsi="Times New Roman"/>
          <w:sz w:val="20"/>
        </w:rPr>
        <w:t xml:space="preserve">.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Additional Conditions to Issuance of Stock</w:t>
      </w:r>
      <w:r>
        <w:rPr>
          <w:rFonts w:ascii="Times New Roman" w:hAnsi="Times New Roman"/>
          <w:sz w:val="20"/>
        </w:rPr>
        <w:t xml:space="preserve">. If at any time the Company determines,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Language</w:t>
      </w:r>
      <w:r>
        <w:rPr>
          <w:rFonts w:ascii="Times New Roman" w:hAnsi="Times New Roman"/>
          <w:sz w:val="20"/>
        </w:rPr>
        <w:t xml:space="preserve">. If Grantee has received this Award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Interpretation</w:t>
      </w:r>
      <w:r>
        <w:rPr>
          <w:rFonts w:ascii="Times New Roman" w:hAnsi="Times New Roman"/>
          <w:sz w:val="20"/>
        </w:rPr>
        <w:t xml:space="preserve">.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Electronic Deliver</w:t>
      </w:r>
      <w:r>
        <w:rPr>
          <w:rFonts w:ascii="Times New Roman" w:hAnsi="Times New Roman"/>
          <w:sz w:val="20"/>
        </w:rPr>
        <w:t>y</w:t>
      </w:r>
      <w:r>
        <w:rPr>
          <w:rFonts w:ascii="Times New Roman" w:hAnsi="Times New Roman"/>
          <w:sz w:val="20"/>
          <w:u w:val="single"/>
        </w:rPr>
        <w:t xml:space="preserve"> and Acceptance</w:t>
      </w:r>
      <w:r>
        <w:rPr>
          <w:rFonts w:ascii="Times New Roman" w:hAnsi="Times New Roman"/>
          <w:sz w:val="20"/>
        </w:rPr>
        <w:t xml:space="preserve">. The Company may, in its sole discretion, decide to deliver any documents related to the PSUs awarded under the Plan or future PSUs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Captions</w:t>
      </w:r>
      <w:r>
        <w:rPr>
          <w:rFonts w:ascii="Times New Roman" w:hAnsi="Times New Roman"/>
          <w:sz w:val="20"/>
        </w:rPr>
        <w:t xml:space="preserve">. Captions provided herein are for convenience only and are not to serve as a basis for interpretation or construction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Amendment, Suspension or Termination of the Plan</w:t>
      </w:r>
      <w:r>
        <w:rPr>
          <w:rFonts w:ascii="Times New Roman" w:hAnsi="Times New Roman"/>
          <w:sz w:val="20"/>
        </w:rPr>
        <w:t xml:space="preserve">. By accepting this Award, Grantee expressly warrants that he or she has received an Award of PSUs under the Plan, and has received, read and understood a description of the Plan. Grantee understands that the Plan is discretionary in nature and may be amended, suspended or terminated by the Committee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Countr</w:t>
      </w:r>
      <w:r>
        <w:rPr>
          <w:rFonts w:ascii="Times New Roman" w:hAnsi="Times New Roman"/>
          <w:sz w:val="20"/>
        </w:rPr>
        <w:t>y</w:t>
      </w:r>
      <w:r>
        <w:rPr>
          <w:rFonts w:ascii="Times New Roman" w:hAnsi="Times New Roman"/>
          <w:sz w:val="20"/>
          <w:u w:val="single"/>
        </w:rPr>
        <w:t xml:space="preserve"> Addendum</w:t>
      </w:r>
      <w:r>
        <w:rPr>
          <w:rFonts w:ascii="Times New Roman" w:hAnsi="Times New Roman"/>
          <w:sz w:val="20"/>
        </w:rPr>
        <w:t>. Notwithstanding any provisions in this Award Agreement, the PSU grant shall be subject to any special terms and conditions set forth in an appendix (if any) to this Award Agreement for any country whose laws are applicable to Grantee and this Award of PSUs (as determined by the Committee in its sole discretion) (the “</w:t>
      </w:r>
      <w:r>
        <w:rPr>
          <w:rFonts w:ascii="Times New Roman" w:hAnsi="Times New Roman"/>
          <w:sz w:val="20"/>
          <w:u w:val="single"/>
        </w:rPr>
        <w:t>Countr</w:t>
      </w:r>
      <w:r>
        <w:rPr>
          <w:rFonts w:ascii="Times New Roman" w:hAnsi="Times New Roman"/>
          <w:sz w:val="20"/>
        </w:rPr>
        <w:t>y</w:t>
      </w:r>
      <w:r>
        <w:rPr>
          <w:rFonts w:ascii="Times New Roman" w:hAnsi="Times New Roman"/>
          <w:sz w:val="20"/>
          <w:u w:val="single"/>
        </w:rPr>
        <w:t xml:space="preserve"> Addendum</w:t>
      </w:r>
      <w:r>
        <w:rPr>
          <w:rFonts w:ascii="Times New Roman" w:hAnsi="Times New Roman"/>
          <w:sz w:val="20"/>
        </w:rPr>
        <w:t xml:space="preserve">”).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Modifications to the Award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 Waiver</w:t>
      </w:r>
      <w:r>
        <w:rPr>
          <w:rFonts w:ascii="Times New Roman" w:hAnsi="Times New Roman"/>
          <w:sz w:val="20"/>
        </w:rPr>
        <w:t xml:space="preserve">.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Governing Law; Severabilit</w:t>
      </w:r>
      <w:r>
        <w:rPr>
          <w:rFonts w:ascii="Times New Roman" w:hAnsi="Times New Roman"/>
          <w:sz w:val="20"/>
        </w:rPr>
        <w:t xml:space="preserve">y.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Entire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PERFORMANCE VESTING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11" w:name="d171896dex104.htm"/>
      <w:bookmarkStart w:id="12" w:name="ksd171896dex104"/>
      <w:bookmarkEnd w:id="11"/>
      <w:bookmarkEnd w:id="12"/>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BAKKT, INC. </w:t>
      </w:r>
    </w:p>
    <w:p>
      <w:pPr>
        <w:pStyle w:val="TextBody"/>
        <w:bidi w:val="0"/>
        <w:spacing w:before="240" w:after="0"/>
        <w:jc w:val="center"/>
        <w:rPr>
          <w:rFonts w:ascii="Times New Roman" w:hAnsi="Times New Roman"/>
          <w:sz w:val="20"/>
        </w:rPr>
      </w:pPr>
      <w:r>
        <w:rPr>
          <w:rFonts w:ascii="Times New Roman" w:hAnsi="Times New Roman"/>
          <w:sz w:val="20"/>
        </w:rPr>
        <w:t xml:space="preserve">2026 INDUCEMENT PLAN </w:t>
      </w:r>
    </w:p>
    <w:p>
      <w:pPr>
        <w:pStyle w:val="TextBody"/>
        <w:bidi w:val="0"/>
        <w:spacing w:before="240" w:after="0"/>
        <w:jc w:val="center"/>
        <w:rPr>
          <w:rFonts w:ascii="Times New Roman" w:hAnsi="Times New Roman"/>
          <w:sz w:val="20"/>
        </w:rPr>
      </w:pPr>
      <w:r>
        <w:rPr>
          <w:rFonts w:ascii="Times New Roman" w:hAnsi="Times New Roman"/>
          <w:sz w:val="20"/>
        </w:rPr>
        <w:t xml:space="preserve">STOCK OPTION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NOTICE OF STOCK OPTION GRANT </w:t>
      </w:r>
    </w:p>
    <w:p>
      <w:pPr>
        <w:pStyle w:val="TextBody"/>
        <w:bidi w:val="0"/>
        <w:spacing w:before="240" w:after="0"/>
        <w:jc w:val="left"/>
        <w:rPr>
          <w:rFonts w:ascii="Times New Roman" w:hAnsi="Times New Roman"/>
          <w:sz w:val="20"/>
        </w:rPr>
      </w:pPr>
      <w:r>
        <w:rPr>
          <w:rFonts w:ascii="Times New Roman" w:hAnsi="Times New Roman"/>
          <w:sz w:val="20"/>
        </w:rPr>
        <w:t>Unless otherwise defined herein, the terms defined in the Bakkt, Inc. 2026 Inducement Plan (the “</w:t>
      </w:r>
      <w:r>
        <w:rPr>
          <w:rFonts w:ascii="Times New Roman" w:hAnsi="Times New Roman"/>
          <w:sz w:val="20"/>
          <w:u w:val="single"/>
        </w:rPr>
        <w:t>Plan</w:t>
      </w:r>
      <w:r>
        <w:rPr>
          <w:rFonts w:ascii="Times New Roman" w:hAnsi="Times New Roman"/>
          <w:sz w:val="20"/>
        </w:rPr>
        <w:t>”) will have the same meanings in this Stock Option Agreement which includes the Notice of Stock Option Grant (the “</w:t>
      </w:r>
      <w:r>
        <w:rPr>
          <w:rFonts w:ascii="Times New Roman" w:hAnsi="Times New Roman"/>
          <w:sz w:val="20"/>
          <w:u w:val="single"/>
        </w:rPr>
        <w:t>Notice of Grant</w:t>
      </w:r>
      <w:r>
        <w:rPr>
          <w:rFonts w:ascii="Times New Roman" w:hAnsi="Times New Roman"/>
          <w:sz w:val="20"/>
        </w:rPr>
        <w:t xml:space="preserve">”), the Terms and Conditions of Stock Option Grant, attached hereto as </w:t>
      </w:r>
      <w:r>
        <w:rPr>
          <w:rFonts w:ascii="Times New Roman" w:hAnsi="Times New Roman"/>
          <w:sz w:val="20"/>
          <w:u w:val="single"/>
        </w:rPr>
        <w:t>Exhibit A</w:t>
      </w:r>
      <w:r>
        <w:rPr>
          <w:rFonts w:ascii="Times New Roman" w:hAnsi="Times New Roman"/>
          <w:sz w:val="20"/>
        </w:rPr>
        <w:t>, and all other exhibits, appendices, and addenda attached hereto (the “</w:t>
      </w:r>
      <w:r>
        <w:rPr>
          <w:rFonts w:ascii="Times New Roman" w:hAnsi="Times New Roman"/>
          <w:sz w:val="20"/>
          <w:u w:val="single"/>
        </w:rPr>
        <w:t>Award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Award is granted by the Committee as a material inducement to Grantee’s entering into Employment with the Company or its Subsidiaries pursuant to the Inducement Rules, including Section 303A.08 of the NYSE Listed Company Manual, and is intended to constitute an employment inducement award exempt from the stockholder approval requirements thereof; this Award Agreement shall be interpreted accordingly. By accepting this Award, Grantee represents that Grantee is an Eligible Individual and has not previously been an employee or director of the Company or any Subsidiary (or, if previously employed, has had a bona fide period of interruption of employment), and acknowledges that the Award is an inducement material to Grantee’s entering into Employment with the Company or its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Grantee Name: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&lt;&lt;Grantee&gt;&gt;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undersigned Grantee has been granted an Award of Options, subject to the terms and conditions of the Plan and this Award Agreement, as follows:</w:t>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Subject to Option:</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 Number&gt;&gt;</w:t>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Option Exercise Price per Share: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&lt;&lt;Exercise Price&gt;&gt;</w:t>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Date of Grant:</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&lt;&lt;Date of Grant&gt;&gt;</w:t>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Vesting Commencement Date: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&lt;&lt;Vesting Commencement Date&gt;&gt;</w:t>
            </w:r>
          </w:p>
        </w:tc>
      </w:tr>
      <w:tr>
        <w:trPr>
          <w:trHeight w:val="240" w:hRule="atLeast"/>
        </w:trPr>
        <w:tc>
          <w:tcPr>
            <w:tcW w:w="518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0"/>
              <w:jc w:val="left"/>
              <w:rPr>
                <w:rFonts w:ascii="Times New Roman" w:hAnsi="Times New Roman"/>
                <w:sz w:val="20"/>
              </w:rPr>
            </w:pPr>
            <w:r>
              <w:rPr>
                <w:rFonts w:ascii="Times New Roman" w:hAnsi="Times New Roman"/>
                <w:sz w:val="20"/>
              </w:rPr>
              <w:t>Expiration Date:</w:t>
            </w:r>
          </w:p>
        </w:tc>
        <w:tc>
          <w:tcPr>
            <w:tcW w:w="120" w:type="dxa"/>
            <w:tcBorders/>
            <w:vAlign w:val="bottom"/>
          </w:tcPr>
          <w:p>
            <w:pPr>
              <w:pStyle w:val="TableContents"/>
              <w:bidi w:val="0"/>
              <w:spacing w:before="0" w:after="283"/>
              <w:jc w:val="left"/>
              <w:rPr/>
            </w:pPr>
            <w:r>
              <w:rPr/>
              <w:t>  </w:t>
            </w:r>
          </w:p>
        </w:tc>
        <w:tc>
          <w:tcPr>
            <w:tcW w:w="49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&lt;&lt;Expiration Date&gt;&gt;</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Vesting and Exercisability Schedule: </w:t>
      </w:r>
    </w:p>
    <w:p>
      <w:pPr>
        <w:pStyle w:val="TextBody"/>
        <w:bidi w:val="0"/>
        <w:spacing w:before="120" w:after="0"/>
        <w:jc w:val="left"/>
        <w:rPr>
          <w:rFonts w:ascii="Times New Roman" w:hAnsi="Times New Roman"/>
          <w:sz w:val="20"/>
        </w:rPr>
      </w:pPr>
      <w:r>
        <w:rPr>
          <w:rFonts w:ascii="Times New Roman" w:hAnsi="Times New Roman"/>
          <w:sz w:val="20"/>
        </w:rPr>
        <w:t xml:space="preserve">Vesting Date(s): This Award shall vest and become exercisable on the date(s) set forth on </w:t>
      </w:r>
      <w:r>
        <w:rPr>
          <w:rFonts w:ascii="Times New Roman" w:hAnsi="Times New Roman"/>
          <w:sz w:val="20"/>
          <w:u w:val="single"/>
        </w:rPr>
        <w:t>Exhibit B</w:t>
      </w:r>
      <w:r>
        <w:rPr>
          <w:rFonts w:ascii="Times New Roman" w:hAnsi="Times New Roman"/>
          <w:sz w:val="20"/>
        </w:rPr>
        <w:t xml:space="preserve">, subject to the satisfaction of the terms and conditions described in the exhibits (including all schedules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By Grantee’s signature and the signature of the representative of the Company below, Grantee and the Company agree that this Award of Options is granted under and governed by the terms and conditions of the Plan and this Award Agreement, including the Terms and Conditions of Stock Option Grant attached hereto as </w:t>
      </w:r>
      <w:r>
        <w:rPr>
          <w:rFonts w:ascii="Times New Roman" w:hAnsi="Times New Roman"/>
          <w:sz w:val="20"/>
          <w:u w:val="single"/>
        </w:rPr>
        <w:t>Exhibit A</w:t>
      </w:r>
      <w:r>
        <w:rPr>
          <w:rFonts w:ascii="Times New Roman" w:hAnsi="Times New Roman"/>
          <w:sz w:val="20"/>
        </w:rPr>
        <w:t xml:space="preserve">,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7"/>
        <w:gridCol w:w="121"/>
        <w:gridCol w:w="4897"/>
      </w:tblGrid>
      <w:tr>
        <w:trPr/>
        <w:tc>
          <w:tcPr>
            <w:tcW w:w="518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GRANTEE</w:t>
            </w:r>
          </w:p>
        </w:tc>
        <w:tc>
          <w:tcPr>
            <w:tcW w:w="121" w:type="dxa"/>
            <w:tcBorders/>
            <w:vAlign w:val="bottom"/>
          </w:tcPr>
          <w:p>
            <w:pPr>
              <w:pStyle w:val="TableContents"/>
              <w:bidi w:val="0"/>
              <w:spacing w:before="0" w:after="283"/>
              <w:jc w:val="left"/>
              <w:rPr/>
            </w:pPr>
            <w:r>
              <w:rPr/>
              <w:t>  </w:t>
            </w:r>
          </w:p>
        </w:tc>
        <w:tc>
          <w:tcPr>
            <w:tcW w:w="48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BAKKT, INC.</w:t>
            </w:r>
          </w:p>
        </w:tc>
      </w:tr>
      <w:tr>
        <w:trPr/>
        <w:tc>
          <w:tcPr>
            <w:tcW w:w="5187" w:type="dxa"/>
            <w:tcBorders/>
          </w:tcPr>
          <w:p>
            <w:pPr>
              <w:pStyle w:val="TableContents"/>
              <w:bidi w:val="0"/>
              <w:spacing w:before="0" w:after="283"/>
              <w:jc w:val="left"/>
              <w:rPr/>
            </w:pPr>
            <w:r>
              <w:rPr/>
              <w:t>Signature</w:t>
            </w:r>
          </w:p>
        </w:tc>
        <w:tc>
          <w:tcPr>
            <w:tcW w:w="121"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left"/>
              <w:rPr/>
            </w:pPr>
            <w:r>
              <w:rPr/>
              <w:t>Signature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4"/>
        <w:gridCol w:w="120"/>
        <w:gridCol w:w="4731"/>
      </w:tblGrid>
      <w:tr>
        <w:trPr/>
        <w:tc>
          <w:tcPr>
            <w:tcW w:w="53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left"/>
              <w:rPr>
                <w:sz w:val="4"/>
                <w:szCs w:val="4"/>
              </w:rPr>
            </w:pPr>
            <w:r>
              <w:rPr>
                <w:sz w:val="4"/>
                <w:szCs w:val="4"/>
              </w:rPr>
            </w:r>
          </w:p>
        </w:tc>
      </w:tr>
      <w:tr>
        <w:trPr/>
        <w:tc>
          <w:tcPr>
            <w:tcW w:w="5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&lt;&lt;Grantee&gt;&gt;</w:t>
            </w:r>
          </w:p>
        </w:tc>
        <w:tc>
          <w:tcPr>
            <w:tcW w:w="120" w:type="dxa"/>
            <w:tcBorders/>
            <w:vAlign w:val="bottom"/>
          </w:tcPr>
          <w:p>
            <w:pPr>
              <w:pStyle w:val="TableContents"/>
              <w:bidi w:val="0"/>
              <w:spacing w:before="0" w:after="283"/>
              <w:jc w:val="left"/>
              <w:rPr/>
            </w:pPr>
            <w:r>
              <w:rPr/>
              <w:t>  </w:t>
            </w:r>
          </w:p>
        </w:tc>
        <w:tc>
          <w:tcPr>
            <w:tcW w:w="47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Akshay Naheta</w:t>
            </w:r>
          </w:p>
        </w:tc>
      </w:tr>
      <w:tr>
        <w:trPr/>
        <w:tc>
          <w:tcPr>
            <w:tcW w:w="5354" w:type="dxa"/>
            <w:tcBorders/>
          </w:tcPr>
          <w:p>
            <w:pPr>
              <w:pStyle w:val="TableContents"/>
              <w:bidi w:val="0"/>
              <w:spacing w:before="0" w:after="283"/>
              <w:jc w:val="left"/>
              <w:rPr/>
            </w:pPr>
            <w:r>
              <w:rPr/>
              <w:t>Print Name</w:t>
            </w:r>
          </w:p>
        </w:tc>
        <w:tc>
          <w:tcPr>
            <w:tcW w:w="120" w:type="dxa"/>
            <w:tcBorders/>
            <w:vAlign w:val="bottom"/>
          </w:tcPr>
          <w:p>
            <w:pPr>
              <w:pStyle w:val="TableContents"/>
              <w:bidi w:val="0"/>
              <w:spacing w:before="0" w:after="283"/>
              <w:jc w:val="left"/>
              <w:rPr/>
            </w:pPr>
            <w:r>
              <w:rPr/>
              <w:t>  </w:t>
            </w:r>
          </w:p>
        </w:tc>
        <w:tc>
          <w:tcPr>
            <w:tcW w:w="4731" w:type="dxa"/>
            <w:tcBorders/>
          </w:tcPr>
          <w:p>
            <w:pPr>
              <w:pStyle w:val="TableContents"/>
              <w:bidi w:val="0"/>
              <w:spacing w:before="0" w:after="283"/>
              <w:jc w:val="left"/>
              <w:rPr/>
            </w:pPr>
            <w:r>
              <w:rPr/>
              <w:t>Print Name</w:t>
            </w:r>
          </w:p>
        </w:tc>
      </w:tr>
      <w:tr>
        <w:trPr>
          <w:trHeight w:val="240" w:hRule="atLeast"/>
        </w:trPr>
        <w:tc>
          <w:tcPr>
            <w:tcW w:w="5354" w:type="dxa"/>
            <w:tcBorders/>
            <w:vAlign w:val="center"/>
          </w:tcPr>
          <w:p>
            <w:pPr>
              <w:pStyle w:val="TableContents"/>
              <w:bidi w:val="0"/>
              <w:spacing w:before="0" w:after="283"/>
              <w:jc w:val="left"/>
              <w:rPr>
                <w:sz w:val="4"/>
                <w:szCs w:val="4"/>
              </w:rPr>
            </w:pPr>
            <w:r>
              <w:rPr>
                <w:sz w:val="4"/>
                <w:szCs w:val="4"/>
              </w:rPr>
            </w:r>
          </w:p>
        </w:tc>
        <w:tc>
          <w:tcPr>
            <w:tcW w:w="4851" w:type="dxa"/>
            <w:gridSpan w:val="2"/>
            <w:tcBorders/>
            <w:vAlign w:val="center"/>
          </w:tcPr>
          <w:p>
            <w:pPr>
              <w:pStyle w:val="TableContents"/>
              <w:bidi w:val="0"/>
              <w:spacing w:before="0" w:after="283"/>
              <w:jc w:val="left"/>
              <w:rPr>
                <w:sz w:val="4"/>
                <w:szCs w:val="4"/>
              </w:rPr>
            </w:pPr>
            <w:r>
              <w:rPr>
                <w:sz w:val="4"/>
                <w:szCs w:val="4"/>
              </w:rPr>
            </w:r>
          </w:p>
        </w:tc>
      </w:tr>
      <w:tr>
        <w:trPr/>
        <w:tc>
          <w:tcPr>
            <w:tcW w:w="53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Executive Officer</w:t>
            </w:r>
          </w:p>
        </w:tc>
      </w:tr>
      <w:tr>
        <w:trPr/>
        <w:tc>
          <w:tcPr>
            <w:tcW w:w="53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31" w:type="dxa"/>
            <w:tcBorders/>
          </w:tcPr>
          <w:p>
            <w:pPr>
              <w:pStyle w:val="TableContents"/>
              <w:bidi w:val="0"/>
              <w:spacing w:before="0" w:after="283"/>
              <w:jc w:val="left"/>
              <w:rPr/>
            </w:pPr>
            <w:r>
              <w:rPr/>
              <w:t>Title</w:t>
            </w:r>
          </w:p>
        </w:tc>
      </w:tr>
      <w:tr>
        <w:trPr/>
        <w:tc>
          <w:tcPr>
            <w:tcW w:w="5354" w:type="dxa"/>
            <w:tcBorders/>
          </w:tcPr>
          <w:p>
            <w:pPr>
              <w:pStyle w:val="TableContents"/>
              <w:bidi w:val="0"/>
              <w:spacing w:before="0" w:after="283"/>
              <w:jc w:val="left"/>
              <w:rPr>
                <w:u w:val="single"/>
              </w:rPr>
            </w:pPr>
            <w:r>
              <w:rPr>
                <w:u w:val="single"/>
              </w:rPr>
              <w:t>Grantee Resident Address          </w:t>
            </w:r>
          </w:p>
        </w:tc>
        <w:tc>
          <w:tcPr>
            <w:tcW w:w="120" w:type="dxa"/>
            <w:tcBorders/>
            <w:vAlign w:val="bottom"/>
          </w:tcPr>
          <w:p>
            <w:pPr>
              <w:pStyle w:val="TableContents"/>
              <w:bidi w:val="0"/>
              <w:spacing w:before="0" w:after="283"/>
              <w:jc w:val="left"/>
              <w:rPr/>
            </w:pPr>
            <w:r>
              <w:rPr/>
              <w:t>  </w:t>
            </w:r>
          </w:p>
        </w:tc>
        <w:tc>
          <w:tcPr>
            <w:tcW w:w="473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AND CONDITIONS OF STOCK OPTION GRANT </w:t>
      </w:r>
    </w:p>
    <w:p>
      <w:pPr>
        <w:pStyle w:val="TextBody"/>
        <w:bidi w:val="0"/>
        <w:spacing w:before="240" w:after="0"/>
        <w:jc w:val="left"/>
        <w:rPr>
          <w:rFonts w:ascii="Times New Roman" w:hAnsi="Times New Roman"/>
          <w:sz w:val="20"/>
        </w:rPr>
      </w:pPr>
      <w:r>
        <w:rPr>
          <w:rFonts w:ascii="Times New Roman" w:hAnsi="Times New Roman"/>
          <w:sz w:val="20"/>
        </w:rPr>
        <w:t>Pursuant to the Bakkt, Inc. 2026 Inducement Plan, as amended through the date hereof (the “</w:t>
      </w:r>
      <w:r>
        <w:rPr>
          <w:rFonts w:ascii="Times New Roman" w:hAnsi="Times New Roman"/>
          <w:sz w:val="20"/>
          <w:u w:val="single"/>
        </w:rPr>
        <w:t>Plan</w:t>
      </w:r>
      <w:r>
        <w:rPr>
          <w:rFonts w:ascii="Times New Roman" w:hAnsi="Times New Roman"/>
          <w:sz w:val="20"/>
        </w:rPr>
        <w:t>”), Bakkt, Inc. (the “</w:t>
      </w:r>
      <w:r>
        <w:rPr>
          <w:rFonts w:ascii="Times New Roman" w:hAnsi="Times New Roman"/>
          <w:sz w:val="20"/>
          <w:u w:val="single"/>
        </w:rPr>
        <w:t>Company</w:t>
      </w:r>
      <w:r>
        <w:rPr>
          <w:rFonts w:ascii="Times New Roman" w:hAnsi="Times New Roman"/>
          <w:sz w:val="20"/>
        </w:rPr>
        <w:t>”) hereby grants to the Grantee named in the Notice of Grant a stock option (the “</w:t>
      </w:r>
      <w:r>
        <w:rPr>
          <w:rFonts w:ascii="Times New Roman" w:hAnsi="Times New Roman"/>
          <w:sz w:val="20"/>
          <w:u w:val="single"/>
        </w:rPr>
        <w:t>Option</w:t>
      </w:r>
      <w:r>
        <w:rPr>
          <w:rFonts w:ascii="Times New Roman" w:hAnsi="Times New Roman"/>
          <w:sz w:val="20"/>
        </w:rPr>
        <w:t xml:space="preserve">”) to purchase, on or prior to the Expiration Date specified in the Notice of Grant, all or part of the number of Shares specified in the Notice of Grant at the Option Exercise Price per Share specified in the Notice of Grant, subject to the terms and conditions set forth in this Award Agreement and in the Plan. The Option is a nonqualified stock option and is not intended to qualify as an “incentive stock option” within the meaning of Section 422 of the Code. The Option Exercise Price per Share shall not be less than the Fair Market Value of a Share on the Date of Grant, and the Expiration Date shall in no event be later than the tenth (10th) anniversary of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Option may be exercised until such portion shall have become exercisable. Except as set forth in </w:t>
      </w:r>
      <w:r>
        <w:rPr>
          <w:rFonts w:ascii="Times New Roman" w:hAnsi="Times New Roman"/>
          <w:sz w:val="20"/>
          <w:u w:val="single"/>
        </w:rPr>
        <w:t>Exhibit B</w:t>
      </w:r>
      <w:r>
        <w:rPr>
          <w:rFonts w:ascii="Times New Roman" w:hAnsi="Times New Roman"/>
          <w:sz w:val="20"/>
        </w:rPr>
        <w:t xml:space="preserve"> hereto and Section 3.6 of the Plan, and subject to the discretion of the Committee to accelerate the exercisability schedule hereunder in accordance with the Plan, this Option shall be exercisable with respect to such number of Shares and on the dates set forth in the Notice of Grant; </w:t>
      </w:r>
      <w:r>
        <w:rPr>
          <w:rFonts w:ascii="Times New Roman" w:hAnsi="Times New Roman"/>
          <w:sz w:val="20"/>
          <w:u w:val="single"/>
        </w:rPr>
        <w:t>provided</w:t>
      </w:r>
      <w:r>
        <w:rPr>
          <w:rFonts w:ascii="Times New Roman" w:hAnsi="Times New Roman"/>
          <w:sz w:val="20"/>
        </w:rPr>
        <w:t xml:space="preserve"> that, consistent with Section 2.4 of the Plan, no portion of this Option shall be scheduled to vest earlier than the first anniversary of the Date of Grant. Once exercisable, this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Grantee may exercise this Option only in the following manner: from time to time on or prior to the Expiration Date of this Option, the Grantee may give written notice to the Company of the Grantee’s election to purchase some or all of the Shares purchasable at the time of such notice. This notice shall specify the number of Shares to be purchased and shall be accompanied by payment of the full purchase price therefor in accordance with Section 2.5.4 of the Plan. </w:t>
      </w:r>
    </w:p>
    <w:p>
      <w:pPr>
        <w:pStyle w:val="TextBody"/>
        <w:bidi w:val="0"/>
        <w:spacing w:before="240" w:after="0"/>
        <w:jc w:val="left"/>
        <w:rPr>
          <w:rFonts w:ascii="Times New Roman" w:hAnsi="Times New Roman"/>
          <w:sz w:val="20"/>
        </w:rPr>
      </w:pPr>
      <w:r>
        <w:rPr>
          <w:rFonts w:ascii="Times New Roman" w:hAnsi="Times New Roman"/>
          <w:sz w:val="20"/>
        </w:rPr>
        <w:t xml:space="preserve">(b) The Grantee shall not be deemed to be the holder of, or to have any of the rights of a holder with respect to, any Shares subject to this Option unless and until this Option shall have been exercised pursuant to the terms hereof and the Company shall have issued and delivered the Shares to the Grantee. Thereupon, the Grantee shall have full voting, dividend and other ownership rights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Forfeiture of Unvested Options Upon Termination of Employment</w:t>
      </w:r>
      <w:r>
        <w:rPr>
          <w:rFonts w:ascii="Times New Roman" w:hAnsi="Times New Roman"/>
          <w:sz w:val="20"/>
        </w:rPr>
        <w:t xml:space="preserve">. Unless specifically provided otherwise in the Plan (including Section 3.6 thereof), this Award Agreement or other written agreement authorized by the Committee between Grantee and the Company or any of its Subsidiaries, as applicable, governing the terms of this Award, if Grantee’s Employment is terminated for any or no reason, the then-unvested Options awarded by this Award Agreement will thereupon be forfeited at no cost to the Company and Grantee will have no further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Effect of Termination of Employment on Vested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specifically provided otherwise in the Plan (including Section 3.6 thereof), this Award Agreement or other written agreement authorized by the Committee between the Grantee and the Company or any of its Subsidiaries, as applicable, governing the terms of this Award, if the Grantee’s Employment is terminated, the period within which to exercise any Options may be subject to earlier termination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i/>
          <w:sz w:val="20"/>
        </w:rPr>
        <w:t>Death</w:t>
      </w:r>
      <w:r>
        <w:rPr>
          <w:rFonts w:ascii="Times New Roman" w:hAnsi="Times New Roman"/>
          <w:sz w:val="20"/>
        </w:rPr>
        <w:t xml:space="preserve">. If the Grantee’s Employment terminates by reason of death, any vested Option held by the Grantee may thereafter be exercised by the Grantee’s legal representative or legatee for a period of [twelve (12) months] from the date of death or until the Expiration Date, if earlier. Any distribution or delivery to be made to the Grantee under this Award Agreement, if the Grantee is then deceased, will be made to the Grantee’s designated beneficiary, or if no beneficiary survives the Grantee, the administrator or executor of the Grantee’s estate. Any such transferee must furnish the Company with (a) written notice of his or her status as transferee, and (b) evidence satisfactory to the Company to establish the validity of the transfer and compliance with any laws or regulations pertaining to said transfer.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i/>
          <w:sz w:val="20"/>
        </w:rPr>
        <w:t>Termination for Cause</w:t>
      </w:r>
      <w:r>
        <w:rPr>
          <w:rFonts w:ascii="Times New Roman" w:hAnsi="Times New Roman"/>
          <w:sz w:val="20"/>
        </w:rPr>
        <w:t xml:space="preserve">. If the Grantee’s Employment terminates for Cause, any Option held by the Grantee (whether vested or unvested) shall terminate immediately and be of no further force and effect.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i/>
          <w:sz w:val="20"/>
        </w:rPr>
        <w:t>Other Termination</w:t>
      </w:r>
      <w:r>
        <w:rPr>
          <w:rFonts w:ascii="Times New Roman" w:hAnsi="Times New Roman"/>
          <w:sz w:val="20"/>
        </w:rPr>
        <w:t xml:space="preserve">. If the Grantee’s Employment terminates for any reason other than as set forth in subsections (i) or (ii) above, and unless otherwise determined by the Committee, any Option held by the Grantee may be exercised, only to the extent immediately exercisable on the date of termination, for a period of [three (3) months] from the date of termination or until the Expiration Date, if earlier. Any Option that is not exercisable at such time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The Committee’s determination of the reason for termination of the Grantee’s Employment shall be conclusive and binding on the Grantee and the Grantee’s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Responsibility for Taxes</w:t>
      </w:r>
      <w:r>
        <w:rPr>
          <w:rFonts w:ascii="Times New Roman" w:hAnsi="Times New Roman"/>
          <w:sz w:val="20"/>
        </w:rPr>
        <w:t>. Grantee acknowledges that, regardless of any action taken by the Company or, if different, Grantee’s employer or any parent or Subsidiary of the Company to which Grantee is providing services (together, the “</w:t>
      </w:r>
      <w:r>
        <w:rPr>
          <w:rFonts w:ascii="Times New Roman" w:hAnsi="Times New Roman"/>
          <w:sz w:val="20"/>
          <w:u w:val="single"/>
        </w:rPr>
        <w:t>Service Recipients</w:t>
      </w:r>
      <w:r>
        <w:rPr>
          <w:rFonts w:ascii="Times New Roman" w:hAnsi="Times New Roman"/>
          <w:sz w:val="20"/>
        </w:rPr>
        <w:t>”), the ultimate liability for any tax and/or social insurance liability obligations and requirements in connection with the Options,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exercise of the Options or sale of Shares, and (iii) any other Service Recipient taxes the responsibility for which Grantee has, or has agreed to bear, with respect to the Options (or exercise thereof or issuance of Shares thereunder) (collectively, the “</w:t>
      </w:r>
      <w:r>
        <w:rPr>
          <w:rFonts w:ascii="Times New Roman" w:hAnsi="Times New Roman"/>
          <w:sz w:val="20"/>
          <w:u w:val="single"/>
        </w:rPr>
        <w:t>Tax Obligations</w:t>
      </w:r>
      <w:r>
        <w:rPr>
          <w:rFonts w:ascii="Times New Roman" w:hAnsi="Times New Roman"/>
          <w:sz w:val="20"/>
        </w:rPr>
        <w:t xml:space="preserve">”),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makes any commitment to and is under any obligation to structure the terms of the grant or any aspect of the Options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Withholding</w:t>
      </w:r>
      <w:r>
        <w:rPr>
          <w:rFonts w:ascii="Times New Roman" w:hAnsi="Times New Roman"/>
          <w:sz w:val="20"/>
        </w:rPr>
        <w:t>. Pursuant to such procedures as the Committee may specify from time to time, the applicable Service Recipient(s) will withhold the amount required to be withheld for the payment of Tax Obligations (the “</w:t>
      </w:r>
      <w:r>
        <w:rPr>
          <w:rFonts w:ascii="Times New Roman" w:hAnsi="Times New Roman"/>
          <w:sz w:val="20"/>
          <w:u w:val="single"/>
        </w:rPr>
        <w:t>Withholding Obligations</w:t>
      </w:r>
      <w:r>
        <w:rPr>
          <w:rFonts w:ascii="Times New Roman" w:hAnsi="Times New Roman"/>
          <w:sz w:val="20"/>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Net Share Withholding</w:t>
      </w:r>
      <w:r>
        <w:rPr>
          <w:rFonts w:ascii="Times New Roman" w:hAnsi="Times New Roman"/>
          <w:sz w:val="20"/>
        </w:rPr>
        <w:t xml:space="preserve">”),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hAnsi="Times New Roman"/>
          <w:sz w:val="20"/>
          <w:u w:val="single"/>
        </w:rPr>
        <w:t>Sell to Cover</w:t>
      </w:r>
      <w:r>
        <w:rPr>
          <w:rFonts w:ascii="Times New Roman" w:hAnsi="Times New Roman"/>
          <w:sz w:val="20"/>
        </w:rPr>
        <w:t xml:space="preserve">”), or (vi) such other means as the Committee deems appropriate. If the Withholding Obligations are satisfied by withholding in Shares, for tax purposes, Grantee is deemed to have been issued the full number of Shares purchased upon exercise of the Options,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Consequences</w:t>
      </w:r>
      <w:r>
        <w:rPr>
          <w:rFonts w:ascii="Times New Roman" w:hAnsi="Times New Roman"/>
          <w:sz w:val="20"/>
        </w:rPr>
        <w:t xml:space="preserve">.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Company’s Obligation to Deliver Shares</w:t>
      </w:r>
      <w:r>
        <w:rPr>
          <w:rFonts w:ascii="Times New Roman" w:hAnsi="Times New Roman"/>
          <w:sz w:val="20"/>
        </w:rPr>
        <w:t xml:space="preserve">.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of exercise of any Options or when Grantee’s Withholding Obligations otherwise become due, the Company shall have no obligation to issue or deliver the Shares to which Grantee’s Withholding Obligation relates. Grantee acknowledges and agrees that the Company may permanently refuse to issue or deliver the Shares if such Withholding Obligations are not delivered at the time they are due.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Rights as Stockholder</w:t>
      </w:r>
      <w:r>
        <w:rPr>
          <w:rFonts w:ascii="Times New Roman" w:hAnsi="Times New Roman"/>
          <w:sz w:val="20"/>
        </w:rPr>
        <w:t xml:space="preserve">.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Guarantee of Continued Service</w:t>
      </w:r>
      <w:r>
        <w:rPr>
          <w:rFonts w:ascii="Times New Roman" w:hAnsi="Times New Roman"/>
          <w:sz w:val="20"/>
        </w:rPr>
        <w:t xml:space="preserve">. Grantee acknowledges and agrees that the vesting of the Options pursuant to the vesting schedule hereof is earned only by continuing in Employment through the applicable vesting dates, which unless provided otherwise under applicable law, is at the will of the Company or the applicable Subsidiary and not through the act of being hired, being granted this Option award, or acquiring Shares hereunder. Grantee further acknowledges and agrees that this Award Agreement, the transactions contemplated hereunder, and the vesting schedule set forth herein do not constitute an express or implied promise of continued Employment for the vesting period, for any period, or at all, and shall not interfere in any way with Grantee’s right or the right of any of the Company or any applicable Subsidiary to terminate Grantee’s Employment, subject to applicable law, which termination, unless provided otherwise under applicable law or written agreement between Grantee and the Company or the applicable Subsidiary, may be at any time,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Grant is Not Transferable</w:t>
      </w:r>
      <w:r>
        <w:rPr>
          <w:rFonts w:ascii="Times New Roman" w:hAnsi="Times New Roman"/>
          <w:sz w:val="20"/>
        </w:rPr>
        <w:t xml:space="preserve">. Except to the limited extent provided in Section 4(a)(i),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Nature of Grant</w:t>
      </w:r>
      <w:r>
        <w:rPr>
          <w:rFonts w:ascii="Times New Roman" w:hAnsi="Times New Roman"/>
          <w:sz w:val="20"/>
        </w:rPr>
        <w:t xml:space="preserve">. In accepting this Award of Options, Grantee acknowledges, understands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the grant of the Options is voluntary and occasional and does not create any contractual or other right to receive future grants of Options, or benefits in lieu of Options, even if Options have been granted in the past; </w:t>
      </w:r>
    </w:p>
    <w:p>
      <w:pPr>
        <w:pStyle w:val="TextBody"/>
        <w:bidi w:val="0"/>
        <w:spacing w:before="240" w:after="0"/>
        <w:jc w:val="left"/>
        <w:rPr>
          <w:rFonts w:ascii="Times New Roman" w:hAnsi="Times New Roman"/>
          <w:sz w:val="20"/>
        </w:rPr>
      </w:pPr>
      <w:r>
        <w:rPr>
          <w:rFonts w:ascii="Times New Roman" w:hAnsi="Times New Roman"/>
          <w:sz w:val="20"/>
        </w:rPr>
        <w:t xml:space="preserve">(b) all decisions with respect to future Options or other grants, if any, will be at the sole discretion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Grantee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(d) the Options and the Shares subject to the Options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(e) 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(f) the future value of the Shares underlying the Options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the Options, Grantee’s Employment will be considered terminated as of the date Grantee is no longer actively providing services to the Company or any Subsidiary (regardless of the reason for such termination and whether or not later found to be invalid or in breach of employment laws in the jurisdiction where Grantee is in Employment or the terms of Grantee’s employment or service agreement, if any), and unless otherwise expressly provided in this Award Agreement (including by reference in the Notice of Grant to other arrangements or contracts) or determined by the Committee, Grantee’s right to vest in the Options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in Employment or the terms of Grantee’s employment or service agreement, if any, unless Grantee is providing bona fide services during such time); the Committee shall have the exclusive discretion to determine when Grantee is no longer actively providing services for purposes of this Award of Options (including whether Grantee may still be considered to be providing services while on a leave of absence and consistent with local law). Further, for the avoidance of doubt, Grantee shall not be entitled to any pro rata vesting of any Options should Grantee’s Employment cease before the Options have fully vested (e.g., if Grantee’s Employment ceases on March 1 before all of the Options have vested, Grantee shall not be entitled to any vesting of the Options that were scheduled to vest on the immediately following vesting date of March 10); </w:t>
      </w:r>
    </w:p>
    <w:p>
      <w:pPr>
        <w:pStyle w:val="TextBody"/>
        <w:bidi w:val="0"/>
        <w:spacing w:before="240" w:after="0"/>
        <w:jc w:val="left"/>
        <w:rPr>
          <w:rFonts w:ascii="Times New Roman" w:hAnsi="Times New Roman"/>
          <w:sz w:val="20"/>
        </w:rPr>
      </w:pPr>
      <w:r>
        <w:rPr>
          <w:rFonts w:ascii="Times New Roman" w:hAnsi="Times New Roman"/>
          <w:sz w:val="20"/>
        </w:rPr>
        <w:t xml:space="preserve">(h) unless otherwise provided in the Plan (including Section 3.6 thereof) or by the Committee in its discretion, the Options and the benefits evidenced by this Award Agreement do not create any entitlement to have the Options or any such benefits transferred to, or assumed by, another company nor be exchanged, cashed out or substituted for, in connection with any corporate transaction affecting the Shares; and </w:t>
      </w:r>
    </w:p>
    <w:p>
      <w:pPr>
        <w:pStyle w:val="TextBody"/>
        <w:bidi w:val="0"/>
        <w:spacing w:before="240" w:after="0"/>
        <w:jc w:val="left"/>
        <w:rPr>
          <w:rFonts w:ascii="Times New Roman" w:hAnsi="Times New Roman"/>
          <w:sz w:val="20"/>
        </w:rPr>
      </w:pPr>
      <w:r>
        <w:rPr>
          <w:rFonts w:ascii="Times New Roman" w:hAnsi="Times New Roman"/>
          <w:sz w:val="20"/>
        </w:rPr>
        <w:t xml:space="preserve">(i) the following provisions apply only if Grantee is providing services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(i) the Options and the Shares subject to the Options are not part of normal or expected compensation or salary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(ii) Grantee acknowledges and agrees that no Service Recipient shall be liable for any foreign exchange rate fluctuation between Grantee’s local currency and the United States Dollar that may affect the value of the Options or of any amounts due to Grantee pursuant to the exercise of the Options or the subsequent sale of any Shares acquired upon exercise;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claim or entitlement to compensation or damages shall arise from forfeiture of the Options resulting from the termination of Grantee’s Employment (for any reason whatsoever whether or not later found to be invalid or in breach of employment laws in the jurisdiction where Grantee is in Employment or the terms of Grantee’s employment or service agreement, if any), and in consideration of the grant of the Options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Advice Regarding Grant</w:t>
      </w:r>
      <w:r>
        <w:rPr>
          <w:rFonts w:ascii="Times New Roman" w:hAnsi="Times New Roman"/>
          <w:sz w:val="20"/>
        </w:rPr>
        <w:t xml:space="preserve">. The Company is not providing any tax, legal or financial advice, nor is the Company making any recommendations regarding Grantee’s participation in the Plan, or Grantee’s acquisition or sale of the Shares underlying the Options. Grantee is hereby advised to consult with his or her own personal tax, legal and financial advisers regarding his or her participation in the Plan before taking any action related to the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Data Privacy</w:t>
      </w:r>
      <w:r>
        <w:rPr>
          <w:rFonts w:ascii="Times New Roman" w:hAnsi="Times New Roman"/>
          <w:sz w:val="20"/>
        </w:rPr>
        <w:t xml:space="preserve">. Grantee hereby explicitly and unambiguously consents to the collection, use and transfer, in electronic or other form, of Grantee’s personal data as described in this Award Agreement and any other Option grant materials by and among, as applicable, the Company and its Subsidiaries for the exclusive purpose of implementing, administering and managing Grantee’s participation in the Plan. </w:t>
      </w:r>
    </w:p>
    <w:p>
      <w:pPr>
        <w:pStyle w:val="TextBody"/>
        <w:bidi w:val="0"/>
        <w:spacing w:before="240" w:after="0"/>
        <w:jc w:val="left"/>
        <w:rPr>
          <w:rFonts w:ascii="Times New Roman" w:hAnsi="Times New Roman"/>
          <w:sz w:val="20"/>
        </w:rPr>
      </w:pPr>
      <w:r>
        <w:rPr>
          <w:rFonts w:ascii="Times New Roman" w:hAnsi="Times New Roman"/>
          <w:sz w:val="20"/>
        </w:rPr>
        <w:t>Grantee understands that the Company and its Subsidiaries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Grantee’s favor (“</w:t>
      </w:r>
      <w:r>
        <w:rPr>
          <w:rFonts w:ascii="Times New Roman" w:hAnsi="Times New Roman"/>
          <w:sz w:val="20"/>
          <w:u w:val="single"/>
        </w:rPr>
        <w:t>Data</w:t>
      </w:r>
      <w:r>
        <w:rPr>
          <w:rFonts w:ascii="Times New Roman" w:hAnsi="Times New Roman"/>
          <w:sz w:val="20"/>
        </w:rPr>
        <w:t xml:space="preserve">”), for the exclusive purpose of implementing, administering and managing the Plan. </w:t>
      </w:r>
    </w:p>
    <w:p>
      <w:pPr>
        <w:pStyle w:val="TextBody"/>
        <w:bidi w:val="0"/>
        <w:spacing w:before="240" w:after="0"/>
        <w:jc w:val="left"/>
        <w:rPr>
          <w:rFonts w:ascii="Times New Roman" w:hAnsi="Times New Roman"/>
          <w:sz w:val="20"/>
        </w:rPr>
      </w:pPr>
      <w:r>
        <w:rPr>
          <w:rFonts w:ascii="Times New Roman" w:hAnsi="Times New Roman"/>
          <w:sz w:val="20"/>
        </w:rPr>
        <w:t xml:space="preserve">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and career with the Company and its Subsidiaries will not be adversely affected. The only adverse consequence of refusing or withdrawing Grantee’s consent is that the Company would not be able to grant Grantee Options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Award Agreement will be addressed to the Company at Bakkt, Inc., 3280 Peachtree Road NE, 7th Floor, Atlanta, GA 30305, or at such other address as the Company may hereafter designate in writing.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Additional Conditions to Issuance of Stock</w:t>
      </w:r>
      <w:r>
        <w:rPr>
          <w:rFonts w:ascii="Times New Roman" w:hAnsi="Times New Roman"/>
          <w:sz w:val="20"/>
        </w:rPr>
        <w:t xml:space="preserve">. If at any time the Company determines,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Options as the Committee may establish from time to time for reasons of administrative convenience.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Language</w:t>
      </w:r>
      <w:r>
        <w:rPr>
          <w:rFonts w:ascii="Times New Roman" w:hAnsi="Times New Roman"/>
          <w:sz w:val="20"/>
        </w:rPr>
        <w:t xml:space="preserve">. If Grantee has received this Award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Interpretation</w:t>
      </w:r>
      <w:r>
        <w:rPr>
          <w:rFonts w:ascii="Times New Roman" w:hAnsi="Times New Roman"/>
          <w:sz w:val="20"/>
        </w:rPr>
        <w:t xml:space="preserve">.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Options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Electronic Delivery and Acceptance</w:t>
      </w:r>
      <w:r>
        <w:rPr>
          <w:rFonts w:ascii="Times New Roman" w:hAnsi="Times New Roman"/>
          <w:sz w:val="20"/>
        </w:rPr>
        <w:t xml:space="preserve">. The Company may, in its sole discretion, decide to deliver any documents related to the Options awarded under the Plan or future Options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Captions</w:t>
      </w:r>
      <w:r>
        <w:rPr>
          <w:rFonts w:ascii="Times New Roman" w:hAnsi="Times New Roman"/>
          <w:sz w:val="20"/>
        </w:rPr>
        <w:t xml:space="preserve">. Captions provided herein are for convenience only and are not to serve as a basis for interpretation or construction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Amendment, Suspension or Termination of the Plan</w:t>
      </w:r>
      <w:r>
        <w:rPr>
          <w:rFonts w:ascii="Times New Roman" w:hAnsi="Times New Roman"/>
          <w:sz w:val="20"/>
        </w:rPr>
        <w:t xml:space="preserve">. By accepting this Award, Grantee expressly warrants that he or she has received an Award of Options under the Plan, and has received, read and understood a description of the Plan. Grantee understands that the Plan is discretionary in nature and may be amended, suspended or terminated by the Committee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Country Addendum</w:t>
      </w:r>
      <w:r>
        <w:rPr>
          <w:rFonts w:ascii="Times New Roman" w:hAnsi="Times New Roman"/>
          <w:sz w:val="20"/>
        </w:rPr>
        <w:t>. Notwithstanding any provisions in this Award Agreement, the Option grant shall be subject to any special terms and conditions set forth in an appendix (if any) to this Award Agreement for any country whose laws are applicable to Grantee and this Award of Options (as determined by the Committee in its sole discretion) (the “</w:t>
      </w:r>
      <w:r>
        <w:rPr>
          <w:rFonts w:ascii="Times New Roman" w:hAnsi="Times New Roman"/>
          <w:sz w:val="20"/>
          <w:u w:val="single"/>
        </w:rPr>
        <w:t>Country Addendum</w:t>
      </w:r>
      <w:r>
        <w:rPr>
          <w:rFonts w:ascii="Times New Roman" w:hAnsi="Times New Roman"/>
          <w:sz w:val="20"/>
        </w:rPr>
        <w:t xml:space="preserve">”).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Modifications to the Award Agreement</w:t>
      </w:r>
      <w:r>
        <w:rPr>
          <w:rFonts w:ascii="Times New Roman" w:hAnsi="Times New Roman"/>
          <w:sz w:val="20"/>
        </w:rPr>
        <w:t xml:space="preserve">.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 Waiver</w:t>
      </w:r>
      <w:r>
        <w:rPr>
          <w:rFonts w:ascii="Times New Roman" w:hAnsi="Times New Roman"/>
          <w:sz w:val="20"/>
        </w:rPr>
        <w:t xml:space="preserve">.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Governing Law; Severability</w:t>
      </w:r>
      <w:r>
        <w:rPr>
          <w:rFonts w:ascii="Times New Roman" w:hAnsi="Times New Roman"/>
          <w:sz w:val="20"/>
        </w:rPr>
        <w:t xml:space="preserve">. This Award Agreement and the Options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Entire Agreement</w:t>
      </w:r>
      <w:r>
        <w:rPr>
          <w:rFonts w:ascii="Times New Roman" w:hAnsi="Times New Roman"/>
          <w:sz w:val="20"/>
        </w:rPr>
        <w:t xml:space="preserve">.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8"/>
        <w:gridCol w:w="77"/>
        <w:gridCol w:w="3327"/>
      </w:tblGrid>
      <w:tr>
        <w:trPr/>
        <w:tc>
          <w:tcPr>
            <w:tcW w:w="67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BAKKT, INC.</w:t>
            </w:r>
          </w:p>
        </w:tc>
      </w:tr>
      <w:tr>
        <w:trPr>
          <w:trHeight w:val="240" w:hRule="atLeast"/>
        </w:trPr>
        <w:tc>
          <w:tcPr>
            <w:tcW w:w="678" w:type="dxa"/>
            <w:tcBorders/>
            <w:vAlign w:val="center"/>
          </w:tcPr>
          <w:p>
            <w:pPr>
              <w:pStyle w:val="TableContents"/>
              <w:bidi w:val="0"/>
              <w:spacing w:before="0" w:after="283"/>
              <w:jc w:val="left"/>
              <w:rPr>
                <w:sz w:val="4"/>
                <w:szCs w:val="4"/>
              </w:rPr>
            </w:pPr>
            <w:r>
              <w:rPr>
                <w:sz w:val="4"/>
                <w:szCs w:val="4"/>
              </w:rPr>
            </w:r>
          </w:p>
        </w:tc>
        <w:tc>
          <w:tcPr>
            <w:tcW w:w="3404" w:type="dxa"/>
            <w:gridSpan w:val="2"/>
            <w:tcBorders/>
            <w:vAlign w:val="center"/>
          </w:tcPr>
          <w:p>
            <w:pPr>
              <w:pStyle w:val="TableContents"/>
              <w:bidi w:val="0"/>
              <w:spacing w:before="0" w:after="283"/>
              <w:jc w:val="left"/>
              <w:rPr>
                <w:sz w:val="4"/>
                <w:szCs w:val="4"/>
              </w:rPr>
            </w:pPr>
            <w:r>
              <w:rPr>
                <w:sz w:val="4"/>
                <w:szCs w:val="4"/>
              </w:rPr>
            </w:r>
          </w:p>
        </w:tc>
      </w:tr>
      <w:tr>
        <w:trPr/>
        <w:tc>
          <w:tcPr>
            <w:tcW w:w="678" w:type="dxa"/>
            <w:tcBorders/>
            <w:vAlign w:val="bottom"/>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327" w:type="dxa"/>
            <w:tcBorders/>
            <w:vAlign w:val="bottom"/>
          </w:tcPr>
          <w:p>
            <w:pPr>
              <w:pStyle w:val="TableContents"/>
              <w:pBdr>
                <w:bottom w:val="single" w:sz="2" w:space="1" w:color="000000"/>
              </w:pBdr>
              <w:bidi w:val="0"/>
              <w:spacing w:before="0" w:after="20"/>
              <w:jc w:val="left"/>
              <w:rPr/>
            </w:pPr>
            <w:r>
              <w:rPr/>
              <w:t> </w:t>
            </w:r>
          </w:p>
        </w:tc>
      </w:tr>
      <w:tr>
        <w:trPr/>
        <w:tc>
          <w:tcPr>
            <w:tcW w:w="678" w:type="dxa"/>
            <w:tcBorders/>
            <w:vAlign w:val="bottom"/>
          </w:tcPr>
          <w:p>
            <w:pPr>
              <w:pStyle w:val="TableContents"/>
              <w:bidi w:val="0"/>
              <w:spacing w:before="0" w:after="283"/>
              <w:jc w:val="left"/>
              <w:rPr/>
            </w:pPr>
            <w:r>
              <w:rPr/>
              <w:t>Title:</w:t>
            </w:r>
          </w:p>
        </w:tc>
        <w:tc>
          <w:tcPr>
            <w:tcW w:w="77"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90"/>
        <w:gridCol w:w="122"/>
        <w:gridCol w:w="5893"/>
      </w:tblGrid>
      <w:tr>
        <w:trPr/>
        <w:tc>
          <w:tcPr>
            <w:tcW w:w="41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893" w:type="dxa"/>
            <w:tcBorders/>
            <w:vAlign w:val="center"/>
          </w:tcPr>
          <w:p>
            <w:pPr>
              <w:pStyle w:val="TableContents"/>
              <w:bidi w:val="0"/>
              <w:spacing w:before="0" w:after="283"/>
              <w:jc w:val="left"/>
              <w:rPr>
                <w:sz w:val="4"/>
                <w:szCs w:val="4"/>
              </w:rPr>
            </w:pPr>
            <w:r>
              <w:rPr>
                <w:sz w:val="4"/>
                <w:szCs w:val="4"/>
              </w:rPr>
            </w:r>
          </w:p>
        </w:tc>
      </w:tr>
      <w:tr>
        <w:trPr/>
        <w:tc>
          <w:tcPr>
            <w:tcW w:w="4190" w:type="dxa"/>
            <w:tcBorders/>
          </w:tcPr>
          <w:p>
            <w:pPr>
              <w:pStyle w:val="TableContents"/>
              <w:bidi w:val="0"/>
              <w:spacing w:before="0" w:after="283"/>
              <w:jc w:val="left"/>
              <w:rPr/>
            </w:pPr>
            <w:r>
              <w:rPr/>
              <w:t>Dated: _________________________</w:t>
            </w:r>
          </w:p>
        </w:tc>
        <w:tc>
          <w:tcPr>
            <w:tcW w:w="122" w:type="dxa"/>
            <w:tcBorders/>
            <w:vAlign w:val="bottom"/>
          </w:tcPr>
          <w:p>
            <w:pPr>
              <w:pStyle w:val="TableContents"/>
              <w:bidi w:val="0"/>
              <w:spacing w:before="0" w:after="283"/>
              <w:jc w:val="left"/>
              <w:rPr/>
            </w:pPr>
            <w:r>
              <w:rPr/>
              <w:t>  </w:t>
            </w:r>
          </w:p>
        </w:tc>
        <w:tc>
          <w:tcPr>
            <w:tcW w:w="5893" w:type="dxa"/>
            <w:tcBorders/>
          </w:tcPr>
          <w:p>
            <w:pPr>
              <w:pStyle w:val="TableContents"/>
              <w:bidi w:val="0"/>
              <w:spacing w:before="0" w:after="283"/>
              <w:jc w:val="left"/>
              <w:rPr>
                <w:u w:val="single"/>
              </w:rPr>
            </w:pPr>
            <w:r>
              <w:rPr>
                <w:u w:val="single"/>
              </w:rPr>
              <w:t>                      </w:t>
            </w:r>
          </w:p>
        </w:tc>
      </w:tr>
      <w:tr>
        <w:trPr/>
        <w:tc>
          <w:tcPr>
            <w:tcW w:w="419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893" w:type="dxa"/>
            <w:tcBorders/>
          </w:tcPr>
          <w:p>
            <w:pPr>
              <w:pStyle w:val="TableContents"/>
              <w:bidi w:val="0"/>
              <w:spacing w:before="0" w:after="283"/>
              <w:jc w:val="left"/>
              <w:rPr/>
            </w:pPr>
            <w:r>
              <w:rPr/>
              <w:t>Grantee’s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Vesting and Exercise Schedule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13" w:name="d171896dex231.htm"/>
      <w:bookmarkStart w:id="14" w:name="ksd171896dex231"/>
      <w:bookmarkEnd w:id="13"/>
      <w:bookmarkEnd w:id="14"/>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 (Form S-8) pertaining to the registration of an aggregate of 1,500,000 shares of Class A Common Stock issuable under the 2026 Inducement Plan of Bakkt,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Inc. for the fiscal year ended December 31, 2023,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Birmingham, Alabama</w:t>
            </w:r>
          </w:p>
        </w:tc>
      </w:tr>
      <w:tr>
        <w:trPr/>
        <w:tc>
          <w:tcPr>
            <w:tcW w:w="4082" w:type="dxa"/>
            <w:tcBorders/>
          </w:tcPr>
          <w:p>
            <w:pPr>
              <w:pStyle w:val="TableContents"/>
              <w:bidi w:val="0"/>
              <w:spacing w:before="0" w:after="283"/>
              <w:jc w:val="left"/>
              <w:rPr/>
            </w:pPr>
            <w:r>
              <w:rPr/>
              <w:t>October 20, 2026</w:t>
            </w:r>
          </w:p>
        </w:tc>
      </w:tr>
    </w:tbl>
    <w:p>
      <w:pPr>
        <w:pStyle w:val="TextBody"/>
        <w:bidi w:val="0"/>
        <w:spacing w:before="0" w:after="0"/>
        <w:jc w:val="right"/>
        <w:rPr>
          <w:rFonts w:ascii="Times New Roman" w:hAnsi="Times New Roman"/>
          <w:b/>
          <w:sz w:val="20"/>
        </w:rPr>
      </w:pPr>
      <w:bookmarkStart w:id="15" w:name="d171896dex232.htm"/>
      <w:bookmarkStart w:id="16" w:name="ksd171896dex232"/>
      <w:bookmarkEnd w:id="15"/>
      <w:bookmarkEnd w:id="1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19, 2025, except for the effects of the discontinued operations discussed in Notes 3, 14, 19, 20 and 21, as to which the date is December 10, 2025, with respect to the consolidated financial statements of Bakkt, Inc. (formerly, Bakkt Holdings, Inc.),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right"/>
        <w:rPr>
          <w:rFonts w:ascii="Times New Roman" w:hAnsi="Times New Roman"/>
          <w:b/>
          <w:sz w:val="20"/>
        </w:rPr>
      </w:pPr>
      <w:bookmarkStart w:id="17" w:name="d171896dex233.htm"/>
      <w:bookmarkStart w:id="18" w:name="ksd171896dex233"/>
      <w:bookmarkEnd w:id="17"/>
      <w:bookmarkEnd w:id="18"/>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March 19, 2026 with respect to the consolidated financial statements and internal control over financial reporting of Bakkt, Inc. included in the Annual Report on Form 10-K for the year ended December 31, 2025, which are incorporated by reference in this Registration Statement. We consent to the incorporation by reference of the aforementioned reports in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GRANT THORNTON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Atlanta, Georgia</w:t>
            </w:r>
          </w:p>
          <w:p>
            <w:pPr>
              <w:pStyle w:val="TableContents"/>
              <w:bidi w:val="0"/>
              <w:spacing w:before="0" w:after="20"/>
              <w:jc w:val="left"/>
              <w:rPr>
                <w:rFonts w:ascii="Times New Roman" w:hAnsi="Times New Roman"/>
                <w:sz w:val="20"/>
              </w:rPr>
            </w:pPr>
            <w:r>
              <w:rPr>
                <w:rFonts w:ascii="Times New Roman" w:hAnsi="Times New Roman"/>
                <w:sz w:val="20"/>
              </w:rPr>
              <w:t>October 20, 2026</w:t>
            </w:r>
          </w:p>
        </w:tc>
      </w:tr>
    </w:tbl>
    <w:p>
      <w:pPr>
        <w:pStyle w:val="TextBody"/>
        <w:bidi w:val="0"/>
        <w:spacing w:before="0" w:after="0"/>
        <w:jc w:val="right"/>
        <w:rPr>
          <w:rFonts w:ascii="Times New Roman" w:hAnsi="Times New Roman"/>
          <w:b/>
          <w:sz w:val="20"/>
        </w:rPr>
      </w:pPr>
      <w:bookmarkStart w:id="19" w:name="d171896dex234.htm"/>
      <w:bookmarkStart w:id="20" w:name="ksd171896dex234"/>
      <w:bookmarkEnd w:id="19"/>
      <w:bookmarkEnd w:id="20"/>
      <w:r>
        <w:rPr>
          <w:rFonts w:ascii="Times New Roman" w:hAnsi="Times New Roman"/>
          <w:b/>
          <w:sz w:val="20"/>
        </w:rPr>
        <w:t xml:space="preserve">Exhibit 23.4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on Form S-8 of Bakkt, Inc. of our report dated August 6, 2026, with respect to the consolidated financial statements of Distributed Technologies Research Global Ltd. as of December 31, 2025, and for the year then ended, which report is included in the Current Report on Form 8-K/A of Bakkt, Inc. filed with the Securities and Exchange Commission on August 7,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3"/>
        <w:gridCol w:w="113"/>
        <w:gridCol w:w="265"/>
        <w:gridCol w:w="113"/>
        <w:gridCol w:w="6191"/>
      </w:tblGrid>
      <w:tr>
        <w:trPr/>
        <w:tc>
          <w:tcPr>
            <w:tcW w:w="35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191" w:type="dxa"/>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Harikishan Rankawat</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113" w:type="dxa"/>
            <w:vMerge w:val="restart"/>
            <w:tcBorders/>
            <w:vAlign w:val="bottom"/>
          </w:tcPr>
          <w:p>
            <w:pPr>
              <w:pStyle w:val="TableContents"/>
              <w:bidi w:val="0"/>
              <w:spacing w:before="0" w:after="283"/>
              <w:jc w:val="left"/>
              <w:rPr/>
            </w:pPr>
            <w:r>
              <w:rPr/>
              <w:t> </w:t>
            </w:r>
          </w:p>
        </w:tc>
        <w:tc>
          <w:tcPr>
            <w:tcW w:w="6191" w:type="dxa"/>
            <w:vMerge w:val="restart"/>
            <w:tcBorders/>
          </w:tcPr>
          <w:p>
            <w:pPr>
              <w:pStyle w:val="TableContents"/>
              <w:bidi w:val="0"/>
              <w:spacing w:before="0" w:after="283"/>
              <w:jc w:val="left"/>
              <w:rPr>
                <w:sz w:val="4"/>
                <w:szCs w:val="4"/>
              </w:rPr>
            </w:pPr>
            <w:r>
              <w:rPr>
                <w:sz w:val="4"/>
                <w:szCs w:val="4"/>
              </w:rPr>
            </w:r>
          </w:p>
        </w:tc>
      </w:tr>
      <w:tr>
        <w:trPr/>
        <w:tc>
          <w:tcPr>
            <w:tcW w:w="3523" w:type="dxa"/>
            <w:tcBorders/>
          </w:tcPr>
          <w:p>
            <w:pPr>
              <w:pStyle w:val="TableContents"/>
              <w:bidi w:val="0"/>
              <w:spacing w:before="0" w:after="0"/>
              <w:jc w:val="left"/>
              <w:rPr>
                <w:rFonts w:ascii="Times New Roman" w:hAnsi="Times New Roman"/>
                <w:b/>
                <w:sz w:val="20"/>
              </w:rPr>
            </w:pPr>
            <w:r>
              <w:rPr>
                <w:rFonts w:ascii="Times New Roman" w:hAnsi="Times New Roman"/>
                <w:b/>
                <w:sz w:val="20"/>
              </w:rPr>
              <w:t>Harikishan Rankawat</w:t>
            </w:r>
          </w:p>
          <w:p>
            <w:pPr>
              <w:pStyle w:val="TableContents"/>
              <w:bidi w:val="0"/>
              <w:spacing w:before="0" w:after="0"/>
              <w:jc w:val="left"/>
              <w:rPr>
                <w:rFonts w:ascii="Times New Roman" w:hAnsi="Times New Roman"/>
                <w:b/>
                <w:sz w:val="20"/>
              </w:rPr>
            </w:pPr>
            <w:r>
              <w:rPr>
                <w:rFonts w:ascii="Times New Roman" w:hAnsi="Times New Roman"/>
                <w:b/>
                <w:sz w:val="20"/>
              </w:rPr>
              <w:t>R N G Auditors L.L.C</w:t>
            </w:r>
          </w:p>
          <w:p>
            <w:pPr>
              <w:pStyle w:val="TableContents"/>
              <w:bidi w:val="0"/>
              <w:spacing w:before="0" w:after="20"/>
              <w:jc w:val="left"/>
              <w:rPr>
                <w:rFonts w:ascii="Times New Roman" w:hAnsi="Times New Roman"/>
                <w:b/>
                <w:sz w:val="20"/>
              </w:rPr>
            </w:pPr>
            <w:r>
              <w:rPr>
                <w:rFonts w:ascii="Times New Roman" w:hAnsi="Times New Roman"/>
                <w:b/>
                <w:sz w:val="20"/>
              </w:rPr>
              <w:t>Registration No. 5527</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0"/>
              <w:jc w:val="left"/>
              <w:rPr/>
            </w:pPr>
            <w:r>
              <w:rPr/>
              <w:t> </w:t>
            </w:r>
          </w:p>
        </w:tc>
        <w:tc>
          <w:tcPr>
            <w:tcW w:w="113" w:type="dxa"/>
            <w:vMerge w:val="continue"/>
            <w:tcBorders/>
            <w:vAlign w:val="bottom"/>
          </w:tcPr>
          <w:p>
            <w:pPr>
              <w:pStyle w:val="Normal"/>
              <w:bidi w:val="0"/>
              <w:jc w:val="left"/>
              <w:rPr/>
            </w:pPr>
            <w:r>
              <w:rPr/>
            </w:r>
          </w:p>
        </w:tc>
        <w:tc>
          <w:tcPr>
            <w:tcW w:w="6191" w:type="dxa"/>
            <w:vMerge w:val="continue"/>
            <w:tcBorders/>
          </w:tcPr>
          <w:p>
            <w:pPr>
              <w:pStyle w:val="Normal"/>
              <w:bidi w:val="0"/>
              <w:jc w:val="left"/>
              <w:rPr/>
            </w:pPr>
            <w:r>
              <w:rPr/>
            </w:r>
          </w:p>
        </w:tc>
      </w:tr>
      <w:tr>
        <w:trPr/>
        <w:tc>
          <w:tcPr>
            <w:tcW w:w="3523"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Place: Dubai, UAE</w:t>
            </w:r>
          </w:p>
          <w:p>
            <w:pPr>
              <w:pStyle w:val="TableContents"/>
              <w:bidi w:val="0"/>
              <w:spacing w:before="0" w:after="20"/>
              <w:jc w:val="left"/>
              <w:rPr>
                <w:rFonts w:ascii="Times New Roman" w:hAnsi="Times New Roman"/>
                <w:sz w:val="20"/>
              </w:rPr>
            </w:pPr>
            <w:r>
              <w:rPr>
                <w:rFonts w:ascii="Times New Roman" w:hAnsi="Times New Roman"/>
                <w:sz w:val="20"/>
              </w:rPr>
              <w:t>Date: October 20, 2026</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113" w:type="dxa"/>
            <w:vMerge w:val="continue"/>
            <w:tcBorders/>
            <w:vAlign w:val="bottom"/>
          </w:tcPr>
          <w:p>
            <w:pPr>
              <w:pStyle w:val="Normal"/>
              <w:bidi w:val="0"/>
              <w:jc w:val="left"/>
              <w:rPr/>
            </w:pPr>
            <w:r>
              <w:rPr/>
            </w:r>
          </w:p>
        </w:tc>
        <w:tc>
          <w:tcPr>
            <w:tcW w:w="6191" w:type="dxa"/>
            <w:vMerge w:val="continue"/>
            <w:tcBorders/>
          </w:tcPr>
          <w:p>
            <w:pPr>
              <w:pStyle w:val="Normal"/>
              <w:bidi w:val="0"/>
              <w:jc w:val="left"/>
              <w:rPr/>
            </w:pPr>
            <w:r>
              <w:rPr/>
            </w:r>
          </w:p>
        </w:tc>
      </w:tr>
    </w:tbl>
    <w:p>
      <w:pPr>
        <w:pStyle w:val="Normal"/>
        <w:bidi w:val="0"/>
        <w:spacing w:before="0" w:after="0"/>
        <w:jc w:val="left"/>
        <w:rPr>
          <w:sz w:val="4"/>
          <w:szCs w:val="4"/>
        </w:rPr>
      </w:pPr>
      <w:r>
        <w:rPr>
          <w:sz w:val="4"/>
          <w:szCs w:val="4"/>
        </w:rPr>
      </w:r>
      <w:bookmarkStart w:id="21" w:name="d171896dexfilingfees.htm"/>
      <w:bookmarkStart w:id="22" w:name="ksd171896dexfilingfees"/>
      <w:bookmarkStart w:id="23" w:name="d171896dexfilingfees.htm"/>
      <w:bookmarkStart w:id="24" w:name="ksd171896dexfilingfees"/>
      <w:bookmarkEnd w:id="23"/>
      <w:bookmarkEnd w:id="24"/>
      <w:r>
        <w:br w:type="page"/>
      </w:r>
    </w:p>
    <w:tbl>
      <w:tblPr>
        <w:tblW w:w="3545" w:type="dxa"/>
        <w:jc w:val="left"/>
        <w:tblInd w:w="0" w:type="dxa"/>
        <w:tblLayout w:type="fixed"/>
        <w:tblCellMar>
          <w:top w:w="28" w:type="dxa"/>
          <w:left w:w="28" w:type="dxa"/>
          <w:bottom w:w="28" w:type="dxa"/>
          <w:right w:w="28" w:type="dxa"/>
        </w:tblCellMar>
      </w:tblPr>
      <w:tblGrid>
        <w:gridCol w:w="3391"/>
        <w:gridCol w:w="154"/>
      </w:tblGrid>
      <w:tr>
        <w:trPr/>
        <w:tc>
          <w:tcPr>
            <w:tcW w:w="35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b/>
              </w:rPr>
            </w:pPr>
            <w:r>
              <w:rPr>
                <w:b/>
              </w:rPr>
              <w:t xml:space="preserve">Bakkt,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6"/>
        <w:gridCol w:w="1125"/>
        <w:gridCol w:w="1308"/>
        <w:gridCol w:w="1216"/>
        <w:gridCol w:w="1268"/>
        <w:gridCol w:w="1619"/>
        <w:gridCol w:w="1007"/>
        <w:gridCol w:w="1454"/>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8"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6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1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5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6" w:type="dxa"/>
            <w:tcBorders/>
            <w:shd w:fill="E7E7E2" w:val="clear"/>
            <w:vAlign w:val="center"/>
          </w:tcPr>
          <w:p>
            <w:pPr>
              <w:pStyle w:val="TableContents"/>
              <w:bidi w:val="0"/>
              <w:spacing w:before="0" w:after="283"/>
              <w:jc w:val="left"/>
              <w:rPr/>
            </w:pPr>
            <w:r>
              <w:rPr/>
              <w:t xml:space="preserve">Equity </w:t>
            </w:r>
          </w:p>
        </w:tc>
        <w:tc>
          <w:tcPr>
            <w:tcW w:w="1125" w:type="dxa"/>
            <w:tcBorders/>
            <w:shd w:fill="E7E7E2" w:val="clear"/>
            <w:vAlign w:val="center"/>
          </w:tcPr>
          <w:p>
            <w:pPr>
              <w:pStyle w:val="TableContents"/>
              <w:bidi w:val="0"/>
              <w:spacing w:before="0" w:after="283"/>
              <w:jc w:val="left"/>
              <w:rPr/>
            </w:pPr>
            <w:r>
              <w:rPr/>
              <w:t xml:space="preserve">Class A Common stock, par value $0.0001 per share </w:t>
            </w:r>
          </w:p>
        </w:tc>
        <w:tc>
          <w:tcPr>
            <w:tcW w:w="1308" w:type="dxa"/>
            <w:tcBorders/>
            <w:shd w:fill="E7E7E2" w:val="clear"/>
            <w:vAlign w:val="center"/>
          </w:tcPr>
          <w:p>
            <w:pPr>
              <w:pStyle w:val="TableContents"/>
              <w:bidi w:val="0"/>
              <w:spacing w:before="0" w:after="283"/>
              <w:jc w:val="center"/>
              <w:rPr/>
            </w:pPr>
            <w:r>
              <w:rPr/>
              <w:t xml:space="preserve">Other </w:t>
            </w:r>
          </w:p>
        </w:tc>
        <w:tc>
          <w:tcPr>
            <w:tcW w:w="1216" w:type="dxa"/>
            <w:tcBorders/>
            <w:shd w:fill="E7E7E2" w:val="clear"/>
            <w:vAlign w:val="center"/>
          </w:tcPr>
          <w:p>
            <w:pPr>
              <w:pStyle w:val="TableContents"/>
              <w:bidi w:val="0"/>
              <w:spacing w:before="0" w:after="283"/>
              <w:jc w:val="right"/>
              <w:rPr/>
            </w:pPr>
            <w:r>
              <w:rPr/>
              <w:t xml:space="preserve">1,500,000 </w:t>
            </w:r>
          </w:p>
        </w:tc>
        <w:tc>
          <w:tcPr>
            <w:tcW w:w="1268" w:type="dxa"/>
            <w:tcBorders/>
            <w:shd w:fill="E7E7E2" w:val="clear"/>
            <w:vAlign w:val="center"/>
          </w:tcPr>
          <w:p>
            <w:pPr>
              <w:pStyle w:val="TableContents"/>
              <w:bidi w:val="0"/>
              <w:spacing w:before="0" w:after="283"/>
              <w:jc w:val="right"/>
              <w:rPr/>
            </w:pPr>
            <w:r>
              <w:rPr/>
              <w:t xml:space="preserve">$ 5.56 </w:t>
            </w:r>
          </w:p>
        </w:tc>
        <w:tc>
          <w:tcPr>
            <w:tcW w:w="1619" w:type="dxa"/>
            <w:tcBorders/>
            <w:shd w:fill="E7E7E2" w:val="clear"/>
            <w:vAlign w:val="center"/>
          </w:tcPr>
          <w:p>
            <w:pPr>
              <w:pStyle w:val="TableContents"/>
              <w:bidi w:val="0"/>
              <w:spacing w:before="0" w:after="283"/>
              <w:jc w:val="right"/>
              <w:rPr/>
            </w:pPr>
            <w:r>
              <w:rPr/>
              <w:t xml:space="preserve">$ 8,340,000.00 </w:t>
            </w:r>
          </w:p>
        </w:tc>
        <w:tc>
          <w:tcPr>
            <w:tcW w:w="1007" w:type="dxa"/>
            <w:tcBorders/>
            <w:shd w:fill="E7E7E2" w:val="clear"/>
            <w:vAlign w:val="center"/>
          </w:tcPr>
          <w:p>
            <w:pPr>
              <w:pStyle w:val="TableContents"/>
              <w:bidi w:val="0"/>
              <w:spacing w:before="0" w:after="283"/>
              <w:jc w:val="right"/>
              <w:rPr/>
            </w:pPr>
            <w:r>
              <w:rPr/>
              <w:t xml:space="preserve">0.000087 </w:t>
            </w:r>
          </w:p>
        </w:tc>
        <w:tc>
          <w:tcPr>
            <w:tcW w:w="1454" w:type="dxa"/>
            <w:tcBorders/>
            <w:shd w:fill="E7E7E2" w:val="clear"/>
            <w:vAlign w:val="center"/>
          </w:tcPr>
          <w:p>
            <w:pPr>
              <w:pStyle w:val="TableContents"/>
              <w:bidi w:val="0"/>
              <w:spacing w:before="0" w:after="283"/>
              <w:jc w:val="right"/>
              <w:rPr/>
            </w:pPr>
            <w:r>
              <w:rPr/>
              <w:t xml:space="preserve">$ 725.58 </w:t>
            </w:r>
          </w:p>
        </w:tc>
      </w:tr>
      <w:tr>
        <w:trPr/>
        <w:tc>
          <w:tcPr>
            <w:tcW w:w="4857" w:type="dxa"/>
            <w:gridSpan w:val="5"/>
            <w:tcBorders/>
            <w:vAlign w:val="center"/>
          </w:tcPr>
          <w:p>
            <w:pPr>
              <w:pStyle w:val="TableContents"/>
              <w:bidi w:val="0"/>
              <w:spacing w:before="0" w:after="0"/>
              <w:ind w:left="0" w:right="0" w:hanging="0"/>
              <w:jc w:val="right"/>
              <w:rPr/>
            </w:pPr>
            <w:r>
              <w:rPr/>
              <w:t>Total Offering Amounts:</w:t>
            </w:r>
          </w:p>
        </w:tc>
        <w:tc>
          <w:tcPr>
            <w:tcW w:w="126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0"/>
              <w:ind w:left="0" w:right="0" w:hanging="0"/>
              <w:jc w:val="right"/>
              <w:rPr/>
            </w:pPr>
            <w:bookmarkStart w:id="25" w:name="MaxAggtOfferingPrice"/>
            <w:bookmarkEnd w:id="25"/>
            <w:r>
              <w:rPr/>
              <w:t xml:space="preserve">$ 8,340,000.00 </w:t>
            </w:r>
          </w:p>
        </w:tc>
        <w:tc>
          <w:tcPr>
            <w:tcW w:w="1007" w:type="dxa"/>
            <w:tcBorders/>
            <w:vAlign w:val="center"/>
          </w:tcPr>
          <w:p>
            <w:pPr>
              <w:pStyle w:val="TableContents"/>
              <w:bidi w:val="0"/>
              <w:spacing w:before="0" w:after="283"/>
              <w:jc w:val="left"/>
              <w:rPr>
                <w:sz w:val="4"/>
                <w:szCs w:val="4"/>
              </w:rPr>
            </w:pPr>
            <w:r>
              <w:rPr>
                <w:sz w:val="4"/>
                <w:szCs w:val="4"/>
              </w:rPr>
            </w:r>
          </w:p>
        </w:tc>
        <w:tc>
          <w:tcPr>
            <w:tcW w:w="145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$ 725.58 </w:t>
            </w:r>
          </w:p>
        </w:tc>
      </w:tr>
      <w:tr>
        <w:trPr/>
        <w:tc>
          <w:tcPr>
            <w:tcW w:w="4857" w:type="dxa"/>
            <w:gridSpan w:val="5"/>
            <w:tcBorders/>
            <w:vAlign w:val="center"/>
          </w:tcPr>
          <w:p>
            <w:pPr>
              <w:pStyle w:val="TableContents"/>
              <w:bidi w:val="0"/>
              <w:spacing w:before="0" w:after="0"/>
              <w:ind w:left="0" w:right="0" w:hanging="0"/>
              <w:jc w:val="right"/>
              <w:rPr/>
            </w:pPr>
            <w:r>
              <w:rPr/>
              <w:t xml:space="preserve">Total Fee Offsets: </w:t>
            </w:r>
          </w:p>
        </w:tc>
        <w:tc>
          <w:tcPr>
            <w:tcW w:w="126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0"/>
              <w:ind w:left="0" w:right="0" w:hanging="0"/>
              <w:jc w:val="right"/>
              <w:rPr/>
            </w:pPr>
            <w:bookmarkStart w:id="27" w:name="TotalOffsetAmt"/>
            <w:bookmarkEnd w:id="27"/>
            <w:r>
              <w:rPr/>
              <w:t xml:space="preserve">$ 0.00 </w:t>
            </w:r>
          </w:p>
        </w:tc>
      </w:tr>
      <w:tr>
        <w:trPr/>
        <w:tc>
          <w:tcPr>
            <w:tcW w:w="4857" w:type="dxa"/>
            <w:gridSpan w:val="5"/>
            <w:tcBorders/>
            <w:vAlign w:val="center"/>
          </w:tcPr>
          <w:p>
            <w:pPr>
              <w:pStyle w:val="TableContents"/>
              <w:bidi w:val="0"/>
              <w:spacing w:before="0" w:after="0"/>
              <w:ind w:left="0" w:right="0" w:hanging="0"/>
              <w:jc w:val="right"/>
              <w:rPr/>
            </w:pPr>
            <w:r>
              <w:rPr/>
              <w:t xml:space="preserve">Net Fee Due: </w:t>
            </w:r>
          </w:p>
        </w:tc>
        <w:tc>
          <w:tcPr>
            <w:tcW w:w="126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0"/>
              <w:ind w:left="0" w:right="0" w:hanging="0"/>
              <w:jc w:val="right"/>
              <w:rPr/>
            </w:pPr>
            <w:bookmarkStart w:id="28" w:name="NetFeeAmt"/>
            <w:bookmarkEnd w:id="28"/>
            <w:r>
              <w:rPr/>
              <w:t xml:space="preserve">$ 725.58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This Registration Statement covers shares of Class A common stock, $0.0001 par value per share, of Bakkt, Inc., or the Registrant, authorized for issuance pursuant to the Registrant's 2026 Inducement Plan (the "Plan"). Pursuant to Rule 416(a) of the Securities Act of 1933, as amended (the "Securities Act"), this Registration Statement also covers any additional shares that may become issuable under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Registrant, combination or exchange of shares, dividend in kind or other like change in capital structure. (2) Estimated solely for purpose of calculating the registration fee. Pursuant to Rule 457(c) and Rule 457(h) under the Securities Act, the proposed maximum offering price per unit and maximum aggregate offering price are based on the reported average of the high and low prices of the Registrant's Class A common stock as reported on the New York Stock Exchange on October 19, 2026 (rounded up to the nearest cent).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20302/000162828026019870/bakkt-20251231.htm" TargetMode="External"/><Relationship Id="rId3" Type="http://schemas.openxmlformats.org/officeDocument/2006/relationships/hyperlink" Target="http://www.sec.gov/Archives/edgar/data/../../../ix?doc=/Archives/edgar/data/1820302/000162828026029018/bakkt-20260430.htm" TargetMode="External"/><Relationship Id="rId4" Type="http://schemas.openxmlformats.org/officeDocument/2006/relationships/hyperlink" Target="http://www.sec.gov/Archives/edgar/data/../../../ix?doc=/Archives/edgar/data/1820302/000162828026033576/bakkt-20260331.htm" TargetMode="External"/><Relationship Id="rId5" Type="http://schemas.openxmlformats.org/officeDocument/2006/relationships/hyperlink" Target="http://www.sec.gov/Archives/edgar/data/../../../ix?doc=/Archives/edgar/data/1820302/000162828026055275/bakkt-20260630.htm" TargetMode="External"/><Relationship Id="rId6" Type="http://schemas.openxmlformats.org/officeDocument/2006/relationships/hyperlink" Target="http://www.sec.gov/Archives/edgar/data/../../../ix?doc=/Archives/edgar/data/1820302/000119312526353239/d145238d8k.htm" TargetMode="External"/><Relationship Id="rId7" Type="http://schemas.openxmlformats.org/officeDocument/2006/relationships/hyperlink" Target="http://www.sec.gov/Archives/edgar/data/../../../ix?doc=/Archives/edgar/data/1820302/000162828026045627/bakkt-20260625.htm" TargetMode="External"/><Relationship Id="rId8" Type="http://schemas.openxmlformats.org/officeDocument/2006/relationships/hyperlink" Target="http://www.sec.gov/Archives/edgar/data/../../../ix?doc=/Archives/edgar/data/1820302/000162828026040634/bakkt-20260603.htm" TargetMode="External"/><Relationship Id="rId9" Type="http://schemas.openxmlformats.org/officeDocument/2006/relationships/hyperlink" Target="http://www.sec.gov/Archives/edgar/data/../../../ix?doc=/Archives/edgar/data/1820302/000119312526197835/d233784d8k.htm" TargetMode="External"/><Relationship Id="rId10" Type="http://schemas.openxmlformats.org/officeDocument/2006/relationships/hyperlink" Target="http://www.sec.gov/Archives/edgar/data/../../../ix?doc=/Archives/edgar/data/1820302/000162828026025920/bakkt-20260417.htm" TargetMode="External"/><Relationship Id="rId11" Type="http://schemas.openxmlformats.org/officeDocument/2006/relationships/hyperlink" Target="http://www.sec.gov/Archives/edgar/data/../../../ix?doc=/Archives/edgar/data/1820302/000162828026020821/bakkt-20260324.htm" TargetMode="External"/><Relationship Id="rId12" Type="http://schemas.openxmlformats.org/officeDocument/2006/relationships/hyperlink" Target="http://www.sec.gov/Archives/edgar/data/../../../ix?doc=/Archives/edgar/data/1820302/000119312526085441/d42586d8k.htm" TargetMode="External"/><Relationship Id="rId13" Type="http://schemas.openxmlformats.org/officeDocument/2006/relationships/hyperlink" Target="http://www.sec.gov/Archives/edgar/data/../../../ix?doc=/Archives/edgar/data/1820302/000119312526016077/d43240d8k.htm" TargetMode="External"/><Relationship Id="rId14" Type="http://schemas.openxmlformats.org/officeDocument/2006/relationships/hyperlink" Target="http://www.sec.gov/Archives/edgar/data/../../../ix?doc=/Archives/edgar/data/1820302/000119312526015873/d51133d8k.htm" TargetMode="External"/><Relationship Id="rId15" Type="http://schemas.openxmlformats.org/officeDocument/2006/relationships/hyperlink" Target="http://www.sec.gov/Archives/edgar/data/../../../ix?doc=/Archives/edgar/data/1820302/000119312526009830/d88960d8k.htm" TargetMode="External"/><Relationship Id="rId16" Type="http://schemas.openxmlformats.org/officeDocument/2006/relationships/hyperlink" Target="http://www.sec.gov/Archives/edgar/data/../../../ix?doc=/Archives/edgar/data/1820302/000162828026054892/bakkt-20260807.htm" TargetMode="External"/><Relationship Id="rId17" Type="http://schemas.openxmlformats.org/officeDocument/2006/relationships/hyperlink" Target="http://www.sec.gov/Archives/edgar/data/../../../ix?doc=/Archives/edgar/data/1820302/000162828026048523/bakkt-20260716.htm" TargetMode="External"/><Relationship Id="rId18" Type="http://schemas.openxmlformats.org/officeDocument/2006/relationships/hyperlink" Target="http://www.sec.gov/Archives/edgar/data/1820302/000119312525262732/d83327dex991.htm" TargetMode="External"/><Relationship Id="rId19" Type="http://schemas.openxmlformats.org/officeDocument/2006/relationships/hyperlink" Target="http://www.sec.gov/Archives/edgar/data/1820302/000119312525262732/d83327dex31.htm" TargetMode="External"/><Relationship Id="rId20" Type="http://schemas.openxmlformats.org/officeDocument/2006/relationships/hyperlink" Target="http://www.sec.gov/Archives/edgar/data/1820302/000119312526009830/d88960dex32.htm" TargetMode="External"/><Relationship Id="rId21" Type="http://schemas.openxmlformats.org/officeDocument/2006/relationships/hyperlink" Target="http://www.sec.gov/Archives/edgar/data/1820302/000119312526009830/d88960dex33.htm" TargetMode="External"/><Relationship Id="rId22" Type="http://schemas.openxmlformats.org/officeDocument/2006/relationships/hyperlink" Target="http://www.sec.gov/Archives/edgar/data/1820302/000119312521303985/d219325dex4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30891</Words>
  <Characters>162142</Characters>
  <CharactersWithSpaces>193224</CharactersWithSpaces>
  <Paragraphs>1030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EX-23.4</dc:title>
</cp:coreProperties>
</file>