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156845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394" w:lineRule="exact"/>
        <w:rPr>
          <w:sz w:val="24"/>
          <w:szCs w:val="24"/>
          <w:color w:val="auto"/>
        </w:rPr>
      </w:pPr>
    </w:p>
    <w:p>
      <w:pPr>
        <w:ind w:left="1244"/>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001-39544</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98-1550750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08"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Victory Park Capital Advisors, LLC</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150 North Riverside Plaza, Suite 5200</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Chicago, IL 60606</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9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(312) 701-1777</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165100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36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378"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VIHAU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$0.0001 par value, and one-half of one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 purchase one Class A ordinary share</w:t>
            </w: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ordinary shares, $0.0001 par value per</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VIH</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to purchase Class A ordinary shares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VIHAW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On April 1, 2021, VPC Impact Acquisition Holdings (“VIH”) issued a press release announcing that it has filed with the Securities and Exchange Commission (the “SEC”) a registration statement on Form S-4, which includes a preliminary proxy statement of VIH in connection with the proposed business combination (the “Proposed Transaction”) with Bakkt Holdings, LLC (“Bakkt”). A copy of the press release is furnished as Exhibit 99.1 hereto and incorporated by reference hereby.</w:t>
      </w:r>
    </w:p>
    <w:p>
      <w:pPr>
        <w:spacing w:after="0" w:line="18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the filings of VIH under the Securities Act or the Exchange Act, regardless of any general incorporation language in such filings. This Current Report on Form 8-K will not be deemed an admission as to the materiality of any information of the information contained in this Item 7.01, including Exhibit 99.1.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connection with the Proposed Transaction, VIH filed a registration statement on Form S-4 that includes a proxy statement/prospectus of VIH. This document is not a substitute for the proxy statement/prospectus, that will be both the proxy statement to be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the Domestication. After the registration statement is declared effective, VIH will mail a definitive proxy statement/prospectus and other relevant documents to its shareholders.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when available, the preliminary proxy statement/prospectus included in the registration statement and the amendments thereto and the definitive proxy statement/prospectus and other documents filed in connection with the Proposed Transaction, as these materials will contain important information about Bakkt, VIH and the Proposed Transaction.</w:t>
      </w:r>
    </w:p>
    <w:p>
      <w:pPr>
        <w:spacing w:after="0" w:line="185"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INVESTORS AND SECURITY HOLDERS AND OTHER INTERESTED PARTIES ARE URGED TO READ THE PROXY STATEMENT/PROSPECTUS AND ANY OTHER RELEVANT DOCUMENTS THAT ARE FILED OR WILL BE FILED WITH THE SEC, AS WELL AS ANY AMENDMENTS OR SUPPLEMENTS TO THESE DOCUMENTS, CAREFULLY AND IN THEIR ENTIRETY WHEN THEY BECOME AVAILABLE BECAUSE THEY WILL CONTAIN IMPORTANT INFORMATION ABOUT BAKKT, VIH, THE PROPOSED TRANSACTION AND RELATED MATTERS.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When available, the definitive proxy statement/prospectus and other relevant materials for the Proposed Transaction will be mailed to shareholders of VIH as of a record date to be established for voting on the Proposed Transaction. VIH shareholders will also be able to obtain copies of the preliminary proxy statement/prospectus, the definitive proxy statement/prospectus and other documents filed with the SEC, without charge, once available, at the SEC’s website at www.sec.gov. These documents (when they are available)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ectPr>
          <w:pgSz w:w="11900" w:h="16838" w:orient="portrait"/>
          <w:cols w:equalWidth="0" w:num="1">
            <w:col w:w="10980"/>
          </w:cols>
          <w:pgMar w:left="440" w:top="270"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Solicitation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communication is not a solicitation of a proxy from any investor or securityholder. However, VIH, Bakkt, Intercontinental Exchange Holdings, Inc. and certain of their respective directors and executive officers may be deemed to be participants in the solicitation of proxies in connection with the Proposed Transaction under the rules of the SEC. Information regarding VIH directors and executive officers may be found in its registration statement on Form S-1, including amendments thereto, and other reports which are filed with the SEC. Additional information regarding the participants will also be included in the registration statement on Form S-4 that includes the preliminary proxy statement/prospectus, when it becomes available. When available, these documents can be obtained free of charge from the sources indicated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8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w:t>
      </w:r>
    </w:p>
    <w:p>
      <w:pPr>
        <w:sectPr>
          <w:pgSz w:w="11900" w:h="16838" w:orient="portrait"/>
          <w:cols w:equalWidth="0" w:num="1">
            <w:col w:w="11000"/>
          </w:cols>
          <w:pgMar w:left="440" w:top="270" w:right="459" w:bottom="1440" w:gutter="0" w:footer="0" w:header="0"/>
        </w:sectPr>
      </w:pPr>
    </w:p>
    <w:bookmarkStart w:id="3" w:name="page4"/>
    <w:bookmarkEnd w:id="3"/>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ectPr>
          <w:pgSz w:w="11900" w:h="16838" w:orient="portrait"/>
          <w:cols w:equalWidth="0" w:num="1">
            <w:col w:w="11000"/>
          </w:cols>
          <w:pgMar w:left="440" w:top="274"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tcPr>
          <w:p>
            <w:pPr>
              <w:spacing w:after="0" w:line="169" w:lineRule="exact"/>
              <w:rPr>
                <w:sz w:val="20"/>
                <w:szCs w:val="20"/>
                <w:color w:val="auto"/>
              </w:rPr>
            </w:pPr>
            <w:r>
              <w:rPr>
                <w:rFonts w:ascii="Arial" w:cs="Arial" w:eastAsia="Arial" w:hAnsi="Arial"/>
                <w:sz w:val="18"/>
                <w:szCs w:val="18"/>
                <w:color w:val="auto"/>
              </w:rPr>
              <w:t>99.1</w:t>
            </w:r>
          </w:p>
        </w:tc>
        <w:tc>
          <w:tcPr>
            <w:tcW w:w="740" w:type="dxa"/>
            <w:vAlign w:val="bottom"/>
            <w:vMerge w:val="continue"/>
          </w:tcPr>
          <w:p>
            <w:pPr>
              <w:spacing w:after="0"/>
              <w:rPr>
                <w:sz w:val="14"/>
                <w:szCs w:val="14"/>
                <w:color w:val="auto"/>
              </w:rPr>
            </w:pPr>
          </w:p>
        </w:tc>
        <w:tc>
          <w:tcPr>
            <w:tcW w:w="2860" w:type="dxa"/>
            <w:vAlign w:val="bottom"/>
            <w:tcBorders>
              <w:bottom w:val="single" w:sz="8" w:color="0000EE"/>
            </w:tcBorders>
            <w:gridSpan w:val="2"/>
          </w:tcPr>
          <w:p>
            <w:pPr>
              <w:spacing w:after="0" w:line="169"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Press Release, dated as of April 1, 2021</w:t>
              </w:r>
            </w:hyperlink>
          </w:p>
        </w:tc>
        <w:tc>
          <w:tcPr>
            <w:tcW w:w="0" w:type="dxa"/>
            <w:vAlign w:val="bottom"/>
          </w:tcPr>
          <w:p>
            <w:pPr>
              <w:spacing w:after="0"/>
              <w:rPr>
                <w:sz w:val="1"/>
                <w:szCs w:val="1"/>
                <w:color w:val="auto"/>
              </w:rPr>
            </w:pPr>
          </w:p>
        </w:tc>
      </w:tr>
    </w:tbl>
    <w:p>
      <w:pPr>
        <w:sectPr>
          <w:pgSz w:w="11900" w:h="16838" w:orient="portrait"/>
          <w:cols w:equalWidth="0" w:num="1">
            <w:col w:w="10019"/>
          </w:cols>
          <w:pgMar w:left="440" w:top="270"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20" w:type="dxa"/>
            <w:vAlign w:val="bottom"/>
            <w:gridSpan w:val="2"/>
          </w:tcPr>
          <w:p>
            <w:pPr>
              <w:ind w:left="5520"/>
              <w:spacing w:after="0"/>
              <w:rPr>
                <w:sz w:val="20"/>
                <w:szCs w:val="20"/>
                <w:color w:val="auto"/>
              </w:rPr>
            </w:pPr>
            <w:r>
              <w:rPr>
                <w:rFonts w:ascii="Arial" w:cs="Arial" w:eastAsia="Arial" w:hAnsi="Arial"/>
                <w:sz w:val="18"/>
                <w:szCs w:val="18"/>
                <w:color w:val="auto"/>
              </w:rPr>
              <w:t>VPC Impact Acquisition Holdings</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Date: April 1, 2021</w:t>
            </w:r>
          </w:p>
        </w:tc>
        <w:tc>
          <w:tcPr>
            <w:tcW w:w="4860" w:type="dxa"/>
            <w:vAlign w:val="bottom"/>
            <w:vMerge w:val="restart"/>
          </w:tcPr>
          <w:p>
            <w:pPr>
              <w:spacing w:after="0"/>
              <w:rPr>
                <w:sz w:val="20"/>
                <w:szCs w:val="20"/>
                <w:color w:val="auto"/>
              </w:rPr>
            </w:pPr>
            <w:r>
              <w:rPr>
                <w:rFonts w:ascii="Arial" w:cs="Arial" w:eastAsia="Arial" w:hAnsi="Arial"/>
                <w:sz w:val="18"/>
                <w:szCs w:val="18"/>
                <w:color w:val="auto"/>
              </w:rPr>
              <w:t>/s/ John Martin</w:t>
            </w:r>
          </w:p>
        </w:tc>
        <w:tc>
          <w:tcPr>
            <w:tcW w:w="0" w:type="dxa"/>
            <w:vAlign w:val="bottom"/>
          </w:tcPr>
          <w:p>
            <w:pPr>
              <w:spacing w:after="0"/>
              <w:rPr>
                <w:sz w:val="1"/>
                <w:szCs w:val="1"/>
                <w:color w:val="auto"/>
              </w:rPr>
            </w:pPr>
          </w:p>
        </w:tc>
      </w:tr>
      <w:tr>
        <w:trPr>
          <w:trHeight w:val="221"/>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John Martin</w:t>
            </w:r>
          </w:p>
        </w:tc>
        <w:tc>
          <w:tcPr>
            <w:tcW w:w="0" w:type="dxa"/>
            <w:vAlign w:val="bottom"/>
          </w:tcPr>
          <w:p>
            <w:pPr>
              <w:spacing w:after="0"/>
              <w:rPr>
                <w:sz w:val="1"/>
                <w:szCs w:val="1"/>
                <w:color w:val="auto"/>
              </w:rPr>
            </w:pPr>
          </w:p>
        </w:tc>
      </w:t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 and Chairman</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VPC Impact Acquisition Holdings Announces Filing of a Registration Statement on SEC Form S-4 in Connection with its Proposed Business Combination with Bakkt Holdings, LLC</w:t>
      </w:r>
    </w:p>
    <w:p>
      <w:pPr>
        <w:spacing w:after="0" w:line="18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CHICAGO – April 1, 2021 – VPC Impact Acquisition Holdings (NASDAQ: VIHAU, VIH and VIHAW) (“VIH”), announced today that it has filed with the U.S. Securities and Exchange Commission (“SEC”) a registration statement on Form S-4 (the “Registration Statement”), which includes a preliminary proxy statement of VIH in connection with the proposed Business Combination with Bakkt Holdings, LLC (“Bakkt”), a digital asset marketplace.</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Upon the consummation of the proposed transaction, VIH will be renamed “Bakkt Holdings, Inc.” Bakkt Holdings, Inc. is anticipated to become a NYSE-listed public company trading under the ticker symbol “BKKT.”</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Business Combination, which was announced on January 11, 2021, has been unanimously approved by the VIH Board of Directors and is expected to close in the second quarter of 2021, subject to VIH shareholder approval, the Registration Statement being declared effective by the SEC, and other regulatory and customary closing conditions.</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PJ Solomon is serving as financial advisor and Shearman &amp; Sterling is serving as legal advisor to Bakkt. Jefferies and Citigroup are serving as financial and capital markets advisors to VIH. White &amp; Case LLP is serving as legal advisor to VIH.</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VPC Impact Acquisition Holdings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VPC Impact Acquisition Holdings’ sponsor is an affiliate of Victory Park Capital, a global investment firm with a long track record of executing debt and equity financing transactions with some of the largest global Fintech companies. The firm was founded in 2007 and is headquartered in Chicago with additional resources in New York, Los Angeles and San Francisco. Victory Park Capital is privately held and a Registered Investment Advisor with the SEC.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Bakkt</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Bakkt is a trusted digital asset marketplace that enables institutions and consumers to buy, sell, store and spend digital assets. Bakkt’s retail platform, now widely available through the new Bakkt App, will amplify consumer spending, reduce traditional payment costs and bolster loyalty programs, adding value for all key stakeholders within the payments and digital assets ecosystem. Launched in 2018 by Intercontinental Exchange, Inc., Bakkt is headquartered in Atlanta, GA. For more information, visit: https://www.bakkt.com/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In connection with the Business Combination, VIH has filed a Registration Statement on Form S-4 (the “Form S-4”) with the SEC which includes a prospectus with respect to changing VIH’s jurisdiction of incorporation from the Cayman Islands to the State of Delaware, and a proxy statement with respect to VIH’s stockholder meeting at which VIH stockholders will be asked to vote on the proposed Business Combination. VIH and Bakkt urge investors, stockholders and other interested persons to read the Form S-4, including the proxy statement/prospectus, as well as other documents filed with the SEC, because these documents will contain important information about the Business Combination.</w:t>
      </w:r>
    </w:p>
    <w:p>
      <w:pPr>
        <w:spacing w:after="0" w:line="1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When available, the definitive proxy statement/prospectus and other relevant materials for the Business Combination will be mailed to shareholders of VIH as of a record date to be established for voting on the Business Combination. VIH’s shareholders will also be able to obtain copies of the preliminary proxy statement/prospectus, the definitive proxy statement/prospectus and other documents filed with the SEC, without charge, once available, at the SEC’s website at www.sec.gov. These documents (when they are available)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Solicitation</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VIH, Bakkt and their respective directors, managers, executive officers and other members of their management and employees, under SEC rules, may be deemed to be participants in the solicitation of proxies of VIH stockholders in connection with the Business Combination. Information regarding the persons who may, under SEC rules, be deemed participants in the solicitation of proxies to VIH’s stockholders in connection with the Business Combination is set forth in the preliminary proxy statement/prospectus contained in the Form S-4, and will also be included in the definitive proxy statement/prospectus for the Business Combination when available. Information concerning the interests of VIH and Bakkt’s participants in the solicitation, which may, in some cases, be different than those of VIH and Bakkt’s equity holders generally, is also set forth in the proxy statement/prospectus contained in the Form S-4, and will also be included in the definitive proxy statement/prospectus for the Business Combination when available.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Business Combination, including the implied enterprise value, the expected transaction and ownership structure and the likelihood and ability of the parties to successfully consummate the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Business Combination, including the occurrence of any event, change or other circumstances that could give rise to the termination of the definitive agreement; (ii) the inability to complete the Business Combination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Business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8" w:name="page9"/>
    <w:bookmarkEnd w:id="8"/>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Combination; (iii) costs related to the Business Combination; (iv) a delay or failure to realize the expected benefits from the Business Combination;</w:t>
      </w:r>
    </w:p>
    <w:p>
      <w:pPr>
        <w:spacing w:after="0" w:line="46" w:lineRule="exact"/>
        <w:rPr>
          <w:sz w:val="20"/>
          <w:szCs w:val="20"/>
          <w:color w:val="auto"/>
        </w:rPr>
      </w:pPr>
    </w:p>
    <w:p>
      <w:pPr>
        <w:ind w:left="4" w:hanging="4"/>
        <w:spacing w:after="0" w:line="268" w:lineRule="auto"/>
        <w:tabs>
          <w:tab w:leader="none" w:pos="259"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related to disruption of management time from ongoing business operations due to the Business Combination;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81"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Bakkt: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BakktIR@edelman.com</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Media</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Rachel Ford</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rachel.ford@bakkt.com</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VIH:</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vihinfo@victoryparkcapital.com</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Media</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Julia Fisher (Sahin)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Julia.Fisher@edelman.com</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sectPr>
      <w:pgSz w:w="11900" w:h="16838" w:orient="portrait"/>
      <w:cols w:equalWidth="0" w:num="1">
        <w:col w:w="10964"/>
      </w:cols>
      <w:pgMar w:left="436"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2021-04-01T07:43:37Z</dcterms:created>
  <dcterms:modified xsi:type="dcterms:W3CDTF">2021-04-01T07:43:37Z</dcterms:modified>
</cp:coreProperties>
</file>