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Lewis Michael Leroy</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06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04/15/2022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85"/>
        <w:spacing w:after="0"/>
        <w:rPr>
          <w:sz w:val="20"/>
          <w:szCs w:val="20"/>
          <w:color w:val="auto"/>
        </w:rPr>
      </w:pPr>
      <w:r>
        <w:rPr>
          <w:rFonts w:ascii="Times New Roman" w:cs="Times New Roman" w:eastAsia="Times New Roman" w:hAnsi="Times New Roman"/>
          <w:sz w:val="17"/>
          <w:szCs w:val="17"/>
          <w:color w:val="0000FF"/>
        </w:rPr>
        <w:t>EVP Engineering &amp; Operations</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33,744</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320,414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and settlement of restricted stock units through the issuance of Class A Common Stock of the Issuer pursuant to the Bakkt Holdings, Inc. 2021 Omnibus Employee Incentive Plan, the Issuer withheld Class A Common Stock that would otherwise have been issued to the Reporting Person to satisfy his tax withholding obligations. The number of shares withheld was determined based on the closing price per share of Class A Common Stock on April 18, 2022.</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287,491 shares of Class A Common Stock subject to restricted stock units that remain subject to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04/19/2022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Leroy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58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14"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2022-04-19T17:25:21Z</dcterms:created>
  <dcterms:modified xsi:type="dcterms:W3CDTF">2022-04-19T17:25:21Z</dcterms:modified>
</cp:coreProperties>
</file>