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12001" w:type="dxa"/>
        <w:jc w:val="center"/>
        <w:tblInd w:w="0" w:type="dxa"/>
        <w:tblLayout w:type="fixed"/>
        <w:tblCellMar>
          <w:top w:w="28" w:type="dxa"/>
          <w:left w:w="28" w:type="dxa"/>
          <w:bottom w:w="28" w:type="dxa"/>
          <w:right w:w="28" w:type="dxa"/>
        </w:tblCellMar>
      </w:tblPr>
      <w:tblGrid>
        <w:gridCol w:w="2011"/>
        <w:gridCol w:w="9836"/>
        <w:gridCol w:w="154"/>
      </w:tblGrid>
      <w:tr>
        <w:trPr/>
        <w:tc>
          <w:tcPr>
            <w:tcW w:w="2011" w:type="dxa"/>
            <w:tcBorders/>
            <w:vAlign w:val="center"/>
          </w:tcPr>
          <w:p>
            <w:pPr>
              <w:pStyle w:val="TableContents"/>
              <w:bidi w:val="0"/>
              <w:spacing w:before="0" w:after="0"/>
              <w:jc w:val="center"/>
              <w:rPr>
                <w:rFonts w:ascii="arial;helvetica;sans-serif" w:hAnsi="arial;helvetica;sans-serif"/>
                <w:b/>
                <w:sz w:val="28"/>
              </w:rPr>
            </w:pPr>
            <w:r>
              <w:rPr>
                <w:rFonts w:ascii="arial;helvetica;sans-serif" w:hAnsi="arial;helvetica;sans-serif"/>
                <w:b/>
                <w:sz w:val="28"/>
              </w:rPr>
              <w:t>UNITED STATES</w:t>
            </w:r>
          </w:p>
          <w:tbl>
            <w:tblPr>
              <w:tblW w:w="5000" w:type="pct"/>
              <w:jc w:val="center"/>
              <w:tblInd w:w="0" w:type="dxa"/>
              <w:tblLayout w:type="fixed"/>
              <w:tblCellMar>
                <w:top w:w="28" w:type="dxa"/>
                <w:left w:w="28" w:type="dxa"/>
                <w:bottom w:w="28" w:type="dxa"/>
                <w:right w:w="28" w:type="dxa"/>
              </w:tblCellMar>
            </w:tblPr>
            <w:tblGrid>
              <w:gridCol w:w="1955"/>
            </w:tblGrid>
            <w:tr>
              <w:trPr/>
              <w:tc>
                <w:tcPr>
                  <w:tcW w:w="1955"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019"/>
                    <w:gridCol w:w="49"/>
                    <w:gridCol w:w="831"/>
                  </w:tblGrid>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3235-0080</w:t>
                        </w:r>
                      </w:p>
                    </w:tc>
                  </w:tr>
                  <w:tr>
                    <w:trPr/>
                    <w:tc>
                      <w:tcPr>
                        <w:tcW w:w="1019"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Expires:</w:t>
                        </w:r>
                      </w:p>
                    </w:tc>
                    <w:tc>
                      <w:tcPr>
                        <w:tcW w:w="880" w:type="dxa"/>
                        <w:gridSpan w:val="2"/>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March 31, 2018</w:t>
                        </w:r>
                      </w:p>
                    </w:tc>
                  </w:tr>
                  <w:tr>
                    <w:trPr/>
                    <w:tc>
                      <w:tcPr>
                        <w:tcW w:w="1899"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1.7</w:t>
                        </w:r>
                      </w:p>
                    </w:tc>
                  </w:tr>
                </w:tbl>
                <w:p>
                  <w:pPr>
                    <w:pStyle w:val="TableContents"/>
                    <w:bidi w:val="0"/>
                    <w:spacing w:before="0" w:after="283"/>
                    <w:jc w:val="left"/>
                    <w:rPr/>
                  </w:pPr>
                  <w:r>
                    <w:rPr/>
                  </w:r>
                </w:p>
              </w:tc>
            </w:tr>
            <w:tr>
              <w:trPr/>
              <w:tc>
                <w:tcPr>
                  <w:tcW w:w="1955"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9836" w:type="dxa"/>
            <w:vMerge w:val="restart"/>
            <w:tcBorders/>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SECURITIES AND EXCHANGE COMMISSION</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Washington, D.C. 20549</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25</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NOTIFICATION OF REMOVAL FROM LISTING AND/OR REGISTRATION</w:t>
              <w:br/>
              <w:t xml:space="preserve">UNDER SECTION 12(b) OF THE SECURITIES EXCHANGE ACT OF 1934. </w:t>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 xml:space="preserve">Commission File Number </w:t>
            </w:r>
          </w:p>
        </w:tc>
        <w:tc>
          <w:tcPr>
            <w:tcW w:w="9836" w:type="dxa"/>
            <w:tcBorders/>
            <w:vAlign w:val="center"/>
          </w:tcPr>
          <w:p>
            <w:pPr>
              <w:pStyle w:val="TableContents"/>
              <w:bidi w:val="0"/>
              <w:spacing w:before="0" w:after="0"/>
              <w:jc w:val="left"/>
              <w:rPr/>
            </w:pPr>
            <w:hyperlink r:id="rId2">
              <w:r>
                <w:rPr>
                  <w:rStyle w:val="InternetLink"/>
                </w:rPr>
                <w:t>001-39544</w:t>
              </w:r>
            </w:hyperlink>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top w:val="single" w:sz="4" w:space="0" w:color="000000"/>
                    <w:left w:val="single" w:sz="4" w:space="0" w:color="000000"/>
                    <w:bottom w:val="single" w:sz="4" w:space="0" w:color="000000"/>
                    <w:right w:val="single" w:sz="4" w:space="0" w:color="000000"/>
                  </w:tcBorders>
                  <w:vAlign w:val="bottom"/>
                </w:tcPr>
                <w:tbl>
                  <w:tblPr>
                    <w:tblW w:w="5552" w:type="dxa"/>
                    <w:jc w:val="center"/>
                    <w:tblInd w:w="0" w:type="dxa"/>
                    <w:tblLayout w:type="fixed"/>
                    <w:tblCellMar>
                      <w:top w:w="28" w:type="dxa"/>
                      <w:left w:w="28" w:type="dxa"/>
                      <w:bottom w:w="28" w:type="dxa"/>
                      <w:right w:w="28" w:type="dxa"/>
                    </w:tblCellMar>
                  </w:tblPr>
                  <w:tblGrid>
                    <w:gridCol w:w="1261"/>
                    <w:gridCol w:w="4291"/>
                  </w:tblGrid>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Issuer:</w:t>
                        </w:r>
                      </w:p>
                    </w:tc>
                    <w:tc>
                      <w:tcPr>
                        <w:tcW w:w="4291" w:type="dxa"/>
                        <w:tcBorders/>
                        <w:vAlign w:val="center"/>
                      </w:tcPr>
                      <w:p>
                        <w:pPr>
                          <w:pStyle w:val="TableContents"/>
                          <w:bidi w:val="0"/>
                          <w:spacing w:before="0" w:after="283"/>
                          <w:jc w:val="left"/>
                          <w:rPr/>
                        </w:pPr>
                        <w:hyperlink r:id="rId3">
                          <w:r>
                            <w:rPr>
                              <w:rStyle w:val="InternetLink"/>
                            </w:rPr>
                            <w:t>Bakkt, Inc.</w:t>
                          </w:r>
                        </w:hyperlink>
                      </w:p>
                    </w:tc>
                  </w:tr>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Exchange:</w:t>
                        </w:r>
                      </w:p>
                    </w:tc>
                    <w:tc>
                      <w:tcPr>
                        <w:tcW w:w="429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 STOCK EXCHANGE LLC</w:t>
                        </w:r>
                      </w:p>
                    </w:tc>
                  </w:tr>
                </w:tbl>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0"/>
                    <w:jc w:val="left"/>
                    <w:rPr>
                      <w:rFonts w:ascii="arial;helvetica;sans-serif" w:hAnsi="arial;helvetica;sans-serif"/>
                      <w:sz w:val="14"/>
                    </w:rPr>
                  </w:pPr>
                  <w:r>
                    <w:rPr>
                      <w:rFonts w:ascii="arial;helvetica;sans-serif" w:hAnsi="arial;helvetica;sans-serif"/>
                      <w:sz w:val="14"/>
                    </w:rPr>
                    <w:t xml:space="preserve">(Exact name of Issuer as specified in its charter, and name of Exchange where security is listed and/or registered) </w:t>
                  </w:r>
                </w:p>
                <w:tbl>
                  <w:tblPr>
                    <w:tblW w:w="6534" w:type="dxa"/>
                    <w:jc w:val="center"/>
                    <w:tblInd w:w="0" w:type="dxa"/>
                    <w:tblLayout w:type="fixed"/>
                    <w:tblCellMar>
                      <w:top w:w="28" w:type="dxa"/>
                      <w:left w:w="28" w:type="dxa"/>
                      <w:bottom w:w="28" w:type="dxa"/>
                      <w:right w:w="28" w:type="dxa"/>
                    </w:tblCellMar>
                  </w:tblPr>
                  <w:tblGrid>
                    <w:gridCol w:w="2206"/>
                    <w:gridCol w:w="796"/>
                    <w:gridCol w:w="1216"/>
                    <w:gridCol w:w="706"/>
                    <w:gridCol w:w="109"/>
                    <w:gridCol w:w="1501"/>
                  </w:tblGrid>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2827" w:type="dxa"/>
                        <w:gridSpan w:val="4"/>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3280 Peachtree Rd NE</w:t>
                        </w:r>
                      </w:p>
                    </w:tc>
                    <w:tc>
                      <w:tcPr>
                        <w:tcW w:w="1501" w:type="dxa"/>
                        <w:tcBorders/>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Atlanta</w:t>
                        </w:r>
                      </w:p>
                    </w:tc>
                    <w:tc>
                      <w:tcPr>
                        <w:tcW w:w="121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GEORGIA</w:t>
                        </w:r>
                      </w:p>
                    </w:tc>
                    <w:tc>
                      <w:tcPr>
                        <w:tcW w:w="70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30305</w:t>
                        </w:r>
                      </w:p>
                    </w:tc>
                    <w:tc>
                      <w:tcPr>
                        <w:tcW w:w="109" w:type="dxa"/>
                        <w:tcBorders/>
                      </w:tcPr>
                      <w:p>
                        <w:pPr>
                          <w:pStyle w:val="TableContents"/>
                          <w:bidi w:val="0"/>
                          <w:spacing w:before="0" w:after="283"/>
                          <w:jc w:val="left"/>
                          <w:rPr>
                            <w:sz w:val="4"/>
                            <w:szCs w:val="4"/>
                          </w:rPr>
                        </w:pPr>
                        <w:r>
                          <w:rPr>
                            <w:sz w:val="4"/>
                            <w:szCs w:val="4"/>
                          </w:rPr>
                        </w:r>
                      </w:p>
                    </w:tc>
                    <w:tc>
                      <w:tcPr>
                        <w:tcW w:w="1501" w:type="dxa"/>
                        <w:tcBorders/>
                      </w:tcPr>
                      <w:p>
                        <w:pPr>
                          <w:pStyle w:val="TableContents"/>
                          <w:bidi w:val="0"/>
                          <w:spacing w:before="0" w:after="283"/>
                          <w:jc w:val="left"/>
                          <w:rPr>
                            <w:sz w:val="4"/>
                            <w:szCs w:val="4"/>
                          </w:rPr>
                        </w:pPr>
                        <w:r>
                          <w:rPr>
                            <w:sz w:val="4"/>
                            <w:szCs w:val="4"/>
                          </w:rPr>
                        </w:r>
                      </w:p>
                    </w:tc>
                  </w:tr>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Telephone number:</w:t>
                        </w:r>
                      </w:p>
                    </w:tc>
                    <w:tc>
                      <w:tcPr>
                        <w:tcW w:w="2827" w:type="dxa"/>
                        <w:gridSpan w:val="4"/>
                        <w:tcBorders/>
                        <w:vAlign w:val="center"/>
                      </w:tcPr>
                      <w:p>
                        <w:pPr>
                          <w:pStyle w:val="TableContents"/>
                          <w:bidi w:val="0"/>
                          <w:spacing w:before="0" w:after="283"/>
                          <w:jc w:val="left"/>
                          <w:rPr>
                            <w:sz w:val="4"/>
                            <w:szCs w:val="4"/>
                          </w:rPr>
                        </w:pPr>
                        <w:r>
                          <w:rPr>
                            <w:sz w:val="4"/>
                            <w:szCs w:val="4"/>
                          </w:rPr>
                        </w:r>
                      </w:p>
                    </w:tc>
                    <w:tc>
                      <w:tcPr>
                        <w:tcW w:w="150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332-203-3017</w:t>
                        </w:r>
                      </w:p>
                    </w:tc>
                  </w:tr>
                </w:tbl>
                <w:p>
                  <w:pPr>
                    <w:pStyle w:val="TableContents"/>
                    <w:bidi w:val="0"/>
                    <w:spacing w:before="0" w:after="283"/>
                    <w:jc w:val="left"/>
                    <w:rPr/>
                  </w:pPr>
                  <w:r>
                    <w:rPr/>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(Address, including zip code, and telephone number, including area code, of Issuer's principal executive offices) </w:t>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Warrants to purchase Class A Common Stock, each Warrant entitles a holder to purchase 1/25th of a share of Class A common stock at an exercise price of $287.50 for one share of Class A Common Stock</w:t>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(Description of class of securities)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Please place an X in the box to designate the rule provision relied upon to strike the class of securities from listing and registration: </w:t>
            </w:r>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240.12d2-2(a)(1)</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240.12d2-2(a)(2)</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240.12d2-2(a)(3)</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240.12d2-2(a)(4)</w:t>
                  </w:r>
                </w:p>
              </w:tc>
            </w:tr>
            <w:tr>
              <w:trPr/>
              <w:tc>
                <w:tcPr>
                  <w:tcW w:w="9750" w:type="dxa"/>
                  <w:tcBorders/>
                  <w:vAlign w:val="center"/>
                </w:tcPr>
                <w:p>
                  <w:pPr>
                    <w:pStyle w:val="TableContents"/>
                    <w:bidi w:val="0"/>
                    <w:spacing w:before="0" w:after="283"/>
                    <w:jc w:val="left"/>
                    <w:rPr/>
                  </w:pPr>
                  <w:r>
                    <w:rPr>
                      <w:rFonts w:ascii="arial;helvetica;sans-serif" w:hAnsi="arial;helvetica;sans-serif"/>
                      <w:b w:val="false"/>
                      <w:sz w:val="24"/>
                    </w:rPr>
                    <w:t xml:space="preserve">Pursuant to 17 CFR 240.12d2-2(b), the Exchange has complied with its rules to strike the class of securities from listing and/or withdraw registration on the Exchange. </w:t>
                  </w:r>
                  <w:hyperlink w:anchor="Footnote1">
                    <w:r>
                      <w:rPr>
                        <w:rStyle w:val="InternetLink"/>
                        <w:rFonts w:ascii="arial;helvetica;sans-serif" w:hAnsi="arial;helvetica;sans-serif"/>
                        <w:b w:val="false"/>
                        <w:position w:val="8"/>
                        <w:sz w:val="19"/>
                        <w:sz w:val="24"/>
                      </w:rPr>
                      <w:t>1</w:t>
                    </w:r>
                  </w:hyperlink>
                  <w:r>
                    <w:rPr>
                      <w:rFonts w:ascii="arial;helvetica;sans-serif" w:hAnsi="arial;helvetica;sans-serif"/>
                      <w:b w:val="false"/>
                      <w:sz w:val="24"/>
                    </w:rPr>
                    <w:t xml:space="preserve"> </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Pursuant to 17 CFR 240.12d2-2(c), the Issuer has complied with its rules of the Exchange and the requirements of 17 CFR 240.12d-2(c) governing the voluntary withdrawal of the class of securities from listing and registration on the Exchange.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Pursuant to the requirements fo the Securities Exchange Act of 1934, </w:t>
            </w:r>
            <w:r>
              <w:rPr>
                <w:rFonts w:ascii="Times;serif" w:hAnsi="Times;serif"/>
                <w:b w:val="false"/>
                <w:color w:val="0000FF"/>
                <w:sz w:val="24"/>
                <w:shd w:fill="FFFFFF" w:val="clear"/>
              </w:rPr>
              <w:t>NEW YORK STOCK EXCHANGE LLC</w:t>
            </w:r>
            <w:r>
              <w:rPr>
                <w:rFonts w:ascii="arial;helvetica;sans-serif" w:hAnsi="arial;helvetica;sans-serif"/>
                <w:b w:val="false"/>
                <w:sz w:val="24"/>
              </w:rPr>
              <w:t xml:space="preserve"> certifies that it has reasonable grounds to believe that it meets all of the requirements for filing the Form 25 and has caused this notification to be signed on its behalf by the undersigned duly authorized person. </w:t>
            </w:r>
          </w:p>
          <w:tbl>
            <w:tblPr>
              <w:tblW w:w="9750" w:type="dxa"/>
              <w:jc w:val="center"/>
              <w:tblInd w:w="0" w:type="dxa"/>
              <w:tblLayout w:type="fixed"/>
              <w:tblCellMar>
                <w:top w:w="28" w:type="dxa"/>
                <w:left w:w="28" w:type="dxa"/>
                <w:bottom w:w="28" w:type="dxa"/>
                <w:right w:w="28" w:type="dxa"/>
              </w:tblCellMar>
            </w:tblPr>
            <w:tblGrid>
              <w:gridCol w:w="2319"/>
              <w:gridCol w:w="1020"/>
              <w:gridCol w:w="3766"/>
              <w:gridCol w:w="287"/>
              <w:gridCol w:w="2358"/>
            </w:tblGrid>
            <w:tr>
              <w:trPr/>
              <w:tc>
                <w:tcPr>
                  <w:tcW w:w="2319"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2026-10-15</w:t>
                  </w:r>
                </w:p>
              </w:tc>
              <w:tc>
                <w:tcPr>
                  <w:tcW w:w="102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By</w:t>
                  </w:r>
                </w:p>
              </w:tc>
              <w:tc>
                <w:tcPr>
                  <w:tcW w:w="3766"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Nadia Surges</w:t>
                  </w:r>
                </w:p>
              </w:tc>
              <w:tc>
                <w:tcPr>
                  <w:tcW w:w="287" w:type="dxa"/>
                  <w:tcBorders/>
                  <w:vAlign w:val="center"/>
                </w:tcPr>
                <w:p>
                  <w:pPr>
                    <w:pStyle w:val="TableContents"/>
                    <w:bidi w:val="0"/>
                    <w:spacing w:before="0" w:after="283"/>
                    <w:jc w:val="left"/>
                    <w:rPr>
                      <w:sz w:val="4"/>
                      <w:szCs w:val="4"/>
                    </w:rPr>
                  </w:pPr>
                  <w:r>
                    <w:rPr>
                      <w:sz w:val="4"/>
                      <w:szCs w:val="4"/>
                    </w:rPr>
                  </w:r>
                </w:p>
              </w:tc>
              <w:tc>
                <w:tcPr>
                  <w:tcW w:w="2358"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Analyst</w:t>
                  </w:r>
                </w:p>
              </w:tc>
            </w:tr>
            <w:tr>
              <w:trPr/>
              <w:tc>
                <w:tcPr>
                  <w:tcW w:w="23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w:t>
                  </w:r>
                </w:p>
              </w:tc>
              <w:tc>
                <w:tcPr>
                  <w:tcW w:w="1020" w:type="dxa"/>
                  <w:tcBorders/>
                  <w:vAlign w:val="center"/>
                </w:tcPr>
                <w:p>
                  <w:pPr>
                    <w:pStyle w:val="TableContents"/>
                    <w:bidi w:val="0"/>
                    <w:spacing w:before="0" w:after="283"/>
                    <w:jc w:val="left"/>
                    <w:rPr>
                      <w:sz w:val="4"/>
                      <w:szCs w:val="4"/>
                    </w:rPr>
                  </w:pPr>
                  <w:r>
                    <w:rPr>
                      <w:sz w:val="4"/>
                      <w:szCs w:val="4"/>
                    </w:rPr>
                  </w:r>
                </w:p>
              </w:tc>
              <w:tc>
                <w:tcPr>
                  <w:tcW w:w="4053"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23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tbl>
            <w:tblPr>
              <w:tblW w:w="9750" w:type="dxa"/>
              <w:jc w:val="center"/>
              <w:tblInd w:w="0" w:type="dxa"/>
              <w:tblLayout w:type="fixed"/>
              <w:tblCellMar>
                <w:top w:w="28" w:type="dxa"/>
                <w:left w:w="28" w:type="dxa"/>
                <w:bottom w:w="28" w:type="dxa"/>
                <w:right w:w="28" w:type="dxa"/>
              </w:tblCellMar>
            </w:tblPr>
            <w:tblGrid>
              <w:gridCol w:w="496"/>
              <w:gridCol w:w="9254"/>
            </w:tblGrid>
            <w:tr>
              <w:trPr/>
              <w:tc>
                <w:tcPr>
                  <w:tcW w:w="496" w:type="dxa"/>
                  <w:tcBorders/>
                </w:tcPr>
                <w:p>
                  <w:pPr>
                    <w:pStyle w:val="TableContents"/>
                    <w:bidi w:val="0"/>
                    <w:spacing w:before="0" w:after="283"/>
                    <w:jc w:val="left"/>
                    <w:rPr>
                      <w:position w:val="8"/>
                      <w:sz w:val="19"/>
                    </w:rPr>
                  </w:pPr>
                  <w:bookmarkStart w:id="4" w:name="Footnote1"/>
                  <w:bookmarkEnd w:id="4"/>
                  <w:r>
                    <w:rPr>
                      <w:position w:val="8"/>
                      <w:sz w:val="19"/>
                    </w:rPr>
                    <w:t>1</w:t>
                  </w:r>
                </w:p>
              </w:tc>
              <w:tc>
                <w:tcPr>
                  <w:tcW w:w="9254" w:type="dxa"/>
                  <w:tcBorders/>
                  <w:vAlign w:val="center"/>
                </w:tcPr>
                <w:p>
                  <w:pPr>
                    <w:pStyle w:val="TableContents"/>
                    <w:bidi w:val="0"/>
                    <w:spacing w:before="0" w:after="283"/>
                    <w:jc w:val="left"/>
                    <w:rPr/>
                  </w:pPr>
                  <w:r>
                    <w:rPr>
                      <w:rFonts w:ascii="arial;helvetica;sans-serif" w:hAnsi="arial;helvetica;sans-serif"/>
                      <w:b w:val="false"/>
                      <w:sz w:val="24"/>
                    </w:rPr>
                    <w:t xml:space="preserve">Form 25 and attached Notice will be considered compliance with the provisions of 17 CFR 240.19d-1 as applicable. </w:t>
                  </w:r>
                  <w:hyperlink r:id="rId4">
                    <w:r>
                      <w:rPr>
                        <w:rStyle w:val="InternetLink"/>
                        <w:rFonts w:ascii="arial;helvetica;sans-serif" w:hAnsi="arial;helvetica;sans-serif"/>
                        <w:b w:val="false"/>
                        <w:sz w:val="24"/>
                      </w:rPr>
                      <w:t>See</w:t>
                    </w:r>
                  </w:hyperlink>
                  <w:r>
                    <w:rPr>
                      <w:rFonts w:ascii="arial;helvetica;sans-serif" w:hAnsi="arial;helvetica;sans-serif"/>
                      <w:b w:val="false"/>
                      <w:sz w:val="24"/>
                    </w:rPr>
                    <w:t xml:space="preserve"> General Instructions.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001"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Persons who respond to the collection of information contained in this form are not required to respond unless the form displays a currently valid OMB Number. </w:t>
            </w:r>
          </w:p>
        </w:tc>
      </w:tr>
    </w:tbl>
    <w:p>
      <w:pPr>
        <w:pStyle w:val="TextBody"/>
        <w:bidi w:val="0"/>
        <w:spacing w:before="0" w:after="283"/>
        <w:jc w:val="left"/>
        <w:rPr/>
      </w:pPr>
      <w:bookmarkStart w:id="5" w:name="ruleprovisionnotice.htm"/>
      <w:bookmarkStart w:id="6" w:name="ksruleprovisionnotice"/>
      <w:bookmarkEnd w:id="5"/>
      <w:bookmarkEnd w:id="6"/>
      <w:r>
        <w:rPr/>
        <w:t>NOTIFICATION OF THE REMOVAL FROM LISTING AND REGISTRATION OF THE STATED SECURITIES The New York Stock Exchange hereby notifies the SEC of its intention to remove the entire class of the stated securities from listing and registration on the Exchange at the opening of business on October 26, 2026, pursuant to the provisions of Rule 12d2-2 (a). [ X ] 17 CFR 240.12d2-2(a)(3) That on October 15, 2026 the instruments representing the securities comprising the entire class of this security came to evidence, by operation of law or otherwise, other securities in substitution therefore and represent no other right except, if such be the fact, the right to receive an immediate cash payment. The Exchange also notifies the Securities and Exchange Commission that as a result of the above indicated conditions this security was suspended from trading on October 14, 2026.</w:t>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VisitedInternetLink">
    <w:name w:val="FollowedHyperlink"/>
    <w:rPr>
      <w:color w:val="80000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1-39544" TargetMode="External"/><Relationship Id="rId3" Type="http://schemas.openxmlformats.org/officeDocument/2006/relationships/hyperlink" Target="http://www.sec.gov/cgi-bin/browse-edgar?action=getcompany&amp;CIK=0001820302" TargetMode="External"/><Relationship Id="rId4" Type="http://schemas.openxmlformats.org/officeDocument/2006/relationships/hyperlink" Target="#"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495</Words>
  <Characters>2628</Characters>
  <CharactersWithSpaces>3085</CharactersWithSpaces>
  <Paragraphs>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