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7" w:lineRule="exact"/>
        <w:rPr>
          <w:sz w:val="24"/>
          <w:szCs w:val="24"/>
          <w:color w:val="auto"/>
        </w:rPr>
      </w:pPr>
    </w:p>
    <w:p>
      <w:pPr>
        <w:ind w:left="320"/>
        <w:spacing w:after="0" w:line="26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-182880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04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43"/>
              <w:spacing w:after="0" w:line="121"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7"/>
        </w:trPr>
        <w:tc>
          <w:tcPr>
            <w:tcW w:w="60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40" w:type="dxa"/>
            <w:vAlign w:val="bottom"/>
            <w:vMerge w:val="restart"/>
          </w:tcPr>
          <w:p>
            <w:pPr>
              <w:jc w:val="center"/>
              <w:ind w:right="44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5125085</wp:posOffset>
            </wp:positionH>
            <wp:positionV relativeFrom="paragraph">
              <wp:posOffset>-574675</wp:posOffset>
            </wp:positionV>
            <wp:extent cx="55245" cy="588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8010"/>
                    </a:xfrm>
                    <a:prstGeom prst="rect">
                      <a:avLst/>
                    </a:prstGeom>
                    <a:noFill/>
                  </pic:spPr>
                </pic:pic>
              </a:graphicData>
            </a:graphic>
          </wp:anchor>
        </w:drawing>
        <w:drawing>
          <wp:anchor simplePos="0" relativeHeight="251657728" behindDoc="1" locked="0" layoutInCell="0" allowOverlap="1">
            <wp:simplePos x="0" y="0"/>
            <wp:positionH relativeFrom="column">
              <wp:posOffset>3826510</wp:posOffset>
            </wp:positionH>
            <wp:positionV relativeFrom="paragraph">
              <wp:posOffset>-574675</wp:posOffset>
            </wp:positionV>
            <wp:extent cx="55245" cy="588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801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12700</wp:posOffset>
            </wp:positionV>
            <wp:extent cx="7004685" cy="383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685" cy="383032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60" w:space="540"/>
            <w:col w:w="828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18"/>
        </w:trPr>
        <w:tc>
          <w:tcPr>
            <w:tcW w:w="2360" w:type="dxa"/>
            <w:vAlign w:val="bottom"/>
            <w:gridSpan w:val="5"/>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gridSpan w:val="9"/>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5"/>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spacing w:after="0" w:line="216" w:lineRule="exact"/>
              <w:rPr>
                <w:rFonts w:ascii="Arial" w:cs="Arial" w:eastAsia="Arial" w:hAnsi="Arial"/>
                <w:sz w:val="19"/>
                <w:szCs w:val="19"/>
                <w:color w:val="0000EE"/>
                <w:w w:val="88"/>
              </w:rPr>
            </w:pPr>
            <w:hyperlink r:id="rId12">
              <w:r>
                <w:rPr>
                  <w:rFonts w:ascii="Arial" w:cs="Arial" w:eastAsia="Arial" w:hAnsi="Arial"/>
                  <w:sz w:val="19"/>
                  <w:szCs w:val="19"/>
                  <w:color w:val="0000EE"/>
                  <w:w w:val="88"/>
                </w:rPr>
                <w:t>Cabrera Nicolas</w:t>
              </w:r>
            </w:hyperlink>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8"/>
          </w:tcPr>
          <w:p>
            <w:pPr>
              <w:spacing w:after="0" w:line="95" w:lineRule="exact"/>
              <w:rPr>
                <w:rFonts w:ascii="Arial" w:cs="Arial" w:eastAsia="Arial" w:hAnsi="Arial"/>
                <w:sz w:val="10"/>
                <w:szCs w:val="10"/>
                <w:color w:val="0000EE"/>
              </w:rPr>
            </w:pPr>
            <w:hyperlink r:id="rId13">
              <w:r>
                <w:rPr>
                  <w:rFonts w:ascii="Arial" w:cs="Arial" w:eastAsia="Arial" w:hAnsi="Arial"/>
                  <w:sz w:val="10"/>
                  <w:szCs w:val="10"/>
                  <w:color w:val="0000EE"/>
                </w:rPr>
                <w:t xml:space="preserve">Bakkt Holdings, Inc. </w:t>
              </w:r>
            </w:hyperlink>
            <w:r>
              <w:rPr>
                <w:rFonts w:ascii="Arial" w:cs="Arial" w:eastAsia="Arial" w:hAnsi="Arial"/>
                <w:sz w:val="10"/>
                <w:szCs w:val="10"/>
                <w:color w:val="000000"/>
              </w:rPr>
              <w:t>[</w:t>
            </w:r>
            <w:r>
              <w:rPr>
                <w:rFonts w:ascii="Arial" w:cs="Arial" w:eastAsia="Arial" w:hAnsi="Arial"/>
                <w:sz w:val="10"/>
                <w:szCs w:val="10"/>
                <w:color w:val="0000EE"/>
              </w:rPr>
              <w:t xml:space="preserve"> </w:t>
            </w:r>
            <w:r>
              <w:rPr>
                <w:rFonts w:ascii="Arial" w:cs="Arial" w:eastAsia="Arial" w:hAnsi="Arial"/>
                <w:sz w:val="9"/>
                <w:szCs w:val="9"/>
                <w:color w:val="0000FF"/>
              </w:rPr>
              <w:t>BKKT</w:t>
            </w:r>
            <w:r>
              <w:rPr>
                <w:rFonts w:ascii="Arial" w:cs="Arial" w:eastAsia="Arial" w:hAnsi="Arial"/>
                <w:sz w:val="10"/>
                <w:szCs w:val="10"/>
                <w:color w:val="0000EE"/>
              </w:rPr>
              <w:t xml:space="preserve"> </w:t>
            </w:r>
            <w:r>
              <w:rPr>
                <w:rFonts w:ascii="Arial" w:cs="Arial" w:eastAsia="Arial" w:hAnsi="Arial"/>
                <w:sz w:val="10"/>
                <w:szCs w:val="10"/>
                <w:color w:val="000000"/>
              </w:rPr>
              <w:t>]</w:t>
            </w: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w w:val="95"/>
              </w:rPr>
              <w:t>10% Owner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Borders>
              <w:bottom w:val="single" w:sz="8" w:color="0000EE"/>
            </w:tcBorders>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5"/>
                <w:szCs w:val="15"/>
                <w:color w:val="0000FF"/>
              </w:rPr>
              <w:t>X</w:t>
            </w:r>
          </w:p>
        </w:tc>
        <w:tc>
          <w:tcPr>
            <w:tcW w:w="1200" w:type="dxa"/>
            <w:vAlign w:val="bottom"/>
            <w:gridSpan w:val="2"/>
          </w:tcPr>
          <w:p>
            <w:pPr>
              <w:ind w:left="120"/>
              <w:spacing w:after="0" w:line="128" w:lineRule="exact"/>
              <w:rPr>
                <w:sz w:val="20"/>
                <w:szCs w:val="20"/>
                <w:color w:val="auto"/>
              </w:rPr>
            </w:pPr>
            <w:r>
              <w:rPr>
                <w:rFonts w:ascii="Arial" w:cs="Arial" w:eastAsia="Arial" w:hAnsi="Arial"/>
                <w:sz w:val="12"/>
                <w:szCs w:val="12"/>
                <w:color w:val="auto"/>
              </w:rPr>
              <w:t>Officer (give title</w:t>
            </w:r>
          </w:p>
        </w:tc>
        <w:tc>
          <w:tcPr>
            <w:tcW w:w="440" w:type="dxa"/>
            <w:vAlign w:val="bottom"/>
          </w:tcPr>
          <w:p>
            <w:pPr>
              <w:spacing w:after="0"/>
              <w:rPr>
                <w:sz w:val="11"/>
                <w:szCs w:val="11"/>
                <w:color w:val="auto"/>
              </w:rPr>
            </w:pPr>
          </w:p>
        </w:tc>
        <w:tc>
          <w:tcPr>
            <w:tcW w:w="1320" w:type="dxa"/>
            <w:vAlign w:val="bottom"/>
            <w:gridSpan w:val="5"/>
          </w:tcPr>
          <w:p>
            <w:pPr>
              <w:ind w:left="60"/>
              <w:spacing w:after="0" w:line="128"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540" w:type="dxa"/>
            <w:vAlign w:val="bottom"/>
            <w:tcBorders>
              <w:top w:val="single" w:sz="8" w:color="EEEEEE"/>
            </w:tcBorders>
          </w:tcPr>
          <w:p>
            <w:pPr>
              <w:spacing w:after="0"/>
              <w:rPr>
                <w:sz w:val="11"/>
                <w:szCs w:val="11"/>
                <w:color w:val="auto"/>
              </w:rPr>
            </w:pPr>
          </w:p>
        </w:tc>
        <w:tc>
          <w:tcPr>
            <w:tcW w:w="680" w:type="dxa"/>
            <w:vAlign w:val="bottom"/>
            <w:tcBorders>
              <w:top w:val="single" w:sz="8" w:color="EEEEEE"/>
            </w:tcBorders>
          </w:tcPr>
          <w:p>
            <w:pPr>
              <w:spacing w:after="0"/>
              <w:rPr>
                <w:sz w:val="11"/>
                <w:szCs w:val="11"/>
                <w:color w:val="auto"/>
              </w:rPr>
            </w:pPr>
          </w:p>
        </w:tc>
        <w:tc>
          <w:tcPr>
            <w:tcW w:w="1040" w:type="dxa"/>
            <w:vAlign w:val="bottom"/>
            <w:tcBorders>
              <w:top w:val="single" w:sz="8" w:color="EEEEEE"/>
            </w:tcBorders>
          </w:tcPr>
          <w:p>
            <w:pPr>
              <w:spacing w:after="0"/>
              <w:rPr>
                <w:sz w:val="11"/>
                <w:szCs w:val="11"/>
                <w:color w:val="auto"/>
              </w:rPr>
            </w:pPr>
          </w:p>
        </w:tc>
        <w:tc>
          <w:tcPr>
            <w:tcW w:w="980" w:type="dxa"/>
            <w:vAlign w:val="bottom"/>
            <w:tcBorders>
              <w:top w:val="single" w:sz="8" w:color="EEEEEE"/>
            </w:tcBorders>
          </w:tcPr>
          <w:p>
            <w:pPr>
              <w:spacing w:after="0"/>
              <w:rPr>
                <w:sz w:val="11"/>
                <w:szCs w:val="11"/>
                <w:color w:val="auto"/>
              </w:rPr>
            </w:pPr>
          </w:p>
        </w:tc>
        <w:tc>
          <w:tcPr>
            <w:tcW w:w="42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60" w:type="dxa"/>
            <w:vAlign w:val="bottom"/>
            <w:vMerge w:val="continue"/>
          </w:tcPr>
          <w:p>
            <w:pPr>
              <w:spacing w:after="0"/>
              <w:rPr>
                <w:sz w:val="11"/>
                <w:szCs w:val="11"/>
                <w:color w:val="auto"/>
              </w:rPr>
            </w:pPr>
          </w:p>
        </w:tc>
        <w:tc>
          <w:tcPr>
            <w:tcW w:w="620" w:type="dxa"/>
            <w:vAlign w:val="bottom"/>
          </w:tcPr>
          <w:p>
            <w:pPr>
              <w:ind w:left="120"/>
              <w:spacing w:after="0" w:line="106"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ind w:left="60"/>
              <w:spacing w:after="0" w:line="106" w:lineRule="exact"/>
              <w:rPr>
                <w:sz w:val="20"/>
                <w:szCs w:val="20"/>
                <w:color w:val="auto"/>
              </w:rPr>
            </w:pPr>
            <w:r>
              <w:rPr>
                <w:rFonts w:ascii="Arial" w:cs="Arial" w:eastAsia="Arial" w:hAnsi="Arial"/>
                <w:sz w:val="12"/>
                <w:szCs w:val="12"/>
                <w:color w:val="auto"/>
              </w:rPr>
              <w:t>below)</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line="105" w:lineRule="exact"/>
              <w:rPr>
                <w:sz w:val="20"/>
                <w:szCs w:val="20"/>
                <w:color w:val="auto"/>
              </w:rPr>
            </w:pPr>
            <w:r>
              <w:rPr>
                <w:rFonts w:ascii="Arial" w:cs="Arial" w:eastAsia="Arial" w:hAnsi="Arial"/>
                <w:sz w:val="12"/>
                <w:szCs w:val="12"/>
                <w:color w:val="auto"/>
              </w:rPr>
              <w:t>(Last)</w:t>
            </w:r>
          </w:p>
        </w:tc>
        <w:tc>
          <w:tcPr>
            <w:tcW w:w="680" w:type="dxa"/>
            <w:vAlign w:val="bottom"/>
          </w:tcPr>
          <w:p>
            <w:pPr>
              <w:spacing w:after="0"/>
              <w:rPr>
                <w:sz w:val="9"/>
                <w:szCs w:val="9"/>
                <w:color w:val="auto"/>
              </w:rPr>
            </w:pPr>
          </w:p>
        </w:tc>
        <w:tc>
          <w:tcPr>
            <w:tcW w:w="1040" w:type="dxa"/>
            <w:vAlign w:val="bottom"/>
          </w:tcPr>
          <w:p>
            <w:pPr>
              <w:ind w:left="20"/>
              <w:spacing w:after="0" w:line="105" w:lineRule="exact"/>
              <w:rPr>
                <w:sz w:val="20"/>
                <w:szCs w:val="20"/>
                <w:color w:val="auto"/>
              </w:rPr>
            </w:pPr>
            <w:r>
              <w:rPr>
                <w:rFonts w:ascii="Arial" w:cs="Arial" w:eastAsia="Arial" w:hAnsi="Arial"/>
                <w:sz w:val="12"/>
                <w:szCs w:val="12"/>
                <w:color w:val="auto"/>
              </w:rPr>
              <w:t>(First)</w:t>
            </w:r>
          </w:p>
        </w:tc>
        <w:tc>
          <w:tcPr>
            <w:tcW w:w="980" w:type="dxa"/>
            <w:vAlign w:val="bottom"/>
          </w:tcPr>
          <w:p>
            <w:pPr>
              <w:ind w:left="200"/>
              <w:spacing w:after="0" w:line="105" w:lineRule="exact"/>
              <w:rPr>
                <w:sz w:val="20"/>
                <w:szCs w:val="20"/>
                <w:color w:val="auto"/>
              </w:rPr>
            </w:pPr>
            <w:r>
              <w:rPr>
                <w:rFonts w:ascii="Arial" w:cs="Arial" w:eastAsia="Arial" w:hAnsi="Arial"/>
                <w:sz w:val="12"/>
                <w:szCs w:val="12"/>
                <w:color w:val="auto"/>
              </w:rPr>
              <w:t>(Middle)</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580" w:type="dxa"/>
            <w:vAlign w:val="bottom"/>
            <w:gridSpan w:val="9"/>
            <w:vMerge w:val="restart"/>
          </w:tcPr>
          <w:p>
            <w:pPr>
              <w:spacing w:after="0"/>
              <w:rPr>
                <w:sz w:val="20"/>
                <w:szCs w:val="20"/>
                <w:color w:val="auto"/>
              </w:rPr>
            </w:pPr>
            <w:r>
              <w:rPr>
                <w:rFonts w:ascii="Arial" w:cs="Arial" w:eastAsia="Arial" w:hAnsi="Arial"/>
                <w:sz w:val="12"/>
                <w:szCs w:val="12"/>
                <w:color w:val="auto"/>
                <w:w w:val="98"/>
              </w:rPr>
              <w:t>3. Date of Earliest Transaction (Month/Day/Year)</w:t>
            </w: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40" w:type="dxa"/>
            <w:vAlign w:val="bottom"/>
            <w:gridSpan w:val="4"/>
            <w:vMerge w:val="restart"/>
          </w:tcPr>
          <w:p>
            <w:pPr>
              <w:ind w:left="540"/>
              <w:spacing w:after="0" w:line="171" w:lineRule="exact"/>
              <w:rPr>
                <w:sz w:val="20"/>
                <w:szCs w:val="20"/>
                <w:color w:val="auto"/>
              </w:rPr>
            </w:pPr>
            <w:r>
              <w:rPr>
                <w:rFonts w:ascii="Arial" w:cs="Arial" w:eastAsia="Arial" w:hAnsi="Arial"/>
                <w:sz w:val="15"/>
                <w:szCs w:val="15"/>
                <w:color w:val="0000FF"/>
              </w:rPr>
              <w:t>Chief Product Officer</w:t>
            </w: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gridSpan w:val="3"/>
            <w:vMerge w:val="restart"/>
          </w:tcPr>
          <w:p>
            <w:pPr>
              <w:spacing w:after="0"/>
              <w:rPr>
                <w:sz w:val="20"/>
                <w:szCs w:val="20"/>
                <w:color w:val="auto"/>
              </w:rPr>
            </w:pPr>
            <w:r>
              <w:rPr>
                <w:rFonts w:ascii="Arial" w:cs="Arial" w:eastAsia="Arial" w:hAnsi="Arial"/>
                <w:sz w:val="15"/>
                <w:szCs w:val="15"/>
                <w:color w:val="0000FF"/>
              </w:rPr>
              <w:t>C/O BAKKT HOLDINGS, INC.</w:t>
            </w: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80" w:type="dxa"/>
            <w:vAlign w:val="bottom"/>
            <w:gridSpan w:val="9"/>
            <w:vMerge w:val="continue"/>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gridSpan w:val="6"/>
          </w:tcPr>
          <w:p>
            <w:pPr>
              <w:ind w:left="560"/>
              <w:spacing w:after="0"/>
              <w:rPr>
                <w:sz w:val="20"/>
                <w:szCs w:val="20"/>
                <w:color w:val="auto"/>
              </w:rPr>
            </w:pPr>
            <w:r>
              <w:rPr>
                <w:rFonts w:ascii="Arial" w:cs="Arial" w:eastAsia="Arial" w:hAnsi="Arial"/>
                <w:sz w:val="15"/>
                <w:szCs w:val="15"/>
                <w:color w:val="0000FF"/>
              </w:rPr>
              <w:t>10/15/2021</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gridSpan w:val="4"/>
          </w:tcPr>
          <w:p>
            <w:pPr>
              <w:spacing w:after="0"/>
              <w:rPr>
                <w:sz w:val="20"/>
                <w:szCs w:val="20"/>
                <w:color w:val="auto"/>
              </w:rPr>
            </w:pPr>
            <w:r>
              <w:rPr>
                <w:rFonts w:ascii="Arial" w:cs="Arial" w:eastAsia="Arial" w:hAnsi="Arial"/>
                <w:sz w:val="15"/>
                <w:szCs w:val="15"/>
                <w:color w:val="0000FF"/>
              </w:rPr>
              <w:t>5900 WINDWARD PARKWAY, SUITE 450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gridSpan w:val="5"/>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520" w:type="dxa"/>
            <w:vAlign w:val="bottom"/>
            <w:tcBorders>
              <w:bottom w:val="single" w:sz="8" w:color="808080"/>
            </w:tcBorders>
            <w:gridSpan w:val="4"/>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3320" w:type="dxa"/>
            <w:vAlign w:val="bottom"/>
            <w:tcBorders>
              <w:bottom w:val="single" w:sz="8" w:color="808080"/>
            </w:tcBorders>
            <w:gridSpan w:val="7"/>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100" w:type="dxa"/>
            <w:vAlign w:val="bottom"/>
            <w:tcBorders>
              <w:top w:val="single" w:sz="8" w:color="2C2C2C"/>
            </w:tcBorders>
            <w:gridSpan w:val="10"/>
          </w:tcPr>
          <w:p>
            <w:pPr>
              <w:spacing w:after="0"/>
              <w:rPr>
                <w:sz w:val="20"/>
                <w:szCs w:val="20"/>
                <w:color w:val="auto"/>
              </w:rPr>
            </w:pPr>
            <w:r>
              <w:rPr>
                <w:rFonts w:ascii="Arial" w:cs="Arial" w:eastAsia="Arial" w:hAnsi="Arial"/>
                <w:sz w:val="12"/>
                <w:szCs w:val="12"/>
                <w:color w:val="auto"/>
              </w:rPr>
              <w:t>4. If Amendment, Date of Original Filed (Month/Day/Year)</w:t>
            </w:r>
          </w:p>
        </w:tc>
        <w:tc>
          <w:tcPr>
            <w:tcW w:w="440" w:type="dxa"/>
            <w:vAlign w:val="bottom"/>
            <w:tcBorders>
              <w:top w:val="single" w:sz="8" w:color="2C2C2C"/>
            </w:tcBorders>
          </w:tcPr>
          <w:p>
            <w:pPr>
              <w:spacing w:after="0"/>
              <w:rPr>
                <w:sz w:val="15"/>
                <w:szCs w:val="15"/>
                <w:color w:val="auto"/>
              </w:rPr>
            </w:pPr>
          </w:p>
        </w:tc>
        <w:tc>
          <w:tcPr>
            <w:tcW w:w="220" w:type="dxa"/>
            <w:vAlign w:val="bottom"/>
            <w:tcBorders>
              <w:top w:val="single" w:sz="8" w:color="2C2C2C"/>
            </w:tcBorders>
          </w:tcPr>
          <w:p>
            <w:pPr>
              <w:spacing w:after="0"/>
              <w:rPr>
                <w:sz w:val="15"/>
                <w:szCs w:val="15"/>
                <w:color w:val="auto"/>
              </w:rPr>
            </w:pPr>
          </w:p>
        </w:tc>
        <w:tc>
          <w:tcPr>
            <w:tcW w:w="332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0000FF"/>
              </w:rPr>
              <w:t>ALPHARETTA</w:t>
            </w:r>
          </w:p>
        </w:tc>
        <w:tc>
          <w:tcPr>
            <w:tcW w:w="1040" w:type="dxa"/>
            <w:vAlign w:val="bottom"/>
          </w:tcPr>
          <w:p>
            <w:pPr>
              <w:ind w:left="20"/>
              <w:spacing w:after="0"/>
              <w:rPr>
                <w:sz w:val="20"/>
                <w:szCs w:val="20"/>
                <w:color w:val="auto"/>
              </w:rPr>
            </w:pPr>
            <w:r>
              <w:rPr>
                <w:rFonts w:ascii="Arial" w:cs="Arial" w:eastAsia="Arial" w:hAnsi="Arial"/>
                <w:sz w:val="15"/>
                <w:szCs w:val="15"/>
                <w:color w:val="0000FF"/>
              </w:rPr>
              <w:t>GA</w:t>
            </w:r>
          </w:p>
        </w:tc>
        <w:tc>
          <w:tcPr>
            <w:tcW w:w="980" w:type="dxa"/>
            <w:vAlign w:val="bottom"/>
          </w:tcPr>
          <w:p>
            <w:pPr>
              <w:ind w:left="200"/>
              <w:spacing w:after="0"/>
              <w:rPr>
                <w:sz w:val="20"/>
                <w:szCs w:val="20"/>
                <w:color w:val="auto"/>
              </w:rPr>
            </w:pPr>
            <w:r>
              <w:rPr>
                <w:rFonts w:ascii="Arial" w:cs="Arial" w:eastAsia="Arial" w:hAnsi="Arial"/>
                <w:sz w:val="15"/>
                <w:szCs w:val="15"/>
                <w:color w:val="0000FF"/>
              </w:rPr>
              <w:t>30005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15"/>
                <w:szCs w:val="15"/>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960" w:type="dxa"/>
            <w:vAlign w:val="bottom"/>
            <w:gridSpan w:val="8"/>
          </w:tcPr>
          <w:p>
            <w:pPr>
              <w:ind w:left="140"/>
              <w:spacing w:after="0" w:line="111"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(State)</w:t>
            </w:r>
          </w:p>
        </w:tc>
        <w:tc>
          <w:tcPr>
            <w:tcW w:w="980" w:type="dxa"/>
            <w:vAlign w:val="bottom"/>
          </w:tcPr>
          <w:p>
            <w:pPr>
              <w:ind w:left="20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6"/>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18"/>
          </w:tcPr>
          <w:p>
            <w:pPr>
              <w:ind w:left="2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3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1080" w:type="dxa"/>
            <w:vAlign w:val="bottom"/>
            <w:gridSpan w:val="5"/>
          </w:tcPr>
          <w:p>
            <w:pPr>
              <w:ind w:left="1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8"/>
              </w:rPr>
              <w:t>2A. Deemed</w:t>
            </w:r>
          </w:p>
        </w:tc>
        <w:tc>
          <w:tcPr>
            <w:tcW w:w="260" w:type="dxa"/>
            <w:vAlign w:val="bottom"/>
          </w:tcPr>
          <w:p>
            <w:pPr>
              <w:spacing w:after="0"/>
              <w:rPr>
                <w:sz w:val="13"/>
                <w:szCs w:val="13"/>
                <w:color w:val="auto"/>
              </w:rPr>
            </w:pPr>
          </w:p>
        </w:tc>
        <w:tc>
          <w:tcPr>
            <w:tcW w:w="420" w:type="dxa"/>
            <w:vAlign w:val="bottom"/>
            <w:gridSpan w:val="3"/>
          </w:tcPr>
          <w:p>
            <w:pPr>
              <w:ind w:left="80"/>
              <w:spacing w:after="0"/>
              <w:rPr>
                <w:sz w:val="20"/>
                <w:szCs w:val="20"/>
                <w:color w:val="auto"/>
              </w:rPr>
            </w:pPr>
            <w:r>
              <w:rPr>
                <w:rFonts w:ascii="Arial" w:cs="Arial" w:eastAsia="Arial" w:hAnsi="Arial"/>
                <w:sz w:val="11"/>
                <w:szCs w:val="11"/>
                <w:b w:val="1"/>
                <w:bCs w:val="1"/>
                <w:color w:val="auto"/>
              </w:rPr>
              <w:t>3.</w:t>
            </w:r>
          </w:p>
        </w:tc>
        <w:tc>
          <w:tcPr>
            <w:tcW w:w="400" w:type="dxa"/>
            <w:vAlign w:val="bottom"/>
          </w:tcPr>
          <w:p>
            <w:pPr>
              <w:spacing w:after="0"/>
              <w:rPr>
                <w:sz w:val="13"/>
                <w:szCs w:val="13"/>
                <w:color w:val="auto"/>
              </w:rPr>
            </w:pPr>
          </w:p>
        </w:tc>
        <w:tc>
          <w:tcPr>
            <w:tcW w:w="19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gridSpan w:val="4"/>
          </w:tcPr>
          <w:p>
            <w:pPr>
              <w:ind w:left="140"/>
              <w:spacing w:after="0" w:line="116" w:lineRule="exact"/>
              <w:rPr>
                <w:sz w:val="20"/>
                <w:szCs w:val="20"/>
                <w:color w:val="auto"/>
              </w:rPr>
            </w:pPr>
            <w:r>
              <w:rPr>
                <w:rFonts w:ascii="Arial" w:cs="Arial" w:eastAsia="Arial" w:hAnsi="Arial"/>
                <w:sz w:val="11"/>
                <w:szCs w:val="11"/>
                <w:b w:val="1"/>
                <w:bCs w:val="1"/>
                <w:color w:val="auto"/>
              </w:rPr>
              <w:t>Date</w:t>
            </w:r>
          </w:p>
        </w:tc>
        <w:tc>
          <w:tcPr>
            <w:tcW w:w="360" w:type="dxa"/>
            <w:vAlign w:val="bottom"/>
          </w:tcPr>
          <w:p>
            <w:pPr>
              <w:spacing w:after="0"/>
              <w:rPr>
                <w:sz w:val="10"/>
                <w:szCs w:val="10"/>
                <w:color w:val="auto"/>
              </w:rPr>
            </w:pPr>
          </w:p>
        </w:tc>
        <w:tc>
          <w:tcPr>
            <w:tcW w:w="96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800" w:type="dxa"/>
            <w:vAlign w:val="bottom"/>
            <w:gridSpan w:val="3"/>
          </w:tcPr>
          <w:p>
            <w:pPr>
              <w:ind w:left="60"/>
              <w:spacing w:after="0" w:line="116"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20"/>
              <w:spacing w:after="0" w:line="116" w:lineRule="exact"/>
              <w:rPr>
                <w:sz w:val="20"/>
                <w:szCs w:val="20"/>
                <w:color w:val="auto"/>
              </w:rPr>
            </w:pPr>
            <w:r>
              <w:rPr>
                <w:rFonts w:ascii="Arial" w:cs="Arial" w:eastAsia="Arial" w:hAnsi="Arial"/>
                <w:sz w:val="11"/>
                <w:szCs w:val="11"/>
                <w:b w:val="1"/>
                <w:bCs w:val="1"/>
                <w:color w:val="auto"/>
              </w:rPr>
              <w:t>Disposed Of (D) (Instr. 3, 4 and 5)</w:t>
            </w:r>
          </w:p>
        </w:tc>
        <w:tc>
          <w:tcPr>
            <w:tcW w:w="62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16"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ind w:left="20"/>
              <w:spacing w:after="0" w:line="11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gridSpan w:val="5"/>
          </w:tcPr>
          <w:p>
            <w:pPr>
              <w:ind w:left="140"/>
              <w:spacing w:after="0" w:line="119"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42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Following Reported</w:t>
            </w:r>
          </w:p>
        </w:tc>
        <w:tc>
          <w:tcPr>
            <w:tcW w:w="44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2"/>
              </w:rPr>
              <w:t>(Instr. 4)</w:t>
            </w:r>
          </w:p>
        </w:tc>
        <w:tc>
          <w:tcPr>
            <w:tcW w:w="500" w:type="dxa"/>
            <w:vAlign w:val="bottom"/>
          </w:tcPr>
          <w:p>
            <w:pPr>
              <w:spacing w:after="0"/>
              <w:rPr>
                <w:sz w:val="10"/>
                <w:szCs w:val="10"/>
                <w:color w:val="auto"/>
              </w:rPr>
            </w:pP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19" w:lineRule="exact"/>
              <w:rPr>
                <w:sz w:val="20"/>
                <w:szCs w:val="20"/>
                <w:color w:val="auto"/>
              </w:rPr>
            </w:pPr>
            <w:r>
              <w:rPr>
                <w:rFonts w:ascii="Arial" w:cs="Arial" w:eastAsia="Arial" w:hAnsi="Arial"/>
                <w:sz w:val="11"/>
                <w:szCs w:val="11"/>
                <w:b w:val="1"/>
                <w:bCs w:val="1"/>
                <w:color w:val="auto"/>
              </w:rPr>
              <w:t>Transaction(s)</w:t>
            </w: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gridSpan w:val="4"/>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 and 4)</w:t>
            </w: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60" w:type="dxa"/>
            <w:vAlign w:val="bottom"/>
            <w:tcBorders>
              <w:bottom w:val="single" w:sz="8" w:color="2C2C2C"/>
            </w:tcBorders>
            <w:gridSpan w:val="8"/>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380" w:type="dxa"/>
            <w:vAlign w:val="bottom"/>
            <w:gridSpan w:val="18"/>
          </w:tcPr>
          <w:p>
            <w:pPr>
              <w:ind w:left="4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780" w:type="dxa"/>
            <w:vAlign w:val="bottom"/>
            <w:gridSpan w:val="16"/>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6"/>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6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9"/>
              </w:rPr>
              <w:t>Conversion</w:t>
            </w:r>
          </w:p>
        </w:tc>
        <w:tc>
          <w:tcPr>
            <w:tcW w:w="10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Derivative</w:t>
            </w:r>
          </w:p>
        </w:tc>
        <w:tc>
          <w:tcPr>
            <w:tcW w:w="1080" w:type="dxa"/>
            <w:vAlign w:val="bottom"/>
            <w:gridSpan w:val="5"/>
          </w:tcPr>
          <w:p>
            <w:pPr>
              <w:ind w:left="20"/>
              <w:spacing w:after="0" w:line="119" w:lineRule="exact"/>
              <w:rPr>
                <w:sz w:val="20"/>
                <w:szCs w:val="20"/>
                <w:color w:val="auto"/>
              </w:rPr>
            </w:pPr>
            <w:r>
              <w:rPr>
                <w:rFonts w:ascii="Arial" w:cs="Arial" w:eastAsia="Arial" w:hAnsi="Arial"/>
                <w:sz w:val="11"/>
                <w:szCs w:val="11"/>
                <w:b w:val="1"/>
                <w:bCs w:val="1"/>
                <w:color w:val="auto"/>
              </w:rPr>
              <w:t>Expiration Date</w:t>
            </w:r>
          </w:p>
        </w:tc>
        <w:tc>
          <w:tcPr>
            <w:tcW w:w="280" w:type="dxa"/>
            <w:vAlign w:val="bottom"/>
          </w:tcPr>
          <w:p>
            <w:pPr>
              <w:spacing w:after="0"/>
              <w:rPr>
                <w:sz w:val="10"/>
                <w:szCs w:val="10"/>
                <w:color w:val="auto"/>
              </w:rPr>
            </w:pPr>
          </w:p>
        </w:tc>
        <w:tc>
          <w:tcPr>
            <w:tcW w:w="164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3"/>
              </w:rPr>
              <w:t>derivative</w:t>
            </w:r>
          </w:p>
        </w:tc>
        <w:tc>
          <w:tcPr>
            <w:tcW w:w="4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Securities</w:t>
            </w:r>
          </w:p>
        </w:tc>
        <w:tc>
          <w:tcPr>
            <w:tcW w:w="1080" w:type="dxa"/>
            <w:vAlign w:val="bottom"/>
            <w:gridSpan w:val="5"/>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spacing w:after="0"/>
              <w:rPr>
                <w:sz w:val="10"/>
                <w:szCs w:val="10"/>
                <w:color w:val="auto"/>
              </w:rPr>
            </w:pPr>
          </w:p>
        </w:tc>
        <w:tc>
          <w:tcPr>
            <w:tcW w:w="164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Derivative Security (Instr. 3</w:t>
            </w: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1"/>
              </w:rPr>
              <w:t>Securities</w:t>
            </w:r>
          </w:p>
        </w:tc>
        <w:tc>
          <w:tcPr>
            <w:tcW w:w="440" w:type="dxa"/>
            <w:vAlign w:val="bottom"/>
          </w:tcPr>
          <w:p>
            <w:pPr>
              <w:spacing w:after="0"/>
              <w:rPr>
                <w:sz w:val="10"/>
                <w:szCs w:val="10"/>
                <w:color w:val="auto"/>
              </w:rPr>
            </w:pPr>
          </w:p>
        </w:tc>
        <w:tc>
          <w:tcPr>
            <w:tcW w:w="5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Acquired (A) or</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and 4)</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10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2"/>
              </w:rPr>
              <w:t>Direct (D)</w:t>
            </w:r>
          </w:p>
        </w:tc>
        <w:tc>
          <w:tcPr>
            <w:tcW w:w="180" w:type="dxa"/>
            <w:vAlign w:val="bottom"/>
          </w:tcPr>
          <w:p>
            <w:pPr>
              <w:spacing w:after="0"/>
              <w:rPr>
                <w:sz w:val="10"/>
                <w:szCs w:val="10"/>
                <w:color w:val="auto"/>
              </w:rPr>
            </w:pP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Disposed of (D)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Owned</w:t>
            </w:r>
          </w:p>
        </w:tc>
        <w:tc>
          <w:tcPr>
            <w:tcW w:w="4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or Indirect</w:t>
            </w: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(Instr. 3, 4 and 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3"/>
              </w:rPr>
              <w:t>Following</w:t>
            </w:r>
          </w:p>
        </w:tc>
        <w:tc>
          <w:tcPr>
            <w:tcW w:w="4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ind w:left="80"/>
              <w:spacing w:after="0" w:line="119" w:lineRule="exact"/>
              <w:rPr>
                <w:sz w:val="20"/>
                <w:szCs w:val="20"/>
                <w:color w:val="auto"/>
              </w:rPr>
            </w:pPr>
            <w:r>
              <w:rPr>
                <w:rFonts w:ascii="Arial" w:cs="Arial" w:eastAsia="Arial" w:hAnsi="Arial"/>
                <w:sz w:val="11"/>
                <w:szCs w:val="11"/>
                <w:b w:val="1"/>
                <w:bCs w:val="1"/>
                <w:color w:val="auto"/>
                <w:w w:val="99"/>
              </w:rPr>
              <w:t>Reported</w:t>
            </w: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2"/>
              </w:rPr>
              <w:t>Date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12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Amount or Number</w:t>
            </w:r>
          </w:p>
        </w:tc>
        <w:tc>
          <w:tcPr>
            <w:tcW w:w="620" w:type="dxa"/>
            <w:vAlign w:val="bottom"/>
          </w:tcPr>
          <w:p>
            <w:pPr>
              <w:spacing w:after="0"/>
              <w:rPr>
                <w:sz w:val="10"/>
                <w:szCs w:val="10"/>
                <w:color w:val="auto"/>
              </w:rPr>
            </w:pPr>
          </w:p>
        </w:tc>
        <w:tc>
          <w:tcPr>
            <w:tcW w:w="10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700" w:type="dxa"/>
            <w:vAlign w:val="bottom"/>
          </w:tcPr>
          <w:p>
            <w:pPr>
              <w:ind w:left="4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Exercisable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2"/>
                <w:szCs w:val="12"/>
                <w:color w:val="auto"/>
              </w:rPr>
            </w:pP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Shares</w:t>
            </w:r>
          </w:p>
        </w:tc>
        <w:tc>
          <w:tcPr>
            <w:tcW w:w="62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Bakkt</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gridSpan w:val="4"/>
            <w:vMerge w:val="restart"/>
          </w:tcPr>
          <w:p>
            <w:pPr>
              <w:ind w:left="100"/>
              <w:spacing w:after="0"/>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1060" w:type="dxa"/>
            <w:vAlign w:val="bottom"/>
            <w:gridSpan w:val="2"/>
            <w:vMerge w:val="restart"/>
          </w:tcPr>
          <w:p>
            <w:pPr>
              <w:ind w:left="80"/>
              <w:spacing w:after="0"/>
              <w:rPr>
                <w:sz w:val="20"/>
                <w:szCs w:val="20"/>
                <w:color w:val="auto"/>
              </w:rPr>
            </w:pPr>
            <w:r>
              <w:rPr>
                <w:rFonts w:ascii="Arial" w:cs="Arial" w:eastAsia="Arial" w:hAnsi="Arial"/>
                <w:sz w:val="12"/>
                <w:szCs w:val="12"/>
                <w:color w:val="0000FF"/>
              </w:rPr>
              <w:t>323,733</w:t>
            </w:r>
            <w:r>
              <w:rPr>
                <w:rFonts w:ascii="Arial" w:cs="Arial" w:eastAsia="Arial" w:hAnsi="Arial"/>
                <w:sz w:val="19"/>
                <w:szCs w:val="19"/>
                <w:color w:val="008000"/>
                <w:vertAlign w:val="superscript"/>
              </w:rPr>
              <w:t>(4)(5)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color w:val="0000FF"/>
              </w:rPr>
              <w:t>Class A</w:t>
            </w:r>
          </w:p>
        </w:tc>
        <w:tc>
          <w:tcPr>
            <w:tcW w:w="1120" w:type="dxa"/>
            <w:vAlign w:val="bottom"/>
            <w:gridSpan w:val="3"/>
            <w:vMerge w:val="restart"/>
          </w:tcPr>
          <w:p>
            <w:pPr>
              <w:ind w:left="100"/>
              <w:spacing w:after="0" w:line="307" w:lineRule="exact"/>
              <w:rPr>
                <w:sz w:val="20"/>
                <w:szCs w:val="20"/>
                <w:color w:val="auto"/>
              </w:rPr>
            </w:pPr>
            <w:r>
              <w:rPr>
                <w:rFonts w:ascii="Arial" w:cs="Arial" w:eastAsia="Arial" w:hAnsi="Arial"/>
                <w:sz w:val="30"/>
                <w:szCs w:val="30"/>
                <w:color w:val="0000FF"/>
                <w:w w:val="82"/>
                <w:vertAlign w:val="subscript"/>
              </w:rPr>
              <w:t>323,733</w:t>
            </w:r>
            <w:r>
              <w:rPr>
                <w:rFonts w:ascii="Arial" w:cs="Arial" w:eastAsia="Arial" w:hAnsi="Arial"/>
                <w:sz w:val="10"/>
                <w:szCs w:val="10"/>
                <w:color w:val="008000"/>
                <w:w w:val="82"/>
              </w:rPr>
              <w:t>(2)(3)(4)(5)</w:t>
            </w:r>
          </w:p>
        </w:tc>
        <w:tc>
          <w:tcPr>
            <w:tcW w:w="62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23"/>
                <w:szCs w:val="23"/>
                <w:color w:val="0000FF"/>
                <w:w w:val="88"/>
                <w:vertAlign w:val="subscript"/>
              </w:rPr>
              <w:t>323,733</w:t>
            </w:r>
            <w:r>
              <w:rPr>
                <w:rFonts w:ascii="Arial" w:cs="Arial" w:eastAsia="Arial" w:hAnsi="Arial"/>
                <w:sz w:val="10"/>
                <w:szCs w:val="10"/>
                <w:color w:val="008000"/>
                <w:w w:val="88"/>
              </w:rPr>
              <w:t>(2)(3)(4)(5)</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Opco</w:t>
            </w:r>
          </w:p>
        </w:tc>
        <w:tc>
          <w:tcPr>
            <w:tcW w:w="680" w:type="dxa"/>
            <w:vAlign w:val="bottom"/>
          </w:tcPr>
          <w:p>
            <w:pPr>
              <w:ind w:left="300"/>
              <w:spacing w:after="0"/>
              <w:rPr>
                <w:sz w:val="20"/>
                <w:szCs w:val="20"/>
                <w:color w:val="auto"/>
              </w:rPr>
            </w:pPr>
            <w:r>
              <w:rPr>
                <w:rFonts w:ascii="Arial" w:cs="Arial" w:eastAsia="Arial" w:hAnsi="Arial"/>
                <w:sz w:val="10"/>
                <w:szCs w:val="10"/>
                <w:color w:val="008000"/>
              </w:rPr>
              <w:t>(3)</w:t>
            </w:r>
          </w:p>
        </w:tc>
        <w:tc>
          <w:tcPr>
            <w:tcW w:w="1040" w:type="dxa"/>
            <w:vAlign w:val="bottom"/>
          </w:tcPr>
          <w:p>
            <w:pPr>
              <w:ind w:left="260"/>
              <w:spacing w:after="0"/>
              <w:rPr>
                <w:sz w:val="20"/>
                <w:szCs w:val="20"/>
                <w:color w:val="auto"/>
              </w:rPr>
            </w:pPr>
            <w:r>
              <w:rPr>
                <w:rFonts w:ascii="Arial" w:cs="Arial" w:eastAsia="Arial" w:hAnsi="Arial"/>
                <w:sz w:val="12"/>
                <w:szCs w:val="12"/>
                <w:color w:val="0000FF"/>
              </w:rPr>
              <w:t>10/15/2021</w:t>
            </w:r>
          </w:p>
        </w:tc>
        <w:tc>
          <w:tcPr>
            <w:tcW w:w="98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3"/>
          </w:tcPr>
          <w:p>
            <w:pPr>
              <w:jc w:val="right"/>
              <w:ind w:right="300"/>
              <w:spacing w:after="0"/>
              <w:rPr>
                <w:sz w:val="20"/>
                <w:szCs w:val="20"/>
                <w:color w:val="auto"/>
              </w:rPr>
            </w:pPr>
            <w:r>
              <w:rPr>
                <w:rFonts w:ascii="Arial" w:cs="Arial" w:eastAsia="Arial" w:hAnsi="Arial"/>
                <w:sz w:val="10"/>
                <w:szCs w:val="10"/>
                <w:color w:val="008000"/>
                <w:w w:val="81"/>
              </w:rPr>
              <w:t>(3)</w:t>
            </w:r>
          </w:p>
        </w:tc>
        <w:tc>
          <w:tcPr>
            <w:tcW w:w="400" w:type="dxa"/>
            <w:vAlign w:val="bottom"/>
          </w:tcPr>
          <w:p>
            <w:pPr>
              <w:jc w:val="right"/>
              <w:spacing w:after="0"/>
              <w:rPr>
                <w:sz w:val="20"/>
                <w:szCs w:val="20"/>
                <w:color w:val="auto"/>
              </w:rPr>
            </w:pPr>
            <w:r>
              <w:rPr>
                <w:rFonts w:ascii="Arial" w:cs="Arial" w:eastAsia="Arial" w:hAnsi="Arial"/>
                <w:sz w:val="10"/>
                <w:szCs w:val="10"/>
                <w:color w:val="008000"/>
              </w:rPr>
              <w:t>(3)</w:t>
            </w:r>
          </w:p>
        </w:tc>
        <w:tc>
          <w:tcPr>
            <w:tcW w:w="280" w:type="dxa"/>
            <w:vAlign w:val="bottom"/>
          </w:tcPr>
          <w:p>
            <w:pPr>
              <w:spacing w:after="0"/>
              <w:rPr>
                <w:sz w:val="12"/>
                <w:szCs w:val="12"/>
                <w:color w:val="auto"/>
              </w:rPr>
            </w:pPr>
          </w:p>
        </w:tc>
        <w:tc>
          <w:tcPr>
            <w:tcW w:w="520" w:type="dxa"/>
            <w:vAlign w:val="bottom"/>
          </w:tcPr>
          <w:p>
            <w:pPr>
              <w:ind w:left="40"/>
              <w:spacing w:after="0"/>
              <w:rPr>
                <w:sz w:val="20"/>
                <w:szCs w:val="20"/>
                <w:color w:val="auto"/>
              </w:rPr>
            </w:pPr>
            <w:r>
              <w:rPr>
                <w:rFonts w:ascii="Arial" w:cs="Arial" w:eastAsia="Arial" w:hAnsi="Arial"/>
                <w:sz w:val="12"/>
                <w:szCs w:val="12"/>
                <w:color w:val="0000FF"/>
                <w:w w:val="94"/>
              </w:rPr>
              <w:t>Common</w:t>
            </w:r>
          </w:p>
        </w:tc>
        <w:tc>
          <w:tcPr>
            <w:tcW w:w="1120" w:type="dxa"/>
            <w:vAlign w:val="bottom"/>
            <w:gridSpan w:val="3"/>
            <w:vMerge w:val="continue"/>
          </w:tcPr>
          <w:p>
            <w:pPr>
              <w:spacing w:after="0"/>
              <w:rPr>
                <w:sz w:val="12"/>
                <w:szCs w:val="12"/>
                <w:color w:val="auto"/>
              </w:rPr>
            </w:pPr>
          </w:p>
        </w:tc>
        <w:tc>
          <w:tcPr>
            <w:tcW w:w="620" w:type="dxa"/>
            <w:vAlign w:val="bottom"/>
          </w:tcPr>
          <w:p>
            <w:pPr>
              <w:ind w:left="260"/>
              <w:spacing w:after="0"/>
              <w:rPr>
                <w:sz w:val="20"/>
                <w:szCs w:val="20"/>
                <w:color w:val="auto"/>
              </w:rPr>
            </w:pPr>
            <w:r>
              <w:rPr>
                <w:rFonts w:ascii="Arial" w:cs="Arial" w:eastAsia="Arial" w:hAnsi="Arial"/>
                <w:sz w:val="10"/>
                <w:szCs w:val="10"/>
                <w:color w:val="008000"/>
              </w:rPr>
              <w:t>(1)</w:t>
            </w:r>
          </w:p>
        </w:tc>
        <w:tc>
          <w:tcPr>
            <w:tcW w:w="1020" w:type="dxa"/>
            <w:vAlign w:val="bottom"/>
            <w:gridSpan w:val="2"/>
            <w:vMerge w:val="continue"/>
          </w:tcPr>
          <w:p>
            <w:pPr>
              <w:spacing w:after="0"/>
              <w:rPr>
                <w:sz w:val="12"/>
                <w:szCs w:val="12"/>
                <w:color w:val="auto"/>
              </w:rPr>
            </w:pPr>
          </w:p>
        </w:tc>
        <w:tc>
          <w:tcPr>
            <w:tcW w:w="500" w:type="dxa"/>
            <w:vAlign w:val="bottom"/>
          </w:tcPr>
          <w:p>
            <w:pPr>
              <w:ind w:left="2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40" w:type="dxa"/>
            <w:vAlign w:val="bottom"/>
            <w:tcBorders>
              <w:bottom w:val="single" w:sz="8" w:color="2C2C2C"/>
            </w:tcBorders>
            <w:gridSpan w:val="3"/>
          </w:tcPr>
          <w:p>
            <w:pPr>
              <w:ind w:left="60"/>
              <w:spacing w:after="0" w:line="201" w:lineRule="exact"/>
              <w:rPr>
                <w:sz w:val="20"/>
                <w:szCs w:val="20"/>
                <w:color w:val="auto"/>
              </w:rPr>
            </w:pPr>
            <w:r>
              <w:rPr>
                <w:rFonts w:ascii="Arial" w:cs="Arial" w:eastAsia="Arial" w:hAnsi="Arial"/>
                <w:sz w:val="23"/>
                <w:szCs w:val="23"/>
                <w:color w:val="0000FF"/>
                <w:w w:val="94"/>
                <w:vertAlign w:val="subscript"/>
              </w:rPr>
              <w:t>Units</w:t>
            </w:r>
            <w:r>
              <w:rPr>
                <w:rFonts w:ascii="Arial" w:cs="Arial" w:eastAsia="Arial" w:hAnsi="Arial"/>
                <w:sz w:val="10"/>
                <w:szCs w:val="10"/>
                <w:color w:val="008000"/>
                <w:w w:val="94"/>
              </w:rPr>
              <w:t>(1)(2)</w:t>
            </w:r>
          </w:p>
        </w:tc>
        <w:tc>
          <w:tcPr>
            <w:tcW w:w="6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Stock</w:t>
            </w:r>
          </w:p>
        </w:tc>
        <w:tc>
          <w:tcPr>
            <w:tcW w:w="4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-1407795</wp:posOffset>
            </wp:positionV>
            <wp:extent cx="27940" cy="1413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41351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40" w:right="160" w:hanging="10"/>
        <w:spacing w:after="0" w:line="261" w:lineRule="auto"/>
        <w:tabs>
          <w:tab w:leader="none" w:pos="15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Acquired pursuant to the terms of the Agreement and Plan of Merger dated as of January 11, 2021 (as amended, the "Merger Agreement") by and among Bakkt Holdings, Inc. (the "Issuer"), Pylon Merger Company LLC ("Merger Sub") and Bakkt Opco Holdings, LLC ("Bakkt Opco"), pursuant to which Merger Sub merged (the "Merger") with and into Bakkt Opco with Bakkt Opco continuing as the surviving entity and a subsidiary of the Issuer. Pursuant to the terms of the Merger Agreement, the owners of Bakkt Opco common units as of immediately prior to the closing of the Merger (the "Closing") received at the Closing, as consideration for the Merger, paired interests ("Paired Interests"), each consisting of one unit of Bakkt Opco (a "Bakkt Opco Unit") and one share of Class V common stock of the Issuer ("Class V Common Stock").</w:t>
      </w:r>
    </w:p>
    <w:p>
      <w:pPr>
        <w:spacing w:after="0" w:line="17" w:lineRule="exact"/>
        <w:rPr>
          <w:rFonts w:ascii="Arial" w:cs="Arial" w:eastAsia="Arial" w:hAnsi="Arial"/>
          <w:sz w:val="11"/>
          <w:szCs w:val="11"/>
          <w:color w:val="008000"/>
        </w:rPr>
      </w:pPr>
    </w:p>
    <w:p>
      <w:pPr>
        <w:ind w:left="40" w:right="180" w:hanging="10"/>
        <w:spacing w:after="0" w:line="237" w:lineRule="auto"/>
        <w:tabs>
          <w:tab w:leader="none" w:pos="15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Bakkt Opco Units represent non-voting limited liability company interests of Bakkt Opco. The shares of Class V Common Stock are non-economic, voting shares of the Issuer, which entitle the holder thereof to one vote for each share of Class V Common Stock held of record by such holder on all matters on which holders of Class V Common Stock as a separate class are entitled to vote, and together with holders of Class A common stock of the Issuer ("Class A Common Stock") as a single class on all matters submitted to a vote of the Issuer's stockholders having voting rights generally.</w:t>
      </w:r>
    </w:p>
    <w:p>
      <w:pPr>
        <w:spacing w:after="0" w:line="28" w:lineRule="exact"/>
        <w:rPr>
          <w:rFonts w:ascii="Arial" w:cs="Arial" w:eastAsia="Arial" w:hAnsi="Arial"/>
          <w:sz w:val="12"/>
          <w:szCs w:val="12"/>
          <w:color w:val="008000"/>
        </w:rPr>
      </w:pPr>
    </w:p>
    <w:p>
      <w:pPr>
        <w:ind w:left="40" w:right="580" w:hanging="10"/>
        <w:spacing w:after="0" w:line="289" w:lineRule="auto"/>
        <w:tabs>
          <w:tab w:leader="none" w:pos="15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Pursuant to the terms of an exchange agreement (the "Exchange Agreement"), beginning on the six-month anniversary of the Closing, holders of Paired Interests may exchange such Paired Interests for shares of Class A Common Stock on a one-for-one basis (subject to adjustment as set forth in the Exchange Agreement) or, at the Issuer's option, for cash. These exchange rights do not expire.</w:t>
      </w:r>
    </w:p>
    <w:p>
      <w:pPr>
        <w:spacing w:after="0" w:line="2" w:lineRule="exact"/>
        <w:rPr>
          <w:rFonts w:ascii="Arial" w:cs="Arial" w:eastAsia="Arial" w:hAnsi="Arial"/>
          <w:sz w:val="11"/>
          <w:szCs w:val="11"/>
          <w:color w:val="008000"/>
        </w:rPr>
      </w:pPr>
    </w:p>
    <w:p>
      <w:pPr>
        <w:ind w:left="40" w:right="480" w:hanging="10"/>
        <w:spacing w:after="0" w:line="245" w:lineRule="auto"/>
        <w:tabs>
          <w:tab w:leader="none" w:pos="15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2,965,800 Class C Units in Bakkt Management, LLC (the "Bakkt Management Units"), which units are, subject to certain limitations, redeemable at the request of the Reporting Person in exchange for an equal number of Paired Interests held by Bakkt Management, LLC.</w:t>
      </w:r>
    </w:p>
    <w:p>
      <w:pPr>
        <w:spacing w:after="0" w:line="25" w:lineRule="exact"/>
        <w:rPr>
          <w:rFonts w:ascii="Arial" w:cs="Arial" w:eastAsia="Arial" w:hAnsi="Arial"/>
          <w:sz w:val="12"/>
          <w:szCs w:val="12"/>
          <w:color w:val="008000"/>
        </w:rPr>
      </w:pPr>
    </w:p>
    <w:p>
      <w:pPr>
        <w:ind w:left="140" w:hanging="110"/>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As of the Closing, one-third of the Bakkt Management Units are vested, and one-third shall vest on the first anniversary of the Closing and the remaining third shall vest on the second anniversary of the Closing.</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ind w:left="6600"/>
        <w:spacing w:after="0" w:line="231" w:lineRule="auto"/>
        <w:rPr>
          <w:sz w:val="20"/>
          <w:szCs w:val="20"/>
          <w:color w:val="auto"/>
        </w:rPr>
      </w:pPr>
      <w:r>
        <w:rPr>
          <w:rFonts w:ascii="Arial" w:cs="Arial" w:eastAsia="Arial" w:hAnsi="Arial"/>
          <w:sz w:val="15"/>
          <w:szCs w:val="15"/>
          <w:color w:val="0000FF"/>
        </w:rPr>
        <w:t xml:space="preserve">/s/ Marc D'Annunzio Attorney-in-  </w:t>
      </w:r>
      <w:r>
        <w:rPr>
          <w:rFonts w:ascii="Arial" w:cs="Arial" w:eastAsia="Arial" w:hAnsi="Arial"/>
          <w:sz w:val="30"/>
          <w:szCs w:val="30"/>
          <w:color w:val="0000FF"/>
          <w:vertAlign w:val="subscript"/>
        </w:rPr>
        <w:t>10/15/2021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-24765</wp:posOffset>
            </wp:positionV>
            <wp:extent cx="13315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Fact for Nicolas Cabrera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9613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1390" cy="762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-74295</wp:posOffset>
            </wp:positionV>
            <wp:extent cx="4445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4500" cy="7620"/>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0"/>
          <w:szCs w:val="20"/>
          <w:color w:val="auto"/>
        </w:rPr>
      </w:pPr>
    </w:p>
    <w:p>
      <w:pPr>
        <w:jc w:val="both"/>
        <w:ind w:left="40" w:right="4220" w:hanging="10"/>
        <w:spacing w:after="0" w:line="334" w:lineRule="auto"/>
        <w:tabs>
          <w:tab w:leader="none" w:pos="16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0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2021-10-15T15:51:32Z</dcterms:created>
  <dcterms:modified xsi:type="dcterms:W3CDTF">2021-10-15T15:51:32Z</dcterms:modified>
</cp:coreProperties>
</file>