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UNITED STATES</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Under the Securities Exchange Act of 1934</w:t>
      </w:r>
    </w:p>
    <w:p>
      <w:pPr>
        <w:jc w:val="center"/>
        <w:ind w:right="-59"/>
        <w:spacing w:after="0"/>
        <w:rPr>
          <w:sz w:val="20"/>
          <w:szCs w:val="20"/>
          <w:color w:val="auto"/>
        </w:rPr>
      </w:pPr>
      <w:r>
        <w:rPr>
          <w:rFonts w:ascii="Arial" w:cs="Arial" w:eastAsia="Arial" w:hAnsi="Arial"/>
          <w:sz w:val="19"/>
          <w:szCs w:val="19"/>
          <w:b w:val="1"/>
          <w:bCs w:val="1"/>
          <w:color w:val="auto"/>
        </w:rPr>
        <w:t>(Amendment No. 1)*</w:t>
      </w:r>
    </w:p>
    <w:p>
      <w:pPr>
        <w:spacing w:after="0" w:line="30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Bakkt Holdings, Inc.</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(f/k/a 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6"/>
          <w:szCs w:val="16"/>
          <w:color w:val="auto"/>
        </w:rPr>
        <w:t>(Name of Issuer)</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(Title of Class of Securities)</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(CUSIP Number)</w:t>
      </w: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October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(Date of Event which Requires Filing of this Statement)</w:t>
      </w:r>
    </w:p>
    <w:p>
      <w:pPr>
        <w:spacing w:after="0" w:line="22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5220" w:hanging="207"/>
        <w:spacing w:after="0"/>
        <w:tabs>
          <w:tab w:leader="none" w:pos="5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220" w:hanging="202"/>
        <w:spacing w:after="0"/>
        <w:tabs>
          <w:tab w:leader="none" w:pos="52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66" w:lineRule="exact"/>
        <w:rPr>
          <w:sz w:val="24"/>
          <w:szCs w:val="24"/>
          <w:color w:val="auto"/>
        </w:rPr>
      </w:pPr>
    </w:p>
    <w:p>
      <w:pPr>
        <w:ind w:left="5240" w:hanging="240"/>
        <w:spacing w:after="0"/>
        <w:tabs>
          <w:tab w:leader="none" w:pos="5240" w:val="left"/>
        </w:tabs>
        <w:numPr>
          <w:ilvl w:val="1"/>
          <w:numId w:val="2"/>
        </w:numPr>
        <w:rPr>
          <w:rFonts w:ascii="MS PGothic" w:cs="MS PGothic" w:eastAsia="MS PGothic" w:hAnsi="MS PGothic"/>
          <w:sz w:val="22"/>
          <w:szCs w:val="22"/>
          <w:color w:val="auto"/>
        </w:rPr>
      </w:pPr>
      <w:r>
        <w:rPr>
          <w:rFonts w:ascii="Arial" w:cs="Arial" w:eastAsia="Arial" w:hAnsi="Arial"/>
          <w:sz w:val="18"/>
          <w:szCs w:val="18"/>
          <w:color w:val="auto"/>
        </w:rPr>
        <w:t>Rule 13d-1(d)</w:t>
      </w:r>
    </w:p>
    <w:p>
      <w:pPr>
        <w:spacing w:after="0" w:line="197" w:lineRule="exact"/>
        <w:rPr>
          <w:rFonts w:ascii="MS PGothic" w:cs="MS PGothic" w:eastAsia="MS PGothic" w:hAnsi="MS PGothic"/>
          <w:sz w:val="22"/>
          <w:szCs w:val="22"/>
          <w:color w:val="auto"/>
        </w:rPr>
      </w:pPr>
    </w:p>
    <w:p>
      <w:pPr>
        <w:ind w:right="60"/>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3" w:lineRule="exact"/>
        <w:rPr>
          <w:sz w:val="24"/>
          <w:szCs w:val="24"/>
          <w:color w:val="auto"/>
        </w:rPr>
      </w:pPr>
    </w:p>
    <w:p>
      <w:pPr>
        <w:ind w:right="60" w:firstLine="8"/>
        <w:spacing w:after="0" w:line="235" w:lineRule="auto"/>
        <w:tabs>
          <w:tab w:leader="none" w:pos="27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Reporting Persons previously filed an original Schedule 13G in respect of the Issuer’s Class A Common Stock, par value $0.0001 per share on February 12, 2021 (the “Original Schedule 13G”). On October 1, 2021, Corbin Capital Partners GP, LLC replaced Corbin Capital Partners Group, LLC as the general partner to funds managed by Corbin Capital Partners, L.P. This Amendment No. 1 to the Original Schedule 13G is being filed to reflect the fact that, as of October 1, 2021, Corbin Capital Partners Group, LLC ceased to be a reporting person, with Corbin Capital Partners GP, LLC becoming a reporting person as of that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380" w:type="dxa"/>
            <w:vAlign w:val="bottom"/>
            <w:vMerge w:val="restart"/>
          </w:tcPr>
          <w:p>
            <w:pPr>
              <w:ind w:left="1640"/>
              <w:spacing w:after="0"/>
              <w:rPr>
                <w:sz w:val="20"/>
                <w:szCs w:val="20"/>
                <w:color w:val="auto"/>
              </w:rPr>
            </w:pPr>
            <w:r>
              <w:rPr>
                <w:rFonts w:ascii="Arial" w:cs="Arial" w:eastAsia="Arial" w:hAnsi="Arial"/>
                <w:sz w:val="27"/>
                <w:szCs w:val="27"/>
                <w:b w:val="1"/>
                <w:bCs w:val="1"/>
                <w:color w:val="auto"/>
              </w:rPr>
              <w:t>13G</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23"/>
                <w:szCs w:val="23"/>
                <w:b w:val="1"/>
                <w:bCs w:val="1"/>
                <w:color w:val="auto"/>
              </w:rPr>
              <w:t>CUSIP No. 05759B107</w:t>
            </w:r>
          </w:p>
        </w:tc>
        <w:tc>
          <w:tcPr>
            <w:tcW w:w="1020" w:type="dxa"/>
            <w:vAlign w:val="bottom"/>
            <w:tcBorders>
              <w:bottom w:val="single" w:sz="8" w:color="auto"/>
              <w:right w:val="single" w:sz="8" w:color="auto"/>
            </w:tcBorders>
          </w:tcPr>
          <w:p>
            <w:pPr>
              <w:spacing w:after="0"/>
              <w:rPr>
                <w:sz w:val="24"/>
                <w:szCs w:val="24"/>
                <w:color w:val="auto"/>
              </w:rPr>
            </w:pPr>
          </w:p>
        </w:tc>
        <w:tc>
          <w:tcPr>
            <w:tcW w:w="7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spacing w:after="0"/>
              <w:rPr>
                <w:sz w:val="21"/>
                <w:szCs w:val="21"/>
                <w:color w:val="auto"/>
              </w:rPr>
            </w:pPr>
          </w:p>
        </w:tc>
        <w:tc>
          <w:tcPr>
            <w:tcW w:w="7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jc w:val="center"/>
              <w:ind w:right="6785"/>
              <w:spacing w:after="0"/>
              <w:rPr>
                <w:sz w:val="20"/>
                <w:szCs w:val="20"/>
                <w:color w:val="auto"/>
              </w:rPr>
            </w:pPr>
            <w:r>
              <w:rPr>
                <w:rFonts w:ascii="Arial" w:cs="Arial" w:eastAsia="Arial" w:hAnsi="Arial"/>
                <w:sz w:val="18"/>
                <w:szCs w:val="18"/>
                <w:color w:val="auto"/>
                <w:w w:val="92"/>
              </w:rPr>
              <w:t>Corbin Capital Partners Group,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40" w:type="dxa"/>
            <w:vAlign w:val="bottom"/>
            <w:tcBorders>
              <w:bottom w:val="single" w:sz="8" w:color="auto"/>
            </w:tcBorders>
            <w:gridSpan w:val="5"/>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738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738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BFBFBF"/>
            </w:tcBorders>
            <w:shd w:val="clear" w:color="auto" w:fill="BFBFBF"/>
          </w:tcPr>
          <w:p>
            <w:pPr>
              <w:spacing w:after="0"/>
              <w:rPr>
                <w:sz w:val="23"/>
                <w:szCs w:val="23"/>
                <w:color w:val="auto"/>
              </w:rPr>
            </w:pPr>
          </w:p>
        </w:tc>
        <w:tc>
          <w:tcPr>
            <w:tcW w:w="738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4"/>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ind w:right="730"/>
              <w:spacing w:after="0"/>
              <w:rPr>
                <w:sz w:val="20"/>
                <w:szCs w:val="20"/>
                <w:color w:val="auto"/>
              </w:rPr>
            </w:pPr>
            <w:r>
              <w:rPr>
                <w:rFonts w:ascii="Arial" w:cs="Arial" w:eastAsia="Arial" w:hAnsi="Arial"/>
                <w:sz w:val="18"/>
                <w:szCs w:val="18"/>
                <w:color w:val="auto"/>
                <w:w w:val="79"/>
              </w:rPr>
              <w:t>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vMerge w:val="restart"/>
          </w:tcPr>
          <w:p>
            <w:pPr>
              <w:jc w:val="center"/>
              <w:ind w:right="730"/>
              <w:spacing w:after="0"/>
              <w:rPr>
                <w:sz w:val="20"/>
                <w:szCs w:val="20"/>
                <w:color w:val="auto"/>
              </w:rPr>
            </w:pPr>
            <w:r>
              <w:rPr>
                <w:rFonts w:ascii="Arial" w:cs="Arial" w:eastAsia="Arial" w:hAnsi="Arial"/>
                <w:sz w:val="18"/>
                <w:szCs w:val="18"/>
                <w:color w:val="auto"/>
                <w:w w:val="79"/>
              </w:rPr>
              <w:t>0</w:t>
            </w:r>
          </w:p>
        </w:tc>
        <w:tc>
          <w:tcPr>
            <w:tcW w:w="7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7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vMerge w:val="restart"/>
          </w:tcPr>
          <w:p>
            <w:pPr>
              <w:jc w:val="center"/>
              <w:ind w:right="730"/>
              <w:spacing w:after="0"/>
              <w:rPr>
                <w:sz w:val="20"/>
                <w:szCs w:val="20"/>
                <w:color w:val="auto"/>
              </w:rPr>
            </w:pPr>
            <w:r>
              <w:rPr>
                <w:rFonts w:ascii="Arial" w:cs="Arial" w:eastAsia="Arial" w:hAnsi="Arial"/>
                <w:sz w:val="18"/>
                <w:szCs w:val="18"/>
                <w:color w:val="auto"/>
                <w:w w:val="79"/>
              </w:rPr>
              <w:t>0</w:t>
            </w: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7"/>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ind w:right="730"/>
              <w:spacing w:after="0"/>
              <w:rPr>
                <w:sz w:val="20"/>
                <w:szCs w:val="20"/>
                <w:color w:val="auto"/>
              </w:rPr>
            </w:pPr>
            <w:r>
              <w:rPr>
                <w:rFonts w:ascii="Arial" w:cs="Arial" w:eastAsia="Arial" w:hAnsi="Arial"/>
                <w:sz w:val="18"/>
                <w:szCs w:val="18"/>
                <w:color w:val="auto"/>
                <w:w w:val="79"/>
              </w:rPr>
              <w:t>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73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380" w:type="dxa"/>
            <w:vAlign w:val="bottom"/>
            <w:vMerge w:val="restart"/>
          </w:tcPr>
          <w:p>
            <w:pPr>
              <w:ind w:left="1640"/>
              <w:spacing w:after="0"/>
              <w:rPr>
                <w:sz w:val="20"/>
                <w:szCs w:val="20"/>
                <w:color w:val="auto"/>
              </w:rPr>
            </w:pPr>
            <w:r>
              <w:rPr>
                <w:rFonts w:ascii="Arial" w:cs="Arial" w:eastAsia="Arial" w:hAnsi="Arial"/>
                <w:sz w:val="27"/>
                <w:szCs w:val="27"/>
                <w:b w:val="1"/>
                <w:bCs w:val="1"/>
                <w:color w:val="auto"/>
              </w:rPr>
              <w:t>13G</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23"/>
                <w:szCs w:val="23"/>
                <w:b w:val="1"/>
                <w:bCs w:val="1"/>
                <w:color w:val="auto"/>
              </w:rPr>
              <w:t>CUSIP No. 05759B107</w:t>
            </w:r>
          </w:p>
        </w:tc>
        <w:tc>
          <w:tcPr>
            <w:tcW w:w="1020" w:type="dxa"/>
            <w:vAlign w:val="bottom"/>
            <w:tcBorders>
              <w:bottom w:val="single" w:sz="8" w:color="auto"/>
              <w:right w:val="single" w:sz="8" w:color="auto"/>
            </w:tcBorders>
          </w:tcPr>
          <w:p>
            <w:pPr>
              <w:spacing w:after="0"/>
              <w:rPr>
                <w:sz w:val="24"/>
                <w:szCs w:val="24"/>
                <w:color w:val="auto"/>
              </w:rPr>
            </w:pPr>
          </w:p>
        </w:tc>
        <w:tc>
          <w:tcPr>
            <w:tcW w:w="7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spacing w:after="0"/>
              <w:rPr>
                <w:sz w:val="21"/>
                <w:szCs w:val="21"/>
                <w:color w:val="auto"/>
              </w:rPr>
            </w:pPr>
          </w:p>
        </w:tc>
        <w:tc>
          <w:tcPr>
            <w:tcW w:w="7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Arial" w:cs="Arial" w:eastAsia="Arial" w:hAnsi="Arial"/>
                <w:sz w:val="18"/>
                <w:szCs w:val="18"/>
                <w:color w:val="auto"/>
              </w:rPr>
              <w:t>Corbin Capital Partners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40" w:type="dxa"/>
            <w:vAlign w:val="bottom"/>
            <w:tcBorders>
              <w:bottom w:val="single" w:sz="8" w:color="auto"/>
            </w:tcBorders>
            <w:gridSpan w:val="5"/>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738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738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BFBFBF"/>
            </w:tcBorders>
            <w:shd w:val="clear" w:color="auto" w:fill="BFBFBF"/>
          </w:tcPr>
          <w:p>
            <w:pPr>
              <w:spacing w:after="0"/>
              <w:rPr>
                <w:sz w:val="23"/>
                <w:szCs w:val="23"/>
                <w:color w:val="auto"/>
              </w:rPr>
            </w:pPr>
          </w:p>
        </w:tc>
        <w:tc>
          <w:tcPr>
            <w:tcW w:w="738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7"/>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1,500,000</w:t>
            </w:r>
          </w:p>
        </w:tc>
        <w:tc>
          <w:tcPr>
            <w:tcW w:w="7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7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7"/>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1,500,000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1,500,000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73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380" w:type="dxa"/>
            <w:vAlign w:val="bottom"/>
            <w:vMerge w:val="restart"/>
          </w:tcPr>
          <w:p>
            <w:pPr>
              <w:ind w:left="1640"/>
              <w:spacing w:after="0"/>
              <w:rPr>
                <w:sz w:val="20"/>
                <w:szCs w:val="20"/>
                <w:color w:val="auto"/>
              </w:rPr>
            </w:pPr>
            <w:r>
              <w:rPr>
                <w:rFonts w:ascii="Arial" w:cs="Arial" w:eastAsia="Arial" w:hAnsi="Arial"/>
                <w:sz w:val="27"/>
                <w:szCs w:val="27"/>
                <w:b w:val="1"/>
                <w:bCs w:val="1"/>
                <w:color w:val="auto"/>
              </w:rPr>
              <w:t>13G</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23"/>
                <w:szCs w:val="23"/>
                <w:b w:val="1"/>
                <w:bCs w:val="1"/>
                <w:color w:val="auto"/>
              </w:rPr>
              <w:t>CUSIP No. 05759B107</w:t>
            </w:r>
          </w:p>
        </w:tc>
        <w:tc>
          <w:tcPr>
            <w:tcW w:w="1020" w:type="dxa"/>
            <w:vAlign w:val="bottom"/>
            <w:tcBorders>
              <w:bottom w:val="single" w:sz="8" w:color="auto"/>
              <w:right w:val="single" w:sz="8" w:color="auto"/>
            </w:tcBorders>
          </w:tcPr>
          <w:p>
            <w:pPr>
              <w:spacing w:after="0"/>
              <w:rPr>
                <w:sz w:val="24"/>
                <w:szCs w:val="24"/>
                <w:color w:val="auto"/>
              </w:rPr>
            </w:pPr>
          </w:p>
        </w:tc>
        <w:tc>
          <w:tcPr>
            <w:tcW w:w="7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spacing w:after="0"/>
              <w:rPr>
                <w:sz w:val="21"/>
                <w:szCs w:val="21"/>
                <w:color w:val="auto"/>
              </w:rPr>
            </w:pPr>
          </w:p>
        </w:tc>
        <w:tc>
          <w:tcPr>
            <w:tcW w:w="7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Arial" w:cs="Arial" w:eastAsia="Arial" w:hAnsi="Arial"/>
                <w:sz w:val="18"/>
                <w:szCs w:val="18"/>
                <w:color w:val="auto"/>
              </w:rPr>
              <w:t>Corbin Capital Partners,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40" w:type="dxa"/>
            <w:vAlign w:val="bottom"/>
            <w:tcBorders>
              <w:bottom w:val="single" w:sz="8" w:color="auto"/>
            </w:tcBorders>
            <w:gridSpan w:val="5"/>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738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738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BFBFBF"/>
            </w:tcBorders>
            <w:shd w:val="clear" w:color="auto" w:fill="BFBFBF"/>
          </w:tcPr>
          <w:p>
            <w:pPr>
              <w:spacing w:after="0"/>
              <w:rPr>
                <w:sz w:val="23"/>
                <w:szCs w:val="23"/>
                <w:color w:val="auto"/>
              </w:rPr>
            </w:pPr>
          </w:p>
        </w:tc>
        <w:tc>
          <w:tcPr>
            <w:tcW w:w="738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7"/>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1,500,000</w:t>
            </w:r>
          </w:p>
        </w:tc>
        <w:tc>
          <w:tcPr>
            <w:tcW w:w="7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7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7"/>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1,500,000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1,500,000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73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IA, 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Explanatory Note</w:t>
      </w:r>
    </w:p>
    <w:p>
      <w:pPr>
        <w:spacing w:after="0" w:line="239"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The Reporting Persons previously filed an original Schedule 13G in respect of the Issuer’s Class A Common Stock, par value $0.0001 per share on February 12, 2021 (the “Original Schedule 13G”). On October 1, 2021, Corbin Capital Partners GP, LLC replaced Corbin Capital Partners Group, LLC as the general partner to funds managed by Corbin Capital Partners, L.P. This Amendment No. 1 to the Original Schedule 13G is being filed to reflect the fact that, as of October 1, 2021, Corbin Capital Partners Group, LLC ceased to be a reporting person, with Corbin Capital Partners GP, LLC becoming a reporting person as of that date.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Name of Issuer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Bakkt Holdings, Inc. (f/k/a VPC Impact Acquisition Holdings (the “Issuer”))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10000 Avalon Boulevard</w:t>
      </w:r>
      <w:r>
        <w:rPr>
          <w:rFonts w:ascii="Arial" w:cs="Arial" w:eastAsia="Arial" w:hAnsi="Arial"/>
          <w:sz w:val="22"/>
          <w:szCs w:val="22"/>
          <w:b w:val="1"/>
          <w:bCs w:val="1"/>
          <w:color w:val="auto"/>
        </w:rPr>
        <w:t>,</w:t>
      </w:r>
      <w:r>
        <w:rPr>
          <w:rFonts w:ascii="Arial" w:cs="Arial" w:eastAsia="Arial" w:hAnsi="Arial"/>
          <w:sz w:val="22"/>
          <w:szCs w:val="22"/>
          <w:color w:val="auto"/>
        </w:rPr>
        <w:t xml:space="preserve"> Suite 1000</w:t>
      </w:r>
      <w:r>
        <w:rPr>
          <w:rFonts w:ascii="Arial" w:cs="Arial" w:eastAsia="Arial" w:hAnsi="Arial"/>
          <w:sz w:val="22"/>
          <w:szCs w:val="22"/>
          <w:b w:val="1"/>
          <w:bCs w:val="1"/>
          <w:color w:val="auto"/>
        </w:rPr>
        <w:t>,</w:t>
      </w:r>
      <w:r>
        <w:rPr>
          <w:rFonts w:ascii="Arial" w:cs="Arial" w:eastAsia="Arial" w:hAnsi="Arial"/>
          <w:sz w:val="22"/>
          <w:szCs w:val="22"/>
          <w:color w:val="auto"/>
        </w:rPr>
        <w:t xml:space="preserve"> Alpharetta</w:t>
      </w:r>
      <w:r>
        <w:rPr>
          <w:rFonts w:ascii="Arial" w:cs="Arial" w:eastAsia="Arial" w:hAnsi="Arial"/>
          <w:sz w:val="22"/>
          <w:szCs w:val="22"/>
          <w:b w:val="1"/>
          <w:bCs w:val="1"/>
          <w:color w:val="auto"/>
        </w:rPr>
        <w:t>,</w:t>
      </w:r>
      <w:r>
        <w:rPr>
          <w:rFonts w:ascii="Arial" w:cs="Arial" w:eastAsia="Arial" w:hAnsi="Arial"/>
          <w:sz w:val="22"/>
          <w:szCs w:val="22"/>
          <w:color w:val="auto"/>
        </w:rPr>
        <w:t xml:space="preserve"> Georgia</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This Statement is filed on behalf of the following persons (collectively, the “Reporting Persons”):</w:t>
      </w:r>
    </w:p>
    <w:p>
      <w:pPr>
        <w:spacing w:after="0" w:line="24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Corbin Capital Partners Group, LLC;</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Corbin Capital Partners GP, LLC;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Corbin Capital Partners, 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 Residence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address of the principal business office of the Reporting Persons is 590 Madison Avenue, 31st Floor, New York, NY 10022.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2.(c)  Citizenship</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Each of Corbin Capital Partners Group, LLC and Corbin Capital Partners GP, LLC is a Delaware limited liability company.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Corbin Capital Partners, L.P. is a Delaware limited partnership.</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2.(d)  Title of Class of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Class A Common Stock, par value $0.0001 per share (the “Shares”).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2.(e)  CUSIP Number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05759B107</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If This Statement is Filed Pursuant to Rule 13d-1(b), or 13d-2(b) or (c), Check Whether the Person Filing is a:</w:t>
      </w:r>
    </w:p>
    <w:p>
      <w:pPr>
        <w:spacing w:after="0" w:line="248" w:lineRule="exact"/>
        <w:rPr>
          <w:sz w:val="20"/>
          <w:szCs w:val="20"/>
          <w:color w:val="auto"/>
        </w:rPr>
      </w:pPr>
    </w:p>
    <w:p>
      <w:pPr>
        <w:ind w:left="1100" w:hanging="539"/>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 (15 U.S.C. 78c);</w:t>
      </w:r>
    </w:p>
    <w:p>
      <w:pPr>
        <w:spacing w:after="0" w:line="57"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 (15 U.S.C. 78c);</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 (15 U.S.C. 78c);</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100" w:right="20" w:hanging="539"/>
        <w:spacing w:after="0" w:line="215"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1100" w:hanging="539"/>
        <w:spacing w:after="0" w:line="207" w:lineRule="exact"/>
        <w:tabs>
          <w:tab w:leader="none" w:pos="11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ectPr>
          <w:pgSz w:w="11900" w:h="16838" w:orient="portrait"/>
          <w:cols w:equalWidth="0" w:num="1">
            <w:col w:w="11100"/>
          </w:cols>
          <w:pgMar w:left="320" w:top="841" w:right="47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4(a).  Amount Beneficially Owned:</w:t>
      </w:r>
    </w:p>
    <w:p>
      <w:pPr>
        <w:sectPr>
          <w:pgSz w:w="11900" w:h="16838" w:orient="portrait"/>
          <w:cols w:equalWidth="0" w:num="1">
            <w:col w:w="11100"/>
          </w:cols>
          <w:pgMar w:left="320" w:top="841" w:right="479" w:bottom="0" w:gutter="0" w:footer="0" w:header="0"/>
          <w:type w:val="continuous"/>
        </w:sectPr>
      </w:pPr>
    </w:p>
    <w:bookmarkStart w:id="5" w:name="page6"/>
    <w:bookmarkEnd w:id="5"/>
    <w:p>
      <w:pPr>
        <w:ind w:right="660"/>
        <w:spacing w:after="0" w:line="250" w:lineRule="auto"/>
        <w:rPr>
          <w:sz w:val="20"/>
          <w:szCs w:val="20"/>
          <w:color w:val="auto"/>
        </w:rPr>
      </w:pPr>
      <w:r>
        <w:rPr>
          <w:rFonts w:ascii="Arial" w:cs="Arial" w:eastAsia="Arial" w:hAnsi="Arial"/>
          <w:sz w:val="22"/>
          <w:szCs w:val="22"/>
          <w:color w:val="auto"/>
        </w:rPr>
        <w:t>As of the date of the date of this filing, each of Corbin Capital Partners GP, LLC and Corbin Capital Partners, L.P. may be deemed the beneficial owner of 1,500,000 Shares.</w:t>
      </w:r>
    </w:p>
    <w:p>
      <w:pPr>
        <w:spacing w:after="0" w:line="39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49" w:lineRule="exact"/>
        <w:rPr>
          <w:sz w:val="20"/>
          <w:szCs w:val="20"/>
          <w:color w:val="auto"/>
        </w:rPr>
      </w:pPr>
    </w:p>
    <w:p>
      <w:pPr>
        <w:ind w:right="580"/>
        <w:spacing w:after="0" w:line="297" w:lineRule="auto"/>
        <w:rPr>
          <w:sz w:val="20"/>
          <w:szCs w:val="20"/>
          <w:color w:val="auto"/>
        </w:rPr>
      </w:pPr>
      <w:r>
        <w:rPr>
          <w:rFonts w:ascii="Arial" w:cs="Arial" w:eastAsia="Arial" w:hAnsi="Arial"/>
          <w:sz w:val="19"/>
          <w:szCs w:val="19"/>
          <w:color w:val="auto"/>
        </w:rPr>
        <w:t>As of the date of this filing, each of Corbin Capital Partners GP, LLC and Corbin Capital Partners, L.P. may be deemed the beneficial owner of 2.6% of the Shares outstanding. These percentages are based on 57,164,266 Shares outstanding as of November 30, 2021, as reported in the Issuer’s Annual Report on Form 10-K filed on December 8, 2021.</w:t>
      </w:r>
    </w:p>
    <w:p>
      <w:pPr>
        <w:spacing w:after="0" w:line="3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as to which such person has: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Corbin Capital Partners GP, LLC:</w:t>
      </w:r>
    </w:p>
    <w:p>
      <w:pPr>
        <w:spacing w:after="0" w:line="13" w:lineRule="exact"/>
        <w:rPr>
          <w:sz w:val="20"/>
          <w:szCs w:val="20"/>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7" w:lineRule="exact"/>
        <w:rPr>
          <w:rFonts w:ascii="Arial" w:cs="Arial" w:eastAsia="Arial" w:hAnsi="Arial"/>
          <w:sz w:val="18"/>
          <w:szCs w:val="18"/>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1,500,000</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1,500,000</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Corbin Capital Partners, L.P.:</w:t>
      </w:r>
    </w:p>
    <w:p>
      <w:pPr>
        <w:spacing w:after="0" w:line="13" w:lineRule="exact"/>
        <w:rPr>
          <w:sz w:val="20"/>
          <w:szCs w:val="20"/>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7"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1,500,000</w:t>
      </w:r>
    </w:p>
    <w:p>
      <w:pPr>
        <w:spacing w:after="0" w:line="9" w:lineRule="exact"/>
        <w:rPr>
          <w:sz w:val="20"/>
          <w:szCs w:val="20"/>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1,500,000</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As of October 1, 2021, Corbin Capital Partners Group, LLC ceased to beneficially own any Shares and this Amendment No. 1 serves as an exit filing for Corbin Capital Partners Group, LLC. In addition, as of the date of this filing, Corbin Capital Partners GP, LLC and Corbin Capital Partners, L.P. have ceased to beneficially own more than 5% of the Issuer’s Shares, and this Amendment No. 1 serves as an exit filing for each of Corbin Capital Partners GP, LLC and Corbin Capital Partners, L.P.</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980" w:right="500" w:hanging="1295"/>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21"/>
          <w:szCs w:val="21"/>
          <w:color w:val="auto"/>
        </w:rPr>
        <w:t>The Shares reported herein are held by Corbin ERISA Opportunity Fund, Ltd. (“CEOF”), a Cayman Islands exempted company, and Corbin Opportunity Fund, L.P. (“COF”), a Delaware limited partnership. Corbin Capital Partners GP, LLC is the general partner of Corbin Capital Partners, L.P., which serves as investment advisor for both COF and CEOF.</w:t>
      </w:r>
    </w:p>
    <w:p>
      <w:pPr>
        <w:spacing w:after="0" w:line="19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6" w:name="page7"/>
    <w:bookmarkEnd w:id="6"/>
    <w:p>
      <w:pPr>
        <w:ind w:left="5320"/>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14, 2021</w:t>
      </w:r>
    </w:p>
    <w:p>
      <w:pPr>
        <w:spacing w:after="0" w:line="200" w:lineRule="exact"/>
        <w:rPr>
          <w:sz w:val="20"/>
          <w:szCs w:val="20"/>
          <w:color w:val="auto"/>
        </w:rPr>
      </w:pPr>
    </w:p>
    <w:p>
      <w:pPr>
        <w:spacing w:after="0" w:line="248"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Corbin Capital Partners Group, LLC</w:t>
      </w:r>
    </w:p>
    <w:p>
      <w:pPr>
        <w:spacing w:after="0" w:line="23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w:t>
      </w:r>
      <w:r>
        <w:rPr>
          <w:rFonts w:ascii="Arial" w:cs="Arial" w:eastAsia="Arial" w:hAnsi="Arial"/>
          <w:sz w:val="20"/>
          <w:szCs w:val="20"/>
          <w:color w:val="auto"/>
        </w:rPr>
        <w:t xml:space="preserve">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4290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3" w:lineRule="exact"/>
        <w:rPr>
          <w:sz w:val="20"/>
          <w:szCs w:val="20"/>
          <w:color w:val="auto"/>
        </w:rPr>
      </w:pPr>
    </w:p>
    <w:p>
      <w:pPr>
        <w:ind w:left="5840"/>
        <w:spacing w:after="0"/>
        <w:tabs>
          <w:tab w:leader="none" w:pos="658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40"/>
        <w:spacing w:after="0"/>
        <w:tabs>
          <w:tab w:leader="none" w:pos="652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Corbin Capital Partners GP, LLC</w:t>
      </w:r>
    </w:p>
    <w:p>
      <w:pPr>
        <w:spacing w:after="0" w:line="230" w:lineRule="exact"/>
        <w:rPr>
          <w:sz w:val="20"/>
          <w:szCs w:val="20"/>
          <w:color w:val="auto"/>
        </w:rPr>
      </w:pPr>
    </w:p>
    <w:p>
      <w:pPr>
        <w:ind w:left="5480"/>
        <w:spacing w:after="0"/>
        <w:tabs>
          <w:tab w:leader="none" w:pos="5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 xml:space="preserve">/s/ </w:t>
      </w:r>
      <w:r>
        <w:rPr>
          <w:rFonts w:ascii="Arial" w:cs="Arial" w:eastAsia="Arial" w:hAnsi="Arial"/>
          <w:sz w:val="17"/>
          <w:szCs w:val="17"/>
          <w:color w:val="auto"/>
        </w:rPr>
        <w:t>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21590</wp:posOffset>
            </wp:positionV>
            <wp:extent cx="34118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5"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60"/>
        <w:spacing w:after="0"/>
        <w:tabs>
          <w:tab w:leader="none" w:pos="654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Corbin Capital Partners, L.P.</w:t>
      </w:r>
    </w:p>
    <w:p>
      <w:pPr>
        <w:spacing w:after="0" w:line="23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w:t>
      </w:r>
      <w:r>
        <w:rPr>
          <w:rFonts w:ascii="Arial" w:cs="Arial" w:eastAsia="Arial" w:hAnsi="Arial"/>
          <w:sz w:val="20"/>
          <w:szCs w:val="20"/>
          <w:color w:val="auto"/>
        </w:rPr>
        <w:t xml:space="preserve">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13"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60"/>
        <w:spacing w:after="0"/>
        <w:tabs>
          <w:tab w:leader="none" w:pos="6540" w:val="left"/>
        </w:tabs>
        <w:rPr>
          <w:sz w:val="20"/>
          <w:szCs w:val="20"/>
          <w:color w:val="auto"/>
        </w:rPr>
      </w:pPr>
      <w:r>
        <w:rPr>
          <w:rFonts w:ascii="Arial" w:cs="Arial" w:eastAsia="Arial" w:hAnsi="Arial"/>
          <w:sz w:val="20"/>
          <w:szCs w:val="20"/>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111" w:right="1099" w:bottom="1440" w:gutter="0" w:footer="0" w:header="0"/>
        </w:sectPr>
      </w:pPr>
    </w:p>
    <w:bookmarkStart w:id="7" w:name="page8"/>
    <w:bookmarkEnd w:id="7"/>
    <w:p>
      <w:pPr>
        <w:jc w:val="center"/>
        <w:ind w:right="-159"/>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ind w:firstLine="486"/>
        <w:spacing w:after="0" w:line="252" w:lineRule="auto"/>
        <w:rPr>
          <w:sz w:val="20"/>
          <w:szCs w:val="20"/>
          <w:color w:val="auto"/>
        </w:rPr>
      </w:pPr>
      <w:r>
        <w:rPr>
          <w:rFonts w:ascii="Arial" w:cs="Arial" w:eastAsia="Arial" w:hAnsi="Arial"/>
          <w:sz w:val="21"/>
          <w:szCs w:val="21"/>
          <w:color w:val="auto"/>
        </w:rPr>
        <w:t>The undersigned hereby agree that this Amendment No. 1 to the statement on Schedule 13G with respect to the Class A Common Stock, par value $0.0001 of Bakkt Holdings, Inc.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14, 2021</w:t>
      </w:r>
    </w:p>
    <w:p>
      <w:pPr>
        <w:spacing w:after="0" w:line="232"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Corbin Capital Partners Group, LLC</w:t>
      </w:r>
    </w:p>
    <w:p>
      <w:pPr>
        <w:spacing w:after="0" w:line="23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w:t>
      </w:r>
      <w:r>
        <w:rPr>
          <w:rFonts w:ascii="Arial" w:cs="Arial" w:eastAsia="Arial" w:hAnsi="Arial"/>
          <w:sz w:val="20"/>
          <w:szCs w:val="20"/>
          <w:color w:val="auto"/>
        </w:rPr>
        <w:t xml:space="preserve">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4290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3" w:lineRule="exact"/>
        <w:rPr>
          <w:sz w:val="20"/>
          <w:szCs w:val="20"/>
          <w:color w:val="auto"/>
        </w:rPr>
      </w:pPr>
    </w:p>
    <w:p>
      <w:pPr>
        <w:ind w:left="5840"/>
        <w:spacing w:after="0"/>
        <w:tabs>
          <w:tab w:leader="none" w:pos="658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40"/>
        <w:spacing w:after="0"/>
        <w:tabs>
          <w:tab w:leader="none" w:pos="652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Corbin Capital Partners GP, LLC</w:t>
      </w:r>
    </w:p>
    <w:p>
      <w:pPr>
        <w:spacing w:after="0" w:line="230" w:lineRule="exact"/>
        <w:rPr>
          <w:sz w:val="20"/>
          <w:szCs w:val="20"/>
          <w:color w:val="auto"/>
        </w:rPr>
      </w:pPr>
    </w:p>
    <w:p>
      <w:pPr>
        <w:ind w:left="5480"/>
        <w:spacing w:after="0"/>
        <w:tabs>
          <w:tab w:leader="none" w:pos="5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 xml:space="preserve">/s/ </w:t>
      </w:r>
      <w:r>
        <w:rPr>
          <w:rFonts w:ascii="Arial" w:cs="Arial" w:eastAsia="Arial" w:hAnsi="Arial"/>
          <w:sz w:val="17"/>
          <w:szCs w:val="17"/>
          <w:color w:val="auto"/>
        </w:rPr>
        <w:t>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21590</wp:posOffset>
            </wp:positionV>
            <wp:extent cx="34118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5"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60"/>
        <w:spacing w:after="0"/>
        <w:tabs>
          <w:tab w:leader="none" w:pos="654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Corbin Capital Partners, L.P.</w:t>
      </w:r>
    </w:p>
    <w:p>
      <w:pPr>
        <w:spacing w:after="0" w:line="23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w:t>
      </w:r>
      <w:r>
        <w:rPr>
          <w:rFonts w:ascii="Arial" w:cs="Arial" w:eastAsia="Arial" w:hAnsi="Arial"/>
          <w:sz w:val="20"/>
          <w:szCs w:val="20"/>
          <w:color w:val="auto"/>
        </w:rPr>
        <w:t xml:space="preserve">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13"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60"/>
        <w:spacing w:after="0"/>
        <w:tabs>
          <w:tab w:leader="none" w:pos="6540" w:val="left"/>
        </w:tabs>
        <w:rPr>
          <w:sz w:val="20"/>
          <w:szCs w:val="20"/>
          <w:color w:val="auto"/>
        </w:rPr>
      </w:pPr>
      <w:r>
        <w:rPr>
          <w:rFonts w:ascii="Arial" w:cs="Arial" w:eastAsia="Arial" w:hAnsi="Arial"/>
          <w:sz w:val="20"/>
          <w:szCs w:val="20"/>
          <w:color w:val="auto"/>
        </w:rPr>
        <w:t>Title:</w:t>
        <w:tab/>
        <w:t>General Counsel</w:t>
      </w:r>
    </w:p>
    <w:sectPr>
      <w:pgSz w:w="11900" w:h="16838" w:orient="portrait"/>
      <w:cols w:equalWidth="0" w:num="1">
        <w:col w:w="11100"/>
      </w:cols>
      <w:pgMar w:left="32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2021-12-14T16:05:05Z</dcterms:created>
  <dcterms:modified xsi:type="dcterms:W3CDTF">2021-12-14T16:05:05Z</dcterms:modified>
</cp:coreProperties>
</file>