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9041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9041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ALFRED MICHAEL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080" w:type="dxa"/>
            <w:vAlign w:val="bottom"/>
            <w:tcBorders>
              <w:top w:val="single" w:sz="8" w:color="0000EE"/>
              <w:bottom w:val="single" w:sz="8" w:color="9A9A9A"/>
            </w:tcBorders>
          </w:tcPr>
          <w:p>
            <w:pPr>
              <w:spacing w:after="0"/>
              <w:rPr>
                <w:sz w:val="17"/>
                <w:szCs w:val="17"/>
                <w:color w:val="auto"/>
              </w:rPr>
            </w:pPr>
          </w:p>
        </w:tc>
        <w:tc>
          <w:tcPr>
            <w:tcW w:w="9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09/17/2025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Bakkt Holdings,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BKKT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4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820" w:type="dxa"/>
            <w:vAlign w:val="bottom"/>
          </w:tcPr>
          <w:p>
            <w:pPr>
              <w:ind w:left="40"/>
              <w:spacing w:after="0"/>
              <w:rPr>
                <w:sz w:val="20"/>
                <w:szCs w:val="20"/>
                <w:color w:val="auto"/>
              </w:rPr>
            </w:pPr>
            <w:r>
              <w:rPr>
                <w:rFonts w:ascii="Arial" w:cs="Arial" w:eastAsia="Arial" w:hAnsi="Arial"/>
                <w:sz w:val="15"/>
                <w:szCs w:val="15"/>
                <w:color w:val="auto"/>
              </w:rPr>
              <w:t>(Last)</w:t>
            </w:r>
          </w:p>
        </w:tc>
        <w:tc>
          <w:tcPr>
            <w:tcW w:w="940" w:type="dxa"/>
            <w:vAlign w:val="bottom"/>
          </w:tcPr>
          <w:p>
            <w:pPr>
              <w:ind w:left="240"/>
              <w:spacing w:after="0"/>
              <w:rPr>
                <w:sz w:val="20"/>
                <w:szCs w:val="20"/>
                <w:color w:val="auto"/>
              </w:rPr>
            </w:pPr>
            <w:r>
              <w:rPr>
                <w:rFonts w:ascii="Arial" w:cs="Arial" w:eastAsia="Arial" w:hAnsi="Arial"/>
                <w:sz w:val="15"/>
                <w:szCs w:val="15"/>
                <w:color w:val="auto"/>
              </w:rPr>
              <w:t>(First)</w:t>
            </w:r>
          </w:p>
        </w:tc>
        <w:tc>
          <w:tcPr>
            <w:tcW w:w="1340" w:type="dxa"/>
            <w:vAlign w:val="bottom"/>
          </w:tcPr>
          <w:p>
            <w:pPr>
              <w:ind w:left="34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C/O BAKKT HOLDINGS, INC.</w:t>
            </w:r>
          </w:p>
        </w:tc>
        <w:tc>
          <w:tcPr>
            <w:tcW w:w="0" w:type="dxa"/>
            <w:vAlign w:val="bottom"/>
          </w:tcPr>
          <w:p>
            <w:pPr>
              <w:spacing w:after="0"/>
              <w:rPr>
                <w:sz w:val="1"/>
                <w:szCs w:val="1"/>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1 LIBERTY ST FL 3 STE 305-306</w:t>
            </w:r>
          </w:p>
        </w:tc>
        <w:tc>
          <w:tcPr>
            <w:tcW w:w="0" w:type="dxa"/>
            <w:vAlign w:val="bottom"/>
          </w:tcPr>
          <w:p>
            <w:pPr>
              <w:spacing w:after="0"/>
              <w:rPr>
                <w:sz w:val="1"/>
                <w:szCs w:val="1"/>
                <w:color w:val="auto"/>
              </w:rPr>
            </w:pPr>
          </w:p>
        </w:tc>
      </w:tr>
      <w:tr>
        <w:trPr>
          <w:trHeight w:val="177"/>
        </w:trPr>
        <w:tc>
          <w:tcPr>
            <w:tcW w:w="8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03"/>
        </w:trPr>
        <w:tc>
          <w:tcPr>
            <w:tcW w:w="820" w:type="dxa"/>
            <w:vAlign w:val="bottom"/>
          </w:tcPr>
          <w:p>
            <w:pPr>
              <w:spacing w:after="0"/>
              <w:rPr>
                <w:sz w:val="20"/>
                <w:szCs w:val="20"/>
                <w:color w:val="auto"/>
              </w:rPr>
            </w:pPr>
            <w:r>
              <w:rPr>
                <w:rFonts w:ascii="Arial" w:cs="Arial" w:eastAsia="Arial" w:hAnsi="Arial"/>
                <w:sz w:val="15"/>
                <w:szCs w:val="15"/>
                <w:color w:val="auto"/>
              </w:rPr>
              <w:t>(Street)</w:t>
            </w:r>
          </w:p>
        </w:tc>
        <w:tc>
          <w:tcPr>
            <w:tcW w:w="9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1"/>
        </w:trPr>
        <w:tc>
          <w:tcPr>
            <w:tcW w:w="82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NEW</w:t>
            </w:r>
          </w:p>
        </w:tc>
        <w:tc>
          <w:tcPr>
            <w:tcW w:w="940" w:type="dxa"/>
            <w:vAlign w:val="bottom"/>
            <w:vMerge w:val="restart"/>
          </w:tcPr>
          <w:p>
            <w:pPr>
              <w:ind w:left="240"/>
              <w:spacing w:after="0"/>
              <w:rPr>
                <w:sz w:val="20"/>
                <w:szCs w:val="20"/>
                <w:color w:val="auto"/>
              </w:rPr>
            </w:pPr>
            <w:r>
              <w:rPr>
                <w:rFonts w:ascii="Times New Roman" w:cs="Times New Roman" w:eastAsia="Times New Roman" w:hAnsi="Times New Roman"/>
                <w:sz w:val="20"/>
                <w:szCs w:val="20"/>
                <w:color w:val="0000FF"/>
              </w:rPr>
              <w:t>NY</w:t>
            </w:r>
          </w:p>
        </w:tc>
        <w:tc>
          <w:tcPr>
            <w:tcW w:w="1340" w:type="dxa"/>
            <w:vAlign w:val="bottom"/>
            <w:vMerge w:val="restart"/>
          </w:tcPr>
          <w:p>
            <w:pPr>
              <w:ind w:left="340"/>
              <w:spacing w:after="0"/>
              <w:rPr>
                <w:sz w:val="20"/>
                <w:szCs w:val="20"/>
                <w:color w:val="auto"/>
              </w:rPr>
            </w:pPr>
            <w:r>
              <w:rPr>
                <w:rFonts w:ascii="Times New Roman" w:cs="Times New Roman" w:eastAsia="Times New Roman" w:hAnsi="Times New Roman"/>
                <w:sz w:val="20"/>
                <w:szCs w:val="20"/>
                <w:color w:val="0000FF"/>
              </w:rPr>
              <w:t>10006</w:t>
            </w:r>
          </w:p>
        </w:tc>
        <w:tc>
          <w:tcPr>
            <w:tcW w:w="0" w:type="dxa"/>
            <w:vAlign w:val="bottom"/>
          </w:tcPr>
          <w:p>
            <w:pPr>
              <w:spacing w:after="0"/>
              <w:rPr>
                <w:sz w:val="1"/>
                <w:szCs w:val="1"/>
                <w:color w:val="auto"/>
              </w:rPr>
            </w:pPr>
          </w:p>
        </w:tc>
      </w:tr>
      <w:tr>
        <w:trPr>
          <w:trHeight w:val="134"/>
        </w:trPr>
        <w:tc>
          <w:tcPr>
            <w:tcW w:w="820" w:type="dxa"/>
            <w:vAlign w:val="bottom"/>
            <w:vMerge w:val="restart"/>
          </w:tcPr>
          <w:p>
            <w:pPr>
              <w:ind w:left="40"/>
              <w:spacing w:after="0"/>
              <w:rPr>
                <w:sz w:val="20"/>
                <w:szCs w:val="20"/>
                <w:color w:val="auto"/>
              </w:rPr>
            </w:pPr>
            <w:r>
              <w:rPr>
                <w:rFonts w:ascii="Times New Roman" w:cs="Times New Roman" w:eastAsia="Times New Roman" w:hAnsi="Times New Roman"/>
                <w:sz w:val="20"/>
                <w:szCs w:val="20"/>
                <w:color w:val="0000FF"/>
              </w:rPr>
              <w:t>YORK</w:t>
            </w:r>
          </w:p>
        </w:tc>
        <w:tc>
          <w:tcPr>
            <w:tcW w:w="940" w:type="dxa"/>
            <w:vAlign w:val="bottom"/>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20" w:type="dxa"/>
            <w:vAlign w:val="bottom"/>
            <w:vMerge w:val="continue"/>
          </w:tcPr>
          <w:p>
            <w:pPr>
              <w:spacing w:after="0"/>
              <w:rPr>
                <w:sz w:val="10"/>
                <w:szCs w:val="10"/>
                <w:color w:val="auto"/>
              </w:rPr>
            </w:pPr>
          </w:p>
        </w:tc>
        <w:tc>
          <w:tcPr>
            <w:tcW w:w="9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31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23"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26"/>
        </w:trPr>
        <w:tc>
          <w:tcPr>
            <w:tcW w:w="20" w:type="dxa"/>
            <w:vAlign w:val="bottom"/>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jc w:val="center"/>
              <w:ind w:right="237"/>
              <w:spacing w:after="0"/>
              <w:rPr>
                <w:sz w:val="20"/>
                <w:szCs w:val="20"/>
                <w:color w:val="auto"/>
              </w:rPr>
            </w:pPr>
            <w:r>
              <w:rPr>
                <w:rFonts w:ascii="Times New Roman" w:cs="Times New Roman" w:eastAsia="Times New Roman" w:hAnsi="Times New Roman"/>
                <w:sz w:val="20"/>
                <w:szCs w:val="20"/>
                <w:color w:val="0000FF"/>
              </w:rPr>
              <w:t>15,469</w:t>
            </w:r>
            <w:r>
              <w:rPr>
                <w:rFonts w:ascii="Times New Roman" w:cs="Times New Roman" w:eastAsia="Times New Roman" w:hAnsi="Times New Roman"/>
                <w:sz w:val="25"/>
                <w:szCs w:val="25"/>
                <w:color w:val="008000"/>
                <w:vertAlign w:val="superscript"/>
              </w:rPr>
              <w:t>(1)</w:t>
            </w:r>
          </w:p>
        </w:tc>
        <w:tc>
          <w:tcPr>
            <w:tcW w:w="1040" w:type="dxa"/>
            <w:vAlign w:val="bottom"/>
            <w:tcBorders>
              <w:bottom w:val="single" w:sz="8" w:color="2C2C2C"/>
            </w:tcBorders>
            <w:gridSpan w:val="2"/>
          </w:tcPr>
          <w:p>
            <w:pPr>
              <w:ind w:left="880"/>
              <w:spacing w:after="0"/>
              <w:rPr>
                <w:sz w:val="20"/>
                <w:szCs w:val="20"/>
                <w:color w:val="auto"/>
              </w:rPr>
            </w:pPr>
            <w:r>
              <w:rPr>
                <w:rFonts w:ascii="Times New Roman" w:cs="Times New Roman" w:eastAsia="Times New Roman" w:hAnsi="Times New Roman"/>
                <w:sz w:val="20"/>
                <w:szCs w:val="20"/>
                <w:color w:val="0000FF"/>
                <w:w w:val="96"/>
              </w:rPr>
              <w:t>D</w:t>
            </w:r>
          </w:p>
        </w:tc>
        <w:tc>
          <w:tcPr>
            <w:tcW w:w="92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Class A Common Stock</w:t>
            </w:r>
          </w:p>
        </w:tc>
        <w:tc>
          <w:tcPr>
            <w:tcW w:w="3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tcPr>
          <w:p>
            <w:pPr>
              <w:jc w:val="right"/>
              <w:ind w:right="337"/>
              <w:spacing w:after="0"/>
              <w:rPr>
                <w:sz w:val="20"/>
                <w:szCs w:val="20"/>
                <w:color w:val="auto"/>
              </w:rPr>
            </w:pPr>
            <w:r>
              <w:rPr>
                <w:rFonts w:ascii="Times New Roman" w:cs="Times New Roman" w:eastAsia="Times New Roman" w:hAnsi="Times New Roman"/>
                <w:sz w:val="20"/>
                <w:szCs w:val="20"/>
                <w:color w:val="0000FF"/>
              </w:rPr>
              <w:t>40,000</w:t>
            </w:r>
          </w:p>
        </w:tc>
        <w:tc>
          <w:tcPr>
            <w:tcW w:w="1040" w:type="dxa"/>
            <w:vAlign w:val="bottom"/>
            <w:tcBorders>
              <w:bottom w:val="single" w:sz="8" w:color="2C2C2C"/>
            </w:tcBorders>
            <w:gridSpan w:val="2"/>
          </w:tcPr>
          <w:p>
            <w:pPr>
              <w:ind w:left="920"/>
              <w:spacing w:after="0"/>
              <w:rPr>
                <w:sz w:val="20"/>
                <w:szCs w:val="20"/>
                <w:color w:val="auto"/>
              </w:rPr>
            </w:pPr>
            <w:r>
              <w:rPr>
                <w:rFonts w:ascii="Times New Roman" w:cs="Times New Roman" w:eastAsia="Times New Roman" w:hAnsi="Times New Roman"/>
                <w:sz w:val="20"/>
                <w:szCs w:val="20"/>
                <w:color w:val="0000FF"/>
              </w:rPr>
              <w:t>I</w:t>
            </w:r>
          </w:p>
        </w:tc>
        <w:tc>
          <w:tcPr>
            <w:tcW w:w="3360" w:type="dxa"/>
            <w:vAlign w:val="bottom"/>
            <w:tcBorders>
              <w:bottom w:val="single" w:sz="8" w:color="2C2C2C"/>
            </w:tcBorders>
            <w:gridSpan w:val="4"/>
          </w:tcPr>
          <w:p>
            <w:pPr>
              <w:ind w:left="580"/>
              <w:spacing w:after="0"/>
              <w:rPr>
                <w:sz w:val="20"/>
                <w:szCs w:val="20"/>
                <w:color w:val="auto"/>
              </w:rPr>
            </w:pPr>
            <w:r>
              <w:rPr>
                <w:rFonts w:ascii="Times New Roman" w:cs="Times New Roman" w:eastAsia="Times New Roman" w:hAnsi="Times New Roman"/>
                <w:sz w:val="20"/>
                <w:szCs w:val="20"/>
                <w:color w:val="0000FF"/>
              </w:rPr>
              <w:t>By Alpine Fox LP</w:t>
            </w:r>
            <w:r>
              <w:rPr>
                <w:rFonts w:ascii="Times New Roman" w:cs="Times New Roman" w:eastAsia="Times New Roman" w:hAnsi="Times New Roman"/>
                <w:sz w:val="25"/>
                <w:szCs w:val="25"/>
                <w:color w:val="008000"/>
                <w:vertAlign w:val="superscript"/>
              </w:rPr>
              <w:t>(2)</w:t>
            </w: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360" w:type="dxa"/>
            <w:vAlign w:val="bottom"/>
            <w:tcBorders>
              <w:top w:val="single" w:sz="8" w:color="2C2C2C"/>
            </w:tcBorders>
            <w:gridSpan w:val="6"/>
          </w:tcPr>
          <w:p>
            <w:pPr>
              <w:ind w:left="4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2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6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6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2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6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2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6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2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6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040" w:type="dxa"/>
            <w:vAlign w:val="bottom"/>
            <w:gridSpan w:val="2"/>
            <w:vMerge w:val="restart"/>
          </w:tcPr>
          <w:p>
            <w:pPr>
              <w:ind w:left="340"/>
              <w:spacing w:after="0"/>
              <w:rPr>
                <w:sz w:val="20"/>
                <w:szCs w:val="20"/>
                <w:color w:val="auto"/>
              </w:rPr>
            </w:pPr>
            <w:r>
              <w:rPr>
                <w:rFonts w:ascii="Arial" w:cs="Arial" w:eastAsia="Arial" w:hAnsi="Arial"/>
                <w:sz w:val="15"/>
                <w:szCs w:val="15"/>
                <w:b w:val="1"/>
                <w:bCs w:val="1"/>
                <w:color w:val="auto"/>
              </w:rPr>
              <w:t>Amount</w:t>
            </w:r>
          </w:p>
        </w:tc>
        <w:tc>
          <w:tcPr>
            <w:tcW w:w="92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8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92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or</w:t>
            </w:r>
          </w:p>
        </w:tc>
        <w:tc>
          <w:tcPr>
            <w:tcW w:w="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Number</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20" w:type="dxa"/>
            <w:vAlign w:val="bottom"/>
          </w:tcPr>
          <w:p>
            <w:pPr>
              <w:spacing w:after="0"/>
              <w:rPr>
                <w:sz w:val="14"/>
                <w:szCs w:val="14"/>
                <w:color w:val="auto"/>
              </w:rPr>
            </w:pPr>
          </w:p>
        </w:tc>
        <w:tc>
          <w:tcPr>
            <w:tcW w:w="1040" w:type="dxa"/>
            <w:vAlign w:val="bottom"/>
            <w:gridSpan w:val="2"/>
          </w:tcPr>
          <w:p>
            <w:pPr>
              <w:ind w:left="340"/>
              <w:spacing w:after="0" w:line="165" w:lineRule="exact"/>
              <w:rPr>
                <w:sz w:val="20"/>
                <w:szCs w:val="20"/>
                <w:color w:val="auto"/>
              </w:rPr>
            </w:pPr>
            <w:r>
              <w:rPr>
                <w:rFonts w:ascii="Arial" w:cs="Arial" w:eastAsia="Arial" w:hAnsi="Arial"/>
                <w:sz w:val="15"/>
                <w:szCs w:val="15"/>
                <w:b w:val="1"/>
                <w:bCs w:val="1"/>
                <w:color w:val="auto"/>
              </w:rPr>
              <w:t>of</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2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040" w:type="dxa"/>
            <w:vAlign w:val="bottom"/>
            <w:gridSpan w:val="2"/>
          </w:tcPr>
          <w:p>
            <w:pPr>
              <w:ind w:left="340"/>
              <w:spacing w:after="0"/>
              <w:rPr>
                <w:sz w:val="20"/>
                <w:szCs w:val="20"/>
                <w:color w:val="auto"/>
              </w:rPr>
            </w:pPr>
            <w:r>
              <w:rPr>
                <w:rFonts w:ascii="Arial" w:cs="Arial" w:eastAsia="Arial" w:hAnsi="Arial"/>
                <w:sz w:val="15"/>
                <w:szCs w:val="15"/>
                <w:b w:val="1"/>
                <w:bCs w:val="1"/>
                <w:color w:val="auto"/>
              </w:rPr>
              <w:t>Shares</w:t>
            </w:r>
          </w:p>
        </w:tc>
        <w:tc>
          <w:tcPr>
            <w:tcW w:w="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3" w:lineRule="exact"/>
        <w:rPr>
          <w:sz w:val="24"/>
          <w:szCs w:val="24"/>
          <w:color w:val="auto"/>
        </w:rPr>
      </w:pPr>
    </w:p>
    <w:p>
      <w:pPr>
        <w:ind w:left="40" w:right="14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These securities are restricted stock units ("RSUs"). Each RSU represents a contingent right to receive one share of the issuer's Class A Common Stock. 100% of the RSUs shall vest on June 17, 2026, provided that the reporting person continues to provide service to the issuer through such date.</w:t>
      </w:r>
    </w:p>
    <w:p>
      <w:pPr>
        <w:spacing w:after="0" w:line="17" w:lineRule="exact"/>
        <w:rPr>
          <w:rFonts w:ascii="Times New Roman" w:cs="Times New Roman" w:eastAsia="Times New Roman" w:hAnsi="Times New Roman"/>
          <w:sz w:val="15"/>
          <w:szCs w:val="15"/>
          <w:color w:val="008000"/>
        </w:rPr>
      </w:pPr>
    </w:p>
    <w:p>
      <w:pPr>
        <w:ind w:left="40" w:right="360" w:firstLine="5"/>
        <w:spacing w:after="0" w:line="259" w:lineRule="auto"/>
        <w:tabs>
          <w:tab w:leader="none" w:pos="190" w:val="left"/>
        </w:tabs>
        <w:numPr>
          <w:ilvl w:val="0"/>
          <w:numId w:val="3"/>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Represents shares of the issuer's Class A Common Stock held through Alpine Fox LP, over which the reporting person has control. The reporting person disclaims beneficial ownership of the shares except to the extent of his pecuniary interest therein.</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3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Paul Simmons</w:t>
            </w:r>
          </w:p>
        </w:tc>
        <w:tc>
          <w:tcPr>
            <w:tcW w:w="820" w:type="dxa"/>
            <w:vAlign w:val="bottom"/>
            <w:gridSpan w:val="2"/>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2180" w:type="dxa"/>
            <w:vAlign w:val="bottom"/>
            <w:gridSpan w:val="4"/>
          </w:tcPr>
          <w:p>
            <w:pPr>
              <w:spacing w:after="0" w:line="220" w:lineRule="exact"/>
              <w:rPr>
                <w:sz w:val="20"/>
                <w:szCs w:val="20"/>
                <w:color w:val="auto"/>
              </w:rPr>
            </w:pPr>
            <w:r>
              <w:rPr>
                <w:rFonts w:ascii="Times New Roman" w:cs="Times New Roman" w:eastAsia="Times New Roman" w:hAnsi="Times New Roman"/>
                <w:sz w:val="20"/>
                <w:szCs w:val="20"/>
                <w:color w:val="0000FF"/>
              </w:rPr>
              <w:t>Attorney-in-Fact for</w:t>
            </w:r>
          </w:p>
        </w:tc>
        <w:tc>
          <w:tcPr>
            <w:tcW w:w="900" w:type="dxa"/>
            <w:vAlign w:val="bottom"/>
          </w:tcPr>
          <w:p>
            <w:pPr>
              <w:spacing w:after="0" w:line="220" w:lineRule="exact"/>
              <w:rPr>
                <w:sz w:val="20"/>
                <w:szCs w:val="20"/>
                <w:color w:val="auto"/>
              </w:rPr>
            </w:pPr>
            <w:r>
              <w:rPr>
                <w:rFonts w:ascii="Times New Roman" w:cs="Times New Roman" w:eastAsia="Times New Roman" w:hAnsi="Times New Roman"/>
                <w:sz w:val="20"/>
                <w:szCs w:val="20"/>
                <w:color w:val="0000FF"/>
                <w:w w:val="96"/>
              </w:rPr>
              <w:t>09/26/2025</w:t>
            </w:r>
          </w:p>
        </w:tc>
        <w:tc>
          <w:tcPr>
            <w:tcW w:w="0" w:type="dxa"/>
            <w:vAlign w:val="bottom"/>
          </w:tcPr>
          <w:p>
            <w:pPr>
              <w:spacing w:after="0"/>
              <w:rPr>
                <w:sz w:val="1"/>
                <w:szCs w:val="1"/>
                <w:color w:val="auto"/>
              </w:rPr>
            </w:pPr>
          </w:p>
        </w:tc>
      </w:tr>
      <w:tr>
        <w:trPr>
          <w:trHeight w:val="220"/>
        </w:trPr>
        <w:tc>
          <w:tcPr>
            <w:tcW w:w="6540" w:type="dxa"/>
            <w:vAlign w:val="bottom"/>
          </w:tcPr>
          <w:p>
            <w:pPr>
              <w:spacing w:after="0"/>
              <w:rPr>
                <w:sz w:val="19"/>
                <w:szCs w:val="19"/>
                <w:color w:val="auto"/>
              </w:rPr>
            </w:pPr>
          </w:p>
        </w:tc>
        <w:tc>
          <w:tcPr>
            <w:tcW w:w="1200" w:type="dxa"/>
            <w:vAlign w:val="bottom"/>
            <w:tcBorders>
              <w:top w:val="single" w:sz="8" w:color="auto"/>
              <w:bottom w:val="single" w:sz="8" w:color="auto"/>
            </w:tcBorders>
          </w:tcPr>
          <w:p>
            <w:pPr>
              <w:spacing w:after="0" w:line="220" w:lineRule="exact"/>
              <w:rPr>
                <w:sz w:val="20"/>
                <w:szCs w:val="20"/>
                <w:color w:val="auto"/>
              </w:rPr>
            </w:pPr>
            <w:r>
              <w:rPr>
                <w:rFonts w:ascii="Times New Roman" w:cs="Times New Roman" w:eastAsia="Times New Roman" w:hAnsi="Times New Roman"/>
                <w:sz w:val="20"/>
                <w:szCs w:val="20"/>
                <w:color w:val="0000FF"/>
                <w:w w:val="96"/>
              </w:rPr>
              <w:t>Michael Alfred</w:t>
            </w:r>
          </w:p>
        </w:tc>
        <w:tc>
          <w:tcPr>
            <w:tcW w:w="380" w:type="dxa"/>
            <w:vAlign w:val="bottom"/>
            <w:tcBorders>
              <w:top w:val="single" w:sz="8" w:color="auto"/>
            </w:tcBorders>
            <w:gridSpan w:val="2"/>
          </w:tcPr>
          <w:p>
            <w:pPr>
              <w:spacing w:after="0"/>
              <w:rPr>
                <w:sz w:val="19"/>
                <w:szCs w:val="19"/>
                <w:color w:val="auto"/>
              </w:rPr>
            </w:pPr>
          </w:p>
        </w:tc>
        <w:tc>
          <w:tcPr>
            <w:tcW w:w="600" w:type="dxa"/>
            <w:vAlign w:val="bottom"/>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4"/>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4"/>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5"/>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839"/>
        <w:spacing w:after="0" w:line="262" w:lineRule="auto"/>
        <w:rPr>
          <w:sz w:val="20"/>
          <w:szCs w:val="20"/>
          <w:color w:val="auto"/>
        </w:rPr>
      </w:pPr>
      <w:r>
        <w:rPr>
          <w:rFonts w:ascii="Courier New" w:cs="Courier New" w:eastAsia="Courier New" w:hAnsi="Courier New"/>
          <w:sz w:val="20"/>
          <w:szCs w:val="20"/>
          <w:color w:val="auto"/>
        </w:rPr>
        <w:t>The undersigned, as a Section 16 reporting person of Bakkt Holdings, Inc. (the "Company"), hereby constitutes and appoints Marc D'Annunzio, Karen Alexander, and Paul Simmons, and each of them, as the undersigned's true and lawful attorney-in-fact to:</w:t>
      </w:r>
    </w:p>
    <w:p>
      <w:pPr>
        <w:spacing w:after="0" w:line="100" w:lineRule="exact"/>
        <w:rPr>
          <w:sz w:val="20"/>
          <w:szCs w:val="20"/>
          <w:color w:val="auto"/>
        </w:rPr>
      </w:pPr>
    </w:p>
    <w:p>
      <w:pPr>
        <w:ind w:right="1899"/>
        <w:spacing w:after="0" w:line="289" w:lineRule="auto"/>
        <w:tabs>
          <w:tab w:leader="none" w:pos="937"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82" w:lineRule="exact"/>
        <w:rPr>
          <w:rFonts w:ascii="Courier New" w:cs="Courier New" w:eastAsia="Courier New" w:hAnsi="Courier New"/>
          <w:sz w:val="18"/>
          <w:szCs w:val="18"/>
          <w:color w:val="auto"/>
        </w:rPr>
      </w:pPr>
    </w:p>
    <w:p>
      <w:pPr>
        <w:ind w:left="940" w:hanging="940"/>
        <w:spacing w:after="0"/>
        <w:tabs>
          <w:tab w:leader="none" w:pos="94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w:t>
      </w:r>
    </w:p>
    <w:p>
      <w:pPr>
        <w:spacing w:after="0" w:line="35" w:lineRule="exact"/>
        <w:rPr>
          <w:sz w:val="20"/>
          <w:szCs w:val="20"/>
          <w:color w:val="auto"/>
        </w:rPr>
      </w:pPr>
    </w:p>
    <w:p>
      <w:pPr>
        <w:ind w:right="2479"/>
        <w:spacing w:after="0" w:line="274" w:lineRule="auto"/>
        <w:rPr>
          <w:sz w:val="20"/>
          <w:szCs w:val="20"/>
          <w:color w:val="auto"/>
        </w:rPr>
      </w:pPr>
      <w:r>
        <w:rPr>
          <w:rFonts w:ascii="Courier New" w:cs="Courier New" w:eastAsia="Courier New" w:hAnsi="Courier New"/>
          <w:sz w:val="20"/>
          <w:szCs w:val="20"/>
          <w:color w:val="auto"/>
        </w:rPr>
        <w:t>the SEC, any securities exchange or national association, the Company and such other person or agency as the attorneys-in-fact shall deem appropriate.</w:t>
      </w:r>
    </w:p>
    <w:p>
      <w:pPr>
        <w:spacing w:after="0" w:line="88" w:lineRule="exact"/>
        <w:rPr>
          <w:sz w:val="20"/>
          <w:szCs w:val="20"/>
          <w:color w:val="auto"/>
        </w:rPr>
      </w:pPr>
    </w:p>
    <w:p>
      <w:pPr>
        <w:ind w:right="2139"/>
        <w:spacing w:after="0" w:line="256"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9" w:lineRule="exact"/>
        <w:rPr>
          <w:sz w:val="20"/>
          <w:szCs w:val="20"/>
          <w:color w:val="auto"/>
        </w:rPr>
      </w:pPr>
    </w:p>
    <w:p>
      <w:pPr>
        <w:ind w:right="1659"/>
        <w:spacing w:after="0" w:line="302"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68" w:lineRule="exact"/>
        <w:rPr>
          <w:sz w:val="20"/>
          <w:szCs w:val="20"/>
          <w:color w:val="auto"/>
        </w:rPr>
      </w:pPr>
    </w:p>
    <w:p>
      <w:pPr>
        <w:ind w:right="1199"/>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day: 09/23/2025.</w:t>
      </w:r>
    </w:p>
    <w:p>
      <w:pPr>
        <w:spacing w:after="0" w:line="243" w:lineRule="exact"/>
        <w:rPr>
          <w:sz w:val="20"/>
          <w:szCs w:val="20"/>
          <w:color w:val="auto"/>
        </w:rPr>
      </w:pPr>
    </w:p>
    <w:p>
      <w:pPr>
        <w:spacing w:after="0"/>
        <w:tabs>
          <w:tab w:leader="none" w:pos="1380" w:val="left"/>
        </w:tabs>
        <w:rPr>
          <w:sz w:val="20"/>
          <w:szCs w:val="20"/>
          <w:color w:val="auto"/>
        </w:rPr>
      </w:pPr>
      <w:r>
        <w:rPr>
          <w:rFonts w:ascii="Courier New" w:cs="Courier New" w:eastAsia="Courier New" w:hAnsi="Courier New"/>
          <w:sz w:val="20"/>
          <w:szCs w:val="20"/>
          <w:color w:val="auto"/>
        </w:rPr>
        <w:t>Signature:</w:t>
      </w:r>
      <w:r>
        <w:rPr>
          <w:sz w:val="20"/>
          <w:szCs w:val="20"/>
          <w:color w:val="auto"/>
        </w:rPr>
        <w:tab/>
      </w:r>
      <w:r>
        <w:rPr>
          <w:rFonts w:ascii="Courier New" w:cs="Courier New" w:eastAsia="Courier New" w:hAnsi="Courier New"/>
          <w:sz w:val="18"/>
          <w:szCs w:val="18"/>
          <w:color w:val="auto"/>
        </w:rPr>
        <w:t>/s/ Michael Alfred</w:t>
      </w:r>
    </w:p>
    <w:p>
      <w:pPr>
        <w:spacing w:after="0" w:line="224" w:lineRule="exact"/>
        <w:rPr>
          <w:sz w:val="20"/>
          <w:szCs w:val="20"/>
          <w:color w:val="auto"/>
        </w:rPr>
      </w:pPr>
    </w:p>
    <w:p>
      <w:pPr>
        <w:spacing w:after="0"/>
        <w:tabs>
          <w:tab w:leader="none" w:pos="15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Michael Alfred</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1."/>
      <w:numFmt w:val="decimal"/>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816739" TargetMode="External"/><Relationship Id="rId11" Type="http://schemas.openxmlformats.org/officeDocument/2006/relationships/hyperlink" Target="http://www.sec.gov/cgi-bin/browse-edgar?action=getcompany&amp;CIK=00018203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2025-09-26T18:00:09Z</dcterms:created>
  <dcterms:modified xsi:type="dcterms:W3CDTF">2025-09-26T18:00:09Z</dcterms:modified>
</cp:coreProperties>
</file>