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9" w:lineRule="exact"/>
        <w:rPr>
          <w:sz w:val="24"/>
          <w:szCs w:val="24"/>
          <w:color w:val="auto"/>
        </w:rPr>
      </w:pPr>
    </w:p>
    <w:p>
      <w:pPr>
        <w:ind w:left="36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-234315</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5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-613410</wp:posOffset>
            </wp:positionV>
            <wp:extent cx="57785" cy="626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67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-613410</wp:posOffset>
            </wp:positionV>
            <wp:extent cx="57785" cy="626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674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20955</wp:posOffset>
            </wp:positionV>
            <wp:extent cx="6996430" cy="5159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6430" cy="5159375"/>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20" w:space="400"/>
            <w:col w:w="8460"/>
          </w:cols>
          <w:pgMar w:left="460" w:top="215" w:right="359" w:bottom="144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D'Annunzio Marc</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BAKKT HOLDINGS, INC.</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10000 AVALON BOULEVARD, SUITE 1000</w:t>
      </w:r>
    </w:p>
    <w:p>
      <w:pPr>
        <w:spacing w:after="0" w:line="284"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7"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6"/>
          <w:szCs w:val="16"/>
          <w:color w:val="0000FF"/>
        </w:rPr>
        <w:t>ALPHARETTA</w:t>
        <w:tab/>
        <w:t>GA</w:t>
      </w:r>
      <w:r>
        <w:rPr>
          <w:sz w:val="20"/>
          <w:szCs w:val="20"/>
          <w:color w:val="auto"/>
        </w:rPr>
        <w:tab/>
      </w:r>
      <w:r>
        <w:rPr>
          <w:rFonts w:ascii="Times New Roman" w:cs="Times New Roman" w:eastAsia="Times New Roman" w:hAnsi="Times New Roman"/>
          <w:sz w:val="16"/>
          <w:szCs w:val="16"/>
          <w:color w:val="0000FF"/>
        </w:rPr>
        <w:t>30009</w:t>
      </w:r>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3760" w:type="dxa"/>
            <w:vAlign w:val="bottom"/>
            <w:gridSpan w:val="3"/>
          </w:tcPr>
          <w:p>
            <w:pPr>
              <w:spacing w:after="0" w:line="139"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Bakkt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BKKT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60" w:type="dxa"/>
            <w:vAlign w:val="bottom"/>
            <w:tcBorders>
              <w:bottom w:val="single" w:sz="8" w:color="0000EE"/>
            </w:tcBorders>
          </w:tcPr>
          <w:p>
            <w:pPr>
              <w:spacing w:after="0"/>
              <w:rPr>
                <w:sz w:val="3"/>
                <w:szCs w:val="3"/>
                <w:color w:val="auto"/>
              </w:rPr>
            </w:pPr>
          </w:p>
        </w:tc>
        <w:tc>
          <w:tcPr>
            <w:tcW w:w="2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208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Pr>
          <w:p>
            <w:pPr>
              <w:ind w:left="100"/>
              <w:spacing w:after="0" w:line="11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1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4"/>
        </w:trPr>
        <w:tc>
          <w:tcPr>
            <w:tcW w:w="17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02/07/2024</w:t>
            </w: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color w:val="0000FF"/>
              </w:rPr>
              <w:t>General Counsel &amp; Secretary</w:t>
            </w:r>
          </w:p>
        </w:tc>
        <w:tc>
          <w:tcPr>
            <w:tcW w:w="0" w:type="dxa"/>
            <w:vAlign w:val="bottom"/>
          </w:tcPr>
          <w:p>
            <w:pPr>
              <w:spacing w:after="0"/>
              <w:rPr>
                <w:sz w:val="1"/>
                <w:szCs w:val="1"/>
                <w:color w:val="auto"/>
              </w:rPr>
            </w:pPr>
          </w:p>
        </w:tc>
      </w:tr>
      <w:tr>
        <w:trPr>
          <w:trHeight w:val="70"/>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6" w:lineRule="auto"/>
        <w:tabs>
          <w:tab w:leader="none" w:pos="440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28"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4" w:lineRule="exact"/>
        <w:rPr>
          <w:sz w:val="24"/>
          <w:szCs w:val="24"/>
          <w:color w:val="auto"/>
        </w:rPr>
      </w:pPr>
    </w:p>
    <w:p>
      <w:pPr>
        <w:ind w:left="360" w:right="400" w:hanging="245"/>
        <w:spacing w:after="0" w:line="191" w:lineRule="auto"/>
        <w:tabs>
          <w:tab w:leader="none" w:pos="360" w:val="left"/>
        </w:tabs>
        <w:numPr>
          <w:ilvl w:val="0"/>
          <w:numId w:val="1"/>
        </w:numPr>
        <w:rPr>
          <w:rFonts w:ascii="Times New Roman" w:cs="Times New Roman" w:eastAsia="Times New Roman" w:hAnsi="Times New Roman"/>
          <w:sz w:val="21"/>
          <w:szCs w:val="21"/>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160" w:space="680"/>
            <w:col w:w="724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680"/>
              <w:spacing w:after="0"/>
              <w:rPr>
                <w:sz w:val="20"/>
                <w:szCs w:val="20"/>
                <w:color w:val="auto"/>
              </w:rPr>
            </w:pPr>
            <w:r>
              <w:rPr>
                <w:rFonts w:ascii="Arial" w:cs="Arial" w:eastAsia="Arial" w:hAnsi="Arial"/>
                <w:sz w:val="11"/>
                <w:szCs w:val="11"/>
                <w:b w:val="1"/>
                <w:bCs w:val="1"/>
                <w:color w:val="auto"/>
              </w:rPr>
              <w:t>2. Transaction</w:t>
            </w:r>
          </w:p>
        </w:tc>
        <w:tc>
          <w:tcPr>
            <w:tcW w:w="80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20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300" w:type="dxa"/>
            <w:vAlign w:val="bottom"/>
          </w:tcPr>
          <w:p>
            <w:pPr>
              <w:spacing w:after="0"/>
              <w:rPr>
                <w:sz w:val="13"/>
                <w:szCs w:val="13"/>
                <w:color w:val="auto"/>
              </w:rPr>
            </w:pPr>
          </w:p>
        </w:tc>
        <w:tc>
          <w:tcPr>
            <w:tcW w:w="2020" w:type="dxa"/>
            <w:vAlign w:val="bottom"/>
            <w:gridSpan w:val="6"/>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68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spacing w:after="0"/>
              <w:rPr>
                <w:sz w:val="10"/>
                <w:szCs w:val="10"/>
                <w:color w:val="auto"/>
              </w:rPr>
            </w:pPr>
          </w:p>
        </w:tc>
        <w:tc>
          <w:tcPr>
            <w:tcW w:w="100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2020" w:type="dxa"/>
            <w:vAlign w:val="bottom"/>
            <w:gridSpan w:val="6"/>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740" w:type="dxa"/>
            <w:vAlign w:val="bottom"/>
            <w:gridSpan w:val="2"/>
          </w:tcPr>
          <w:p>
            <w:pPr>
              <w:ind w:left="68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200" w:type="dxa"/>
            <w:vAlign w:val="bottom"/>
          </w:tcPr>
          <w:p>
            <w:pPr>
              <w:spacing w:after="0"/>
              <w:rPr>
                <w:sz w:val="10"/>
                <w:szCs w:val="10"/>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w:t>
            </w:r>
          </w:p>
        </w:tc>
        <w:tc>
          <w:tcPr>
            <w:tcW w:w="300" w:type="dxa"/>
            <w:vAlign w:val="bottom"/>
            <w:vMerge w:val="restart"/>
          </w:tcPr>
          <w:p>
            <w:pPr>
              <w:spacing w:after="0"/>
              <w:rPr>
                <w:sz w:val="20"/>
                <w:szCs w:val="20"/>
                <w:color w:val="auto"/>
              </w:rPr>
            </w:pPr>
            <w:r>
              <w:rPr>
                <w:rFonts w:ascii="Arial" w:cs="Arial" w:eastAsia="Arial" w:hAnsi="Arial"/>
                <w:sz w:val="11"/>
                <w:szCs w:val="11"/>
                <w:b w:val="1"/>
                <w:bCs w:val="1"/>
                <w:color w:val="auto"/>
              </w:rPr>
              <w:t>V</w:t>
            </w:r>
          </w:p>
        </w:tc>
        <w:tc>
          <w:tcPr>
            <w:tcW w:w="5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760" w:type="dxa"/>
            <w:vAlign w:val="bottom"/>
            <w:gridSpan w:val="3"/>
          </w:tcPr>
          <w:p>
            <w:pPr>
              <w:ind w:left="360"/>
              <w:spacing w:after="0"/>
              <w:rPr>
                <w:sz w:val="20"/>
                <w:szCs w:val="20"/>
                <w:color w:val="auto"/>
              </w:rPr>
            </w:pPr>
            <w:r>
              <w:rPr>
                <w:rFonts w:ascii="Arial" w:cs="Arial" w:eastAsia="Arial" w:hAnsi="Arial"/>
                <w:sz w:val="11"/>
                <w:szCs w:val="11"/>
                <w:b w:val="1"/>
                <w:bCs w:val="1"/>
                <w:color w:val="auto"/>
              </w:rPr>
              <w:t>(A) or</w:t>
            </w:r>
          </w:p>
        </w:tc>
        <w:tc>
          <w:tcPr>
            <w:tcW w:w="7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620" w:type="dxa"/>
            <w:vAlign w:val="bottom"/>
            <w:gridSpan w:val="2"/>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1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4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6"/>
                <w:szCs w:val="16"/>
                <w:color w:val="0000FF"/>
              </w:rPr>
              <w:t>02/07/2024</w:t>
            </w:r>
          </w:p>
        </w:tc>
        <w:tc>
          <w:tcPr>
            <w:tcW w:w="8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jc w:val="center"/>
              <w:ind w:right="281"/>
              <w:spacing w:after="0"/>
              <w:rPr>
                <w:sz w:val="20"/>
                <w:szCs w:val="20"/>
                <w:color w:val="auto"/>
              </w:rPr>
            </w:pPr>
            <w:r>
              <w:rPr>
                <w:rFonts w:ascii="Times New Roman" w:cs="Times New Roman" w:eastAsia="Times New Roman" w:hAnsi="Times New Roman"/>
                <w:sz w:val="16"/>
                <w:szCs w:val="16"/>
                <w:color w:val="0000FF"/>
              </w:rPr>
              <w:t>9,834</w:t>
            </w:r>
            <w:r>
              <w:rPr>
                <w:rFonts w:ascii="Times New Roman" w:cs="Times New Roman" w:eastAsia="Times New Roman" w:hAnsi="Times New Roman"/>
                <w:sz w:val="21"/>
                <w:szCs w:val="21"/>
                <w:color w:val="008000"/>
                <w:vertAlign w:val="superscript"/>
              </w:rPr>
              <w:t>(1)</w:t>
            </w:r>
          </w:p>
        </w:tc>
        <w:tc>
          <w:tcPr>
            <w:tcW w:w="14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6"/>
                <w:szCs w:val="16"/>
                <w:color w:val="0000FF"/>
              </w:rPr>
              <w:t>D</w:t>
            </w:r>
          </w:p>
        </w:tc>
        <w:tc>
          <w:tcPr>
            <w:tcW w:w="1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1.42</w:t>
            </w:r>
            <w:r>
              <w:rPr>
                <w:rFonts w:ascii="Times New Roman" w:cs="Times New Roman" w:eastAsia="Times New Roman" w:hAnsi="Times New Roman"/>
                <w:sz w:val="21"/>
                <w:szCs w:val="21"/>
                <w:color w:val="008000"/>
                <w:vertAlign w:val="superscript"/>
              </w:rPr>
              <w:t>(1)</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6"/>
                <w:szCs w:val="16"/>
                <w:color w:val="0000FF"/>
              </w:rPr>
              <w:t>657,486</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4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6"/>
                <w:szCs w:val="16"/>
                <w:color w:val="0000FF"/>
              </w:rPr>
              <w:t>02/08/2024</w:t>
            </w:r>
          </w:p>
        </w:tc>
        <w:tc>
          <w:tcPr>
            <w:tcW w:w="8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jc w:val="center"/>
              <w:ind w:right="221"/>
              <w:spacing w:after="0"/>
              <w:rPr>
                <w:sz w:val="20"/>
                <w:szCs w:val="20"/>
                <w:color w:val="auto"/>
              </w:rPr>
            </w:pPr>
            <w:r>
              <w:rPr>
                <w:rFonts w:ascii="Times New Roman" w:cs="Times New Roman" w:eastAsia="Times New Roman" w:hAnsi="Times New Roman"/>
                <w:sz w:val="16"/>
                <w:szCs w:val="16"/>
                <w:color w:val="0000FF"/>
              </w:rPr>
              <w:t>19,329</w:t>
            </w:r>
            <w:r>
              <w:rPr>
                <w:rFonts w:ascii="Times New Roman" w:cs="Times New Roman" w:eastAsia="Times New Roman" w:hAnsi="Times New Roman"/>
                <w:sz w:val="21"/>
                <w:szCs w:val="21"/>
                <w:color w:val="008000"/>
                <w:vertAlign w:val="superscript"/>
              </w:rPr>
              <w:t>(3)</w:t>
            </w:r>
          </w:p>
        </w:tc>
        <w:tc>
          <w:tcPr>
            <w:tcW w:w="14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6"/>
                <w:szCs w:val="16"/>
                <w:color w:val="0000FF"/>
              </w:rPr>
              <w:t>D</w:t>
            </w:r>
          </w:p>
        </w:tc>
        <w:tc>
          <w:tcPr>
            <w:tcW w:w="1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0.9792</w:t>
            </w:r>
            <w:r>
              <w:rPr>
                <w:rFonts w:ascii="Times New Roman" w:cs="Times New Roman" w:eastAsia="Times New Roman" w:hAnsi="Times New Roman"/>
                <w:sz w:val="21"/>
                <w:szCs w:val="21"/>
                <w:color w:val="008000"/>
                <w:vertAlign w:val="superscript"/>
              </w:rPr>
              <w:t>(4)</w:t>
            </w:r>
          </w:p>
        </w:tc>
        <w:tc>
          <w:tcPr>
            <w:tcW w:w="126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6"/>
                <w:szCs w:val="16"/>
                <w:color w:val="0000FF"/>
              </w:rPr>
              <w:t>638,157</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4"/>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60" w:type="dxa"/>
            <w:vAlign w:val="bottom"/>
            <w:gridSpan w:val="12"/>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4"/>
          </w:tcPr>
          <w:p>
            <w:pPr>
              <w:spacing w:after="0"/>
              <w:rPr>
                <w:sz w:val="2"/>
                <w:szCs w:val="2"/>
                <w:color w:val="auto"/>
              </w:rPr>
            </w:pPr>
          </w:p>
        </w:tc>
        <w:tc>
          <w:tcPr>
            <w:tcW w:w="14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0" w:type="dxa"/>
            <w:vAlign w:val="bottom"/>
          </w:tcPr>
          <w:p>
            <w:pPr>
              <w:ind w:left="180"/>
              <w:spacing w:after="0"/>
              <w:rPr>
                <w:sz w:val="20"/>
                <w:szCs w:val="20"/>
                <w:color w:val="auto"/>
              </w:rPr>
            </w:pPr>
            <w:r>
              <w:rPr>
                <w:rFonts w:ascii="Arial" w:cs="Arial" w:eastAsia="Arial" w:hAnsi="Arial"/>
                <w:sz w:val="11"/>
                <w:szCs w:val="11"/>
                <w:b w:val="1"/>
                <w:bCs w:val="1"/>
                <w:color w:val="auto"/>
              </w:rPr>
              <w:t>5. Number</w:t>
            </w:r>
          </w:p>
        </w:tc>
        <w:tc>
          <w:tcPr>
            <w:tcW w:w="150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520" w:type="dxa"/>
            <w:vAlign w:val="bottom"/>
            <w:gridSpan w:val="5"/>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   of</w:t>
            </w:r>
          </w:p>
        </w:tc>
        <w:tc>
          <w:tcPr>
            <w:tcW w:w="1000" w:type="dxa"/>
            <w:vAlign w:val="bottom"/>
            <w:gridSpan w:val="3"/>
          </w:tcPr>
          <w:p>
            <w:pPr>
              <w:ind w:left="60"/>
              <w:spacing w:after="0"/>
              <w:rPr>
                <w:sz w:val="20"/>
                <w:szCs w:val="20"/>
                <w:color w:val="auto"/>
              </w:rPr>
            </w:pPr>
            <w:r>
              <w:rPr>
                <w:rFonts w:ascii="Arial" w:cs="Arial" w:eastAsia="Arial" w:hAnsi="Arial"/>
                <w:sz w:val="11"/>
                <w:szCs w:val="11"/>
                <w:b w:val="1"/>
                <w:bCs w:val="1"/>
                <w:color w:val="auto"/>
              </w:rPr>
              <w:t>Expiration Date</w:t>
            </w:r>
          </w:p>
        </w:tc>
        <w:tc>
          <w:tcPr>
            <w:tcW w:w="500" w:type="dxa"/>
            <w:vAlign w:val="bottom"/>
          </w:tcPr>
          <w:p>
            <w:pPr>
              <w:spacing w:after="0"/>
              <w:rPr>
                <w:sz w:val="10"/>
                <w:szCs w:val="10"/>
                <w:color w:val="auto"/>
              </w:rPr>
            </w:pPr>
          </w:p>
        </w:tc>
        <w:tc>
          <w:tcPr>
            <w:tcW w:w="1520" w:type="dxa"/>
            <w:vAlign w:val="bottom"/>
            <w:gridSpan w:val="5"/>
          </w:tcPr>
          <w:p>
            <w:pPr>
              <w:ind w:left="2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w w:val="98"/>
              </w:rPr>
              <w:t>Code (Instr.</w:t>
            </w:r>
          </w:p>
        </w:tc>
        <w:tc>
          <w:tcPr>
            <w:tcW w:w="800" w:type="dxa"/>
            <w:vAlign w:val="bottom"/>
          </w:tcPr>
          <w:p>
            <w:pPr>
              <w:ind w:left="180"/>
              <w:spacing w:after="0"/>
              <w:rPr>
                <w:sz w:val="20"/>
                <w:szCs w:val="20"/>
                <w:color w:val="auto"/>
              </w:rPr>
            </w:pPr>
            <w:r>
              <w:rPr>
                <w:rFonts w:ascii="Arial" w:cs="Arial" w:eastAsia="Arial" w:hAnsi="Arial"/>
                <w:sz w:val="11"/>
                <w:szCs w:val="11"/>
                <w:b w:val="1"/>
                <w:bCs w:val="1"/>
                <w:color w:val="auto"/>
              </w:rPr>
              <w:t>Derivative</w:t>
            </w:r>
          </w:p>
        </w:tc>
        <w:tc>
          <w:tcPr>
            <w:tcW w:w="100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spacing w:after="0"/>
              <w:rPr>
                <w:sz w:val="10"/>
                <w:szCs w:val="10"/>
                <w:color w:val="auto"/>
              </w:rPr>
            </w:pPr>
          </w:p>
        </w:tc>
        <w:tc>
          <w:tcPr>
            <w:tcW w:w="1520" w:type="dxa"/>
            <w:vAlign w:val="bottom"/>
            <w:gridSpan w:val="5"/>
          </w:tcPr>
          <w:p>
            <w:pPr>
              <w:ind w:left="20"/>
              <w:spacing w:after="0"/>
              <w:rPr>
                <w:sz w:val="20"/>
                <w:szCs w:val="20"/>
                <w:color w:val="auto"/>
              </w:rPr>
            </w:pPr>
            <w:r>
              <w:rPr>
                <w:rFonts w:ascii="Arial" w:cs="Arial" w:eastAsia="Arial" w:hAnsi="Arial"/>
                <w:sz w:val="11"/>
                <w:szCs w:val="11"/>
                <w:b w:val="1"/>
                <w:bCs w:val="1"/>
                <w:color w:val="auto"/>
              </w:rPr>
              <w:t>Derivative Security (Instr.</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00" w:type="dxa"/>
            <w:vAlign w:val="bottom"/>
          </w:tcPr>
          <w:p>
            <w:pPr>
              <w:ind w:left="180"/>
              <w:spacing w:after="0"/>
              <w:rPr>
                <w:sz w:val="20"/>
                <w:szCs w:val="20"/>
                <w:color w:val="auto"/>
              </w:rPr>
            </w:pPr>
            <w:r>
              <w:rPr>
                <w:rFonts w:ascii="Arial" w:cs="Arial" w:eastAsia="Arial" w:hAnsi="Arial"/>
                <w:sz w:val="11"/>
                <w:szCs w:val="11"/>
                <w:b w:val="1"/>
                <w:bCs w:val="1"/>
                <w:color w:val="auto"/>
              </w:rPr>
              <w:t>Securities</w:t>
            </w: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3 and 4)</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ind w:left="180"/>
              <w:spacing w:after="0"/>
              <w:rPr>
                <w:sz w:val="20"/>
                <w:szCs w:val="20"/>
                <w:color w:val="auto"/>
              </w:rPr>
            </w:pPr>
            <w:r>
              <w:rPr>
                <w:rFonts w:ascii="Arial" w:cs="Arial" w:eastAsia="Arial" w:hAnsi="Arial"/>
                <w:sz w:val="11"/>
                <w:szCs w:val="11"/>
                <w:b w:val="1"/>
                <w:bCs w:val="1"/>
                <w:color w:val="auto"/>
              </w:rPr>
              <w:t>Acquired</w:t>
            </w: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ind w:left="180"/>
              <w:spacing w:after="0"/>
              <w:rPr>
                <w:sz w:val="20"/>
                <w:szCs w:val="20"/>
                <w:color w:val="auto"/>
              </w:rPr>
            </w:pPr>
            <w:r>
              <w:rPr>
                <w:rFonts w:ascii="Arial" w:cs="Arial" w:eastAsia="Arial" w:hAnsi="Arial"/>
                <w:sz w:val="11"/>
                <w:szCs w:val="11"/>
                <w:b w:val="1"/>
                <w:bCs w:val="1"/>
                <w:color w:val="auto"/>
              </w:rPr>
              <w:t>Disposed</w:t>
            </w: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ind w:left="180"/>
              <w:spacing w:after="0"/>
              <w:rPr>
                <w:sz w:val="20"/>
                <w:szCs w:val="20"/>
                <w:color w:val="auto"/>
              </w:rPr>
            </w:pPr>
            <w:r>
              <w:rPr>
                <w:rFonts w:ascii="Arial" w:cs="Arial" w:eastAsia="Arial" w:hAnsi="Arial"/>
                <w:sz w:val="11"/>
                <w:szCs w:val="11"/>
                <w:b w:val="1"/>
                <w:bCs w:val="1"/>
                <w:color w:val="auto"/>
              </w:rPr>
              <w:t>of (D)</w:t>
            </w: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ind w:left="180"/>
              <w:spacing w:after="0"/>
              <w:rPr>
                <w:sz w:val="20"/>
                <w:szCs w:val="20"/>
                <w:color w:val="auto"/>
              </w:rPr>
            </w:pPr>
            <w:r>
              <w:rPr>
                <w:rFonts w:ascii="Arial" w:cs="Arial" w:eastAsia="Arial" w:hAnsi="Arial"/>
                <w:sz w:val="11"/>
                <w:szCs w:val="11"/>
                <w:b w:val="1"/>
                <w:bCs w:val="1"/>
                <w:color w:val="auto"/>
              </w:rPr>
              <w:t>(Instr. 3, 4</w:t>
            </w: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ind w:left="180"/>
              <w:spacing w:after="0"/>
              <w:rPr>
                <w:sz w:val="20"/>
                <w:szCs w:val="20"/>
                <w:color w:val="auto"/>
              </w:rPr>
            </w:pPr>
            <w:r>
              <w:rPr>
                <w:rFonts w:ascii="Arial" w:cs="Arial" w:eastAsia="Arial" w:hAnsi="Arial"/>
                <w:sz w:val="11"/>
                <w:szCs w:val="11"/>
                <w:b w:val="1"/>
                <w:bCs w:val="1"/>
                <w:color w:val="auto"/>
              </w:rPr>
              <w:t>and 5)</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3"/>
          </w:tcPr>
          <w:p>
            <w:pPr>
              <w:spacing w:after="0"/>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800" w:type="dxa"/>
            <w:vAlign w:val="bottom"/>
          </w:tcPr>
          <w:p>
            <w:pPr>
              <w:ind w:left="180"/>
              <w:spacing w:after="0"/>
              <w:rPr>
                <w:sz w:val="20"/>
                <w:szCs w:val="20"/>
                <w:color w:val="auto"/>
              </w:rPr>
            </w:pPr>
            <w:r>
              <w:rPr>
                <w:rFonts w:ascii="Arial" w:cs="Arial" w:eastAsia="Arial" w:hAnsi="Arial"/>
                <w:sz w:val="11"/>
                <w:szCs w:val="11"/>
                <w:b w:val="1"/>
                <w:bCs w:val="1"/>
                <w:color w:val="auto"/>
              </w:rPr>
              <w:t>(A)   (D)</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Exercisable</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Date</w:t>
            </w: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140" w:type="dxa"/>
            <w:vAlign w:val="bottom"/>
          </w:tcPr>
          <w:p>
            <w:pPr>
              <w:spacing w:after="0"/>
              <w:rPr>
                <w:sz w:val="13"/>
                <w:szCs w:val="13"/>
                <w:color w:val="auto"/>
              </w:rPr>
            </w:pPr>
          </w:p>
        </w:tc>
        <w:tc>
          <w:tcPr>
            <w:tcW w:w="900" w:type="dxa"/>
            <w:vAlign w:val="bottom"/>
            <w:gridSpan w:val="3"/>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Bakkt</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(6)</w:t>
            </w:r>
          </w:p>
        </w:tc>
        <w:tc>
          <w:tcPr>
            <w:tcW w:w="300" w:type="dxa"/>
            <w:vAlign w:val="bottom"/>
          </w:tcPr>
          <w:p>
            <w:pPr>
              <w:spacing w:after="0"/>
              <w:rPr>
                <w:sz w:val="15"/>
                <w:szCs w:val="15"/>
                <w:color w:val="auto"/>
              </w:rPr>
            </w:pPr>
          </w:p>
        </w:tc>
        <w:tc>
          <w:tcPr>
            <w:tcW w:w="500" w:type="dxa"/>
            <w:vAlign w:val="bottom"/>
            <w:vMerge w:val="restart"/>
          </w:tcPr>
          <w:p>
            <w:pPr>
              <w:jc w:val="right"/>
              <w:ind w:right="255"/>
              <w:spacing w:after="0"/>
              <w:rPr>
                <w:sz w:val="20"/>
                <w:szCs w:val="20"/>
                <w:color w:val="auto"/>
              </w:rPr>
            </w:pPr>
            <w:r>
              <w:rPr>
                <w:rFonts w:ascii="Times New Roman" w:cs="Times New Roman" w:eastAsia="Times New Roman" w:hAnsi="Times New Roman"/>
                <w:sz w:val="11"/>
                <w:szCs w:val="11"/>
                <w:color w:val="008000"/>
              </w:rPr>
              <w:t>(6)</w:t>
            </w:r>
          </w:p>
        </w:tc>
        <w:tc>
          <w:tcPr>
            <w:tcW w:w="48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7"/>
              </w:rPr>
              <w:t>Class A</w:t>
            </w:r>
          </w:p>
        </w:tc>
        <w:tc>
          <w:tcPr>
            <w:tcW w:w="140" w:type="dxa"/>
            <w:vAlign w:val="bottom"/>
          </w:tcPr>
          <w:p>
            <w:pPr>
              <w:spacing w:after="0"/>
              <w:rPr>
                <w:sz w:val="15"/>
                <w:szCs w:val="15"/>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1,204,712</w:t>
            </w:r>
            <w:r>
              <w:rPr>
                <w:rFonts w:ascii="Times New Roman" w:cs="Times New Roman" w:eastAsia="Times New Roman" w:hAnsi="Times New Roman"/>
                <w:sz w:val="21"/>
                <w:szCs w:val="21"/>
                <w:color w:val="008000"/>
                <w:vertAlign w:val="superscript"/>
              </w:rPr>
              <w:t>(5)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Opco</w:t>
            </w:r>
          </w:p>
        </w:tc>
        <w:tc>
          <w:tcPr>
            <w:tcW w:w="78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62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8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ind w:left="160"/>
              <w:spacing w:after="0" w:line="139" w:lineRule="exact"/>
              <w:rPr>
                <w:sz w:val="20"/>
                <w:szCs w:val="20"/>
                <w:color w:val="auto"/>
              </w:rPr>
            </w:pPr>
            <w:r>
              <w:rPr>
                <w:rFonts w:ascii="Times New Roman" w:cs="Times New Roman" w:eastAsia="Times New Roman" w:hAnsi="Times New Roman"/>
                <w:sz w:val="13"/>
                <w:szCs w:val="13"/>
                <w:color w:val="0000FF"/>
              </w:rPr>
              <w:t>1,204,712</w:t>
            </w:r>
          </w:p>
        </w:tc>
        <w:tc>
          <w:tcPr>
            <w:tcW w:w="64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-1889125</wp:posOffset>
            </wp:positionV>
            <wp:extent cx="28575" cy="18942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89420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40" w:right="30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restricted stock units on February 1, 2024, the issuer withheld Class A Common Stock that would otherwise have been issued to the reporting person to satisfy such person's tax withholding obligations. The number of shares withheld was determined based on the closing price per share of Class A Common Stock on February 1, 2024.</w:t>
      </w:r>
    </w:p>
    <w:p>
      <w:pPr>
        <w:spacing w:after="0" w:line="2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288,157 shares of Class A Common Stock subject to restricted stock units that remain subject to vesting.</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were effectuated pursuant to a Rule 10b5-1 trading plan adopted by the reporting person on 05/22/2023.</w:t>
      </w:r>
    </w:p>
    <w:p>
      <w:pPr>
        <w:spacing w:after="0" w:line="40" w:lineRule="exact"/>
        <w:rPr>
          <w:rFonts w:ascii="Times New Roman" w:cs="Times New Roman" w:eastAsia="Times New Roman" w:hAnsi="Times New Roman"/>
          <w:sz w:val="13"/>
          <w:szCs w:val="13"/>
          <w:color w:val="008000"/>
        </w:rPr>
      </w:pPr>
    </w:p>
    <w:p>
      <w:pPr>
        <w:ind w:left="40" w:right="16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weighted-average price. These shares were sold in multiple transactions at prices ranging from $0.89 to $1.04, inclusive. For all transactions reported in this Form 4 utilizing a weighted-average price, the reporting person will provide to the issuer, any security holder of the issuer, or the SEC staff, upon request, information regarding the number of shares sold at each price within the range.</w:t>
      </w:r>
    </w:p>
    <w:p>
      <w:pPr>
        <w:spacing w:after="0" w:line="20" w:lineRule="exact"/>
        <w:rPr>
          <w:rFonts w:ascii="Times New Roman" w:cs="Times New Roman" w:eastAsia="Times New Roman" w:hAnsi="Times New Roman"/>
          <w:sz w:val="13"/>
          <w:szCs w:val="13"/>
          <w:color w:val="008000"/>
        </w:rPr>
      </w:pPr>
    </w:p>
    <w:p>
      <w:pPr>
        <w:ind w:left="40" w:right="34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incentive units of Bakkt Management LLC, which units are, subject to certain limitations, redeemable at the request of the reporting person in exchange for the indicated number of common units of Bakkt Opco Holdings, LLC "(Bakkt Opco Units") and an equal number of shares of the issuer's Class V Common Stock.</w:t>
      </w:r>
    </w:p>
    <w:p>
      <w:pPr>
        <w:spacing w:after="0" w:line="20" w:lineRule="exact"/>
        <w:rPr>
          <w:rFonts w:ascii="Times New Roman" w:cs="Times New Roman" w:eastAsia="Times New Roman" w:hAnsi="Times New Roman"/>
          <w:sz w:val="13"/>
          <w:szCs w:val="13"/>
          <w:color w:val="008000"/>
        </w:rPr>
      </w:pPr>
    </w:p>
    <w:p>
      <w:pPr>
        <w:ind w:left="40" w:right="32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an Amended and Restated Exchange Agreement dated as of May 3, 2022, subject to certain conditions, Bakkt Opco Units together with an equal number of shares of the issuer's Class V Common Stock, are exchangeable by the Reporting Person for shares of the issuer's Class A Common Stock on a one-for-one basis.</w:t>
      </w:r>
    </w:p>
    <w:p>
      <w:pPr>
        <w:spacing w:after="0" w:line="39"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0000FF"/>
              </w:rPr>
              <w:t>/s/ Marc D'Annunzio</w:t>
            </w:r>
          </w:p>
        </w:tc>
        <w:tc>
          <w:tcPr>
            <w:tcW w:w="640" w:type="dxa"/>
            <w:vAlign w:val="bottom"/>
          </w:tcPr>
          <w:p>
            <w:pPr>
              <w:spacing w:after="0"/>
              <w:rPr>
                <w:sz w:val="16"/>
                <w:szCs w:val="16"/>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0000FF"/>
                <w:w w:val="98"/>
              </w:rPr>
              <w:t>02/09/2024</w:t>
            </w:r>
          </w:p>
        </w:tc>
      </w:tr>
      <w:tr>
        <w:trPr>
          <w:trHeight w:val="20"/>
        </w:trPr>
        <w:tc>
          <w:tcPr>
            <w:tcW w:w="13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2"/>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9"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1559"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2024-02-09T20:19:14Z</dcterms:created>
  <dcterms:modified xsi:type="dcterms:W3CDTF">2024-02-09T20:19:14Z</dcterms:modified>
</cp:coreProperties>
</file>