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2586d8k.htm"/>
      <w:bookmarkStart w:id="1" w:name="ksd4258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February 27,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Bakkt,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001-39544</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41-2324812</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5060"/>
        <w:gridCol w:w="60"/>
        <w:gridCol w:w="1145"/>
      </w:tblGrid>
      <w:tr>
        <w:trPr/>
        <w:tc>
          <w:tcPr>
            <w:tcW w:w="5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283"/>
              <w:jc w:val="center"/>
              <w:rPr>
                <w:b/>
              </w:rPr>
            </w:pPr>
            <w:r>
              <w:rPr>
                <w:b/>
              </w:rPr>
              <w:t xml:space="preserve">One Liberty Plaza, One Liberty St., Ste. 305-306,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283"/>
              <w:jc w:val="center"/>
              <w:rPr>
                <w:b/>
              </w:rPr>
            </w:pPr>
            <w:r>
              <w:rPr>
                <w:b/>
              </w:rPr>
              <w:t>New York, New York</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10006</w:t>
            </w:r>
          </w:p>
        </w:tc>
      </w:tr>
      <w:tr>
        <w:trPr/>
        <w:tc>
          <w:tcPr>
            <w:tcW w:w="506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(678) 534-5849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230"/>
        <w:gridCol w:w="72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405" w:type="dxa"/>
        <w:jc w:val="left"/>
        <w:tblInd w:w="0" w:type="dxa"/>
        <w:tblLayout w:type="fixed"/>
        <w:tblCellMar>
          <w:top w:w="0" w:type="dxa"/>
          <w:left w:w="0" w:type="dxa"/>
          <w:bottom w:w="0" w:type="dxa"/>
          <w:right w:w="0" w:type="dxa"/>
        </w:tblCellMar>
      </w:tblPr>
      <w:tblGrid>
        <w:gridCol w:w="5075"/>
        <w:gridCol w:w="60"/>
        <w:gridCol w:w="1115"/>
        <w:gridCol w:w="60"/>
        <w:gridCol w:w="3095"/>
      </w:tblGrid>
      <w:tr>
        <w:trPr/>
        <w:tc>
          <w:tcPr>
            <w:tcW w:w="5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50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075" w:type="dxa"/>
            <w:tcBorders/>
            <w:vAlign w:val="center"/>
          </w:tcPr>
          <w:p>
            <w:pPr>
              <w:pStyle w:val="TableContents"/>
              <w:bidi w:val="0"/>
              <w:spacing w:before="0" w:after="283"/>
              <w:jc w:val="center"/>
              <w:rPr/>
            </w:pPr>
            <w:r>
              <w:rPr/>
              <w:t>Class A Common Stock, par value $0.0001 per share</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BKKT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r>
        <w:trPr/>
        <w:tc>
          <w:tcPr>
            <w:tcW w:w="5075" w:type="dxa"/>
            <w:tcBorders/>
            <w:vAlign w:val="center"/>
          </w:tcPr>
          <w:p>
            <w:pPr>
              <w:pStyle w:val="TableContents"/>
              <w:bidi w:val="0"/>
              <w:spacing w:before="0" w:after="283"/>
              <w:jc w:val="center"/>
              <w:rPr/>
            </w:pPr>
            <w:r>
              <w:rPr/>
              <w:t>Warrants to purchase Class A Common Stock</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BKKT WS</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February 27, 2026, Bakkt, Inc. (the “Company”) entered into a securities purchase agreement (the “Purchase Agreement”) with a single investor (the “Investor”), pursuant to which the Company agreed to sell and issue to the Investor an aggregate of 3,024,799 shares (the “Shares”) of the Company’s Class A common stock, par value $0.0001 per share (the “Common Stock”) and pre-funded warrants (the “Pre-Funded Warrants”) to purchase an aggregate of 2,475,201 shares of Common Stock (the “Offering”). The price in the Offering was $8.75 per Share and $8.7499 per Pre-Funded Warrant, which is the price per Share in the Offering, minus the $0.0001 exercise price per Pre-Funded Warrant. </w:t>
      </w:r>
    </w:p>
    <w:p>
      <w:pPr>
        <w:pStyle w:val="TextBody"/>
        <w:bidi w:val="0"/>
        <w:spacing w:before="240" w:after="0"/>
        <w:jc w:val="left"/>
        <w:rPr>
          <w:rFonts w:ascii="Times New Roman" w:hAnsi="Times New Roman"/>
          <w:sz w:val="20"/>
        </w:rPr>
      </w:pPr>
      <w:r>
        <w:rPr>
          <w:rFonts w:ascii="Times New Roman" w:hAnsi="Times New Roman"/>
          <w:sz w:val="20"/>
        </w:rPr>
        <w:t xml:space="preserve">The Offering closed on March 2, 2026. The Offering was a registered direct offering made pursuant to an effective registration statement on Form S-3 (File No. 333-288361) (the “Registration Statement”) previously filed with the Securities and Exchange Commission on June 26, 2025, and declared effective on July 3, 2025, and related prospectus supplement dated February 27, 2026. </w:t>
      </w:r>
    </w:p>
    <w:p>
      <w:pPr>
        <w:pStyle w:val="TextBody"/>
        <w:bidi w:val="0"/>
        <w:spacing w:before="240" w:after="0"/>
        <w:jc w:val="left"/>
        <w:rPr>
          <w:rFonts w:ascii="Times New Roman" w:hAnsi="Times New Roman"/>
          <w:sz w:val="20"/>
        </w:rPr>
      </w:pPr>
      <w:r>
        <w:rPr>
          <w:rFonts w:ascii="Times New Roman" w:hAnsi="Times New Roman"/>
          <w:sz w:val="20"/>
        </w:rPr>
        <w:t xml:space="preserve">The aggregate gross proceeds to the Company from the Offering are approximately $48.125 million, before deducting placement agent fees and estimated offering expenses payable by the Company. The Company intends to use the net proceeds from the Offering for working capital, general corporate purposes and strategic initiatives.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contains customary representations, warranties and agreements by the Company (including a lock-up agreement, pursuant to which, subject to specified exceptions, the Company has agreed not to offer or transfer shares of Common Stock or Common Stock equivalents during the 45 day period following the date of the Purchase Agreement), customary conditions to closing, indemnification obligations of the Company and the Investor, including for liabilities under the Securities Act of 1933, as amended (the “Securities Act”) and termination provisions. In connection with the Offering, the Company’s officers and directors have also entered into lock-up agreements, pursuant to which, subject to specified exceptions, they have agreed not to offer or transfer their shares of Common Stock or Common Stock equivalents during the 45-day period following the date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Pre-Funded Warrants are exercisable at any time in whole or in part so long as the aggregate number of shares of Common Stock beneficially owned by the holder (together with its affiliates) would not exceed 9.90% of the number of Shares outstanding immediately after giving effect to the exercise, as such percentage ownership is determined in accordance with the terms of such Pre-Funded Warrant. Such percentage may be increased or decreased to any number not in excess of 9.90% at the holder’s election upon notice to the Company, any such increase not to take effect until the 61st day after notice to the Company. The Pre-Funded Warrants contain standard adjustments to the exercise price, including for stock splits, stock dividends and pro rata distributions and contain customary terms regarding the treatment of such Pre-Funded Warrants in the event of a fundamental transaction, which include but are not limited to a merger or consolidation involving the Company, a sale of all or substantially all of the assets of the Company, or a business combination resulting in any person acquiring more than 50% of the voting power of the capital stock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Pre-Funded Warrants and the Purchase Agreement do not purport to be complete and are qualified in their entirety by reference to the full text thereof, which are filed as Exhibits 4.1 and 10.1, respectively, to this Current Report on Form 8-K and are incorporated herein by reference.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February 27, 2026, the Company issued a press release announcing the pricing of the Offering. A copy of the press release is attached as Exhibit 99.1 to this Current Report on Form 8-K and incorporated into this Item 7.01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and Exhibit 99.1 is being furnished hereto and shall not be deemed “filed” for purposes of Section 18 of the Securities Exchange Act of 1934, as amended (the “Exchange Act”), or otherwise subject to the liabilities of that section, nor will it be incorporated by reference in any filing under the Securities Act or the Exchange Act, except as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February 27, 2026, the Company entered into a placement agent agreement (the “Placement Agent Agreement”) with Cohen &amp; Company Capital Markets, a division of Cohen &amp; Company Securities, LLC (“Cohen”), pursuant to which Cohen agreed to act as the Company’s sole placement agent in connection with the Offering on a reasonable best efforts basis. The Company agreed to pay Cohen a placement agent fee in an amount equal to three percent (3%) of the gross proceeds received by the Company in the Offering and to reimburse Cohen for certain of their Offering-related expenses, excluding any amounts that may be paid upon the exercise of any Pre-Funded Warrants. The Placement Agent Agreement also includes customary indemnification and contribution obligations of the Company and the Placement Agent.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Placement Agent Agreement does not purport to be complete and is qualified in its entirety by reference to the full text thereof, which is filed as Exhibit 99.2 to this Current Report on Form 8-K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The following exhibits are filed with this Form 8-K: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7"/>
        <w:gridCol w:w="120"/>
        <w:gridCol w:w="9518"/>
      </w:tblGrid>
      <w:tr>
        <w:trPr/>
        <w:tc>
          <w:tcPr>
            <w:tcW w:w="5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18" w:type="dxa"/>
            <w:tcBorders/>
            <w:vAlign w:val="center"/>
          </w:tcPr>
          <w:p>
            <w:pPr>
              <w:pStyle w:val="TableContents"/>
              <w:bidi w:val="0"/>
              <w:spacing w:before="0" w:after="283"/>
              <w:jc w:val="left"/>
              <w:rPr>
                <w:sz w:val="4"/>
                <w:szCs w:val="4"/>
              </w:rPr>
            </w:pPr>
            <w:r>
              <w:rPr>
                <w:sz w:val="4"/>
                <w:szCs w:val="4"/>
              </w:rPr>
            </w:r>
          </w:p>
        </w:tc>
      </w:tr>
      <w:tr>
        <w:trPr/>
        <w:tc>
          <w:tcPr>
            <w:tcW w:w="567"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1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567" w:type="dxa"/>
            <w:tcBorders/>
            <w:vAlign w:val="center"/>
          </w:tcPr>
          <w:p>
            <w:pPr>
              <w:pStyle w:val="TableContents"/>
              <w:bidi w:val="0"/>
              <w:spacing w:before="0" w:after="283"/>
              <w:jc w:val="left"/>
              <w:rPr>
                <w:sz w:val="4"/>
                <w:szCs w:val="4"/>
              </w:rPr>
            </w:pPr>
            <w:r>
              <w:rPr>
                <w:sz w:val="4"/>
                <w:szCs w:val="4"/>
              </w:rPr>
            </w:r>
          </w:p>
        </w:tc>
        <w:tc>
          <w:tcPr>
            <w:tcW w:w="9638" w:type="dxa"/>
            <w:gridSpan w:val="2"/>
            <w:tcBorders/>
            <w:vAlign w:val="center"/>
          </w:tcPr>
          <w:p>
            <w:pPr>
              <w:pStyle w:val="TableContents"/>
              <w:bidi w:val="0"/>
              <w:spacing w:before="0" w:after="283"/>
              <w:jc w:val="left"/>
              <w:rPr>
                <w:sz w:val="4"/>
                <w:szCs w:val="4"/>
              </w:rPr>
            </w:pPr>
            <w:r>
              <w:rPr>
                <w:sz w:val="4"/>
                <w:szCs w:val="4"/>
              </w:rPr>
            </w:r>
          </w:p>
        </w:tc>
      </w:tr>
      <w:tr>
        <w:trPr/>
        <w:tc>
          <w:tcPr>
            <w:tcW w:w="567"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518" w:type="dxa"/>
            <w:tcBorders/>
            <w:vAlign w:val="center"/>
          </w:tcPr>
          <w:p>
            <w:pPr>
              <w:pStyle w:val="TableContents"/>
              <w:bidi w:val="0"/>
              <w:spacing w:before="0" w:after="283"/>
              <w:jc w:val="left"/>
              <w:rPr/>
            </w:pPr>
            <w:hyperlink w:anchor="d42586dex41.htm">
              <w:r>
                <w:rPr>
                  <w:rStyle w:val="InternetLink"/>
                </w:rPr>
                <w:t xml:space="preserve">Form of Pre-Funded Warrant. </w:t>
              </w:r>
            </w:hyperlink>
          </w:p>
        </w:tc>
      </w:tr>
      <w:tr>
        <w:trPr/>
        <w:tc>
          <w:tcPr>
            <w:tcW w:w="567" w:type="dxa"/>
            <w:tcBorders/>
            <w:vAlign w:val="center"/>
          </w:tcPr>
          <w:p>
            <w:pPr>
              <w:pStyle w:val="TableContents"/>
              <w:bidi w:val="0"/>
              <w:spacing w:before="0" w:after="283"/>
              <w:jc w:val="left"/>
              <w:rPr>
                <w:sz w:val="4"/>
                <w:szCs w:val="4"/>
              </w:rPr>
            </w:pPr>
            <w:r>
              <w:rPr>
                <w:sz w:val="4"/>
                <w:szCs w:val="4"/>
              </w:rPr>
            </w:r>
          </w:p>
        </w:tc>
        <w:tc>
          <w:tcPr>
            <w:tcW w:w="9638" w:type="dxa"/>
            <w:gridSpan w:val="2"/>
            <w:tcBorders/>
            <w:vAlign w:val="center"/>
          </w:tcPr>
          <w:p>
            <w:pPr>
              <w:pStyle w:val="TableContents"/>
              <w:bidi w:val="0"/>
              <w:spacing w:before="0" w:after="283"/>
              <w:jc w:val="left"/>
              <w:rPr>
                <w:sz w:val="4"/>
                <w:szCs w:val="4"/>
              </w:rPr>
            </w:pPr>
            <w:r>
              <w:rPr>
                <w:sz w:val="4"/>
                <w:szCs w:val="4"/>
              </w:rPr>
            </w:r>
          </w:p>
        </w:tc>
      </w:tr>
      <w:tr>
        <w:trPr/>
        <w:tc>
          <w:tcPr>
            <w:tcW w:w="567"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518" w:type="dxa"/>
            <w:tcBorders/>
            <w:vAlign w:val="center"/>
          </w:tcPr>
          <w:p>
            <w:pPr>
              <w:pStyle w:val="TableContents"/>
              <w:bidi w:val="0"/>
              <w:spacing w:before="0" w:after="283"/>
              <w:jc w:val="left"/>
              <w:rPr/>
            </w:pPr>
            <w:hyperlink w:anchor="d42586dex51.htm">
              <w:r>
                <w:rPr>
                  <w:rStyle w:val="InternetLink"/>
                </w:rPr>
                <w:t xml:space="preserve">Opinion of Sullivan &amp; Cromwell LLP. </w:t>
              </w:r>
            </w:hyperlink>
          </w:p>
        </w:tc>
      </w:tr>
      <w:tr>
        <w:trPr/>
        <w:tc>
          <w:tcPr>
            <w:tcW w:w="567" w:type="dxa"/>
            <w:tcBorders/>
            <w:vAlign w:val="center"/>
          </w:tcPr>
          <w:p>
            <w:pPr>
              <w:pStyle w:val="TableContents"/>
              <w:bidi w:val="0"/>
              <w:spacing w:before="0" w:after="283"/>
              <w:jc w:val="left"/>
              <w:rPr>
                <w:sz w:val="4"/>
                <w:szCs w:val="4"/>
              </w:rPr>
            </w:pPr>
            <w:r>
              <w:rPr>
                <w:sz w:val="4"/>
                <w:szCs w:val="4"/>
              </w:rPr>
            </w:r>
          </w:p>
        </w:tc>
        <w:tc>
          <w:tcPr>
            <w:tcW w:w="9638" w:type="dxa"/>
            <w:gridSpan w:val="2"/>
            <w:tcBorders/>
            <w:vAlign w:val="center"/>
          </w:tcPr>
          <w:p>
            <w:pPr>
              <w:pStyle w:val="TableContents"/>
              <w:bidi w:val="0"/>
              <w:spacing w:before="0" w:after="283"/>
              <w:jc w:val="left"/>
              <w:rPr>
                <w:sz w:val="4"/>
                <w:szCs w:val="4"/>
              </w:rPr>
            </w:pPr>
            <w:r>
              <w:rPr>
                <w:sz w:val="4"/>
                <w:szCs w:val="4"/>
              </w:rPr>
            </w:r>
          </w:p>
        </w:tc>
      </w:tr>
      <w:tr>
        <w:trPr/>
        <w:tc>
          <w:tcPr>
            <w:tcW w:w="567"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18" w:type="dxa"/>
            <w:tcBorders/>
            <w:vAlign w:val="center"/>
          </w:tcPr>
          <w:p>
            <w:pPr>
              <w:pStyle w:val="TableContents"/>
              <w:bidi w:val="0"/>
              <w:spacing w:before="0" w:after="283"/>
              <w:jc w:val="left"/>
              <w:rPr/>
            </w:pPr>
            <w:hyperlink w:anchor="d42586dex101.htm">
              <w:r>
                <w:rPr>
                  <w:rStyle w:val="InternetLink"/>
                </w:rPr>
                <w:t xml:space="preserve">Securities Purchase Agreement, dated February 27, 2026, between the Company and the investor set forth therein. </w:t>
              </w:r>
            </w:hyperlink>
          </w:p>
        </w:tc>
      </w:tr>
      <w:tr>
        <w:trPr/>
        <w:tc>
          <w:tcPr>
            <w:tcW w:w="567" w:type="dxa"/>
            <w:tcBorders/>
            <w:vAlign w:val="center"/>
          </w:tcPr>
          <w:p>
            <w:pPr>
              <w:pStyle w:val="TableContents"/>
              <w:bidi w:val="0"/>
              <w:spacing w:before="0" w:after="283"/>
              <w:jc w:val="left"/>
              <w:rPr>
                <w:sz w:val="4"/>
                <w:szCs w:val="4"/>
              </w:rPr>
            </w:pPr>
            <w:r>
              <w:rPr>
                <w:sz w:val="4"/>
                <w:szCs w:val="4"/>
              </w:rPr>
            </w:r>
          </w:p>
        </w:tc>
        <w:tc>
          <w:tcPr>
            <w:tcW w:w="9638" w:type="dxa"/>
            <w:gridSpan w:val="2"/>
            <w:tcBorders/>
            <w:vAlign w:val="center"/>
          </w:tcPr>
          <w:p>
            <w:pPr>
              <w:pStyle w:val="TableContents"/>
              <w:bidi w:val="0"/>
              <w:spacing w:before="0" w:after="283"/>
              <w:jc w:val="left"/>
              <w:rPr>
                <w:sz w:val="4"/>
                <w:szCs w:val="4"/>
              </w:rPr>
            </w:pPr>
            <w:r>
              <w:rPr>
                <w:sz w:val="4"/>
                <w:szCs w:val="4"/>
              </w:rPr>
            </w:r>
          </w:p>
        </w:tc>
      </w:tr>
      <w:tr>
        <w:trPr/>
        <w:tc>
          <w:tcPr>
            <w:tcW w:w="567"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518" w:type="dxa"/>
            <w:tcBorders/>
            <w:vAlign w:val="center"/>
          </w:tcPr>
          <w:p>
            <w:pPr>
              <w:pStyle w:val="TableContents"/>
              <w:bidi w:val="0"/>
              <w:spacing w:before="0" w:after="283"/>
              <w:jc w:val="left"/>
              <w:rPr/>
            </w:pPr>
            <w:hyperlink w:anchor="d42586dex51.htm">
              <w:r>
                <w:rPr>
                  <w:rStyle w:val="InternetLink"/>
                </w:rPr>
                <w:t xml:space="preserve">Consent of Sullivan &amp; Cromwell LLP (included in Exhibit 5.1). </w:t>
              </w:r>
            </w:hyperlink>
          </w:p>
        </w:tc>
      </w:tr>
      <w:tr>
        <w:trPr/>
        <w:tc>
          <w:tcPr>
            <w:tcW w:w="567" w:type="dxa"/>
            <w:tcBorders/>
            <w:vAlign w:val="center"/>
          </w:tcPr>
          <w:p>
            <w:pPr>
              <w:pStyle w:val="TableContents"/>
              <w:bidi w:val="0"/>
              <w:spacing w:before="0" w:after="283"/>
              <w:jc w:val="left"/>
              <w:rPr>
                <w:sz w:val="4"/>
                <w:szCs w:val="4"/>
              </w:rPr>
            </w:pPr>
            <w:r>
              <w:rPr>
                <w:sz w:val="4"/>
                <w:szCs w:val="4"/>
              </w:rPr>
            </w:r>
          </w:p>
        </w:tc>
        <w:tc>
          <w:tcPr>
            <w:tcW w:w="9638" w:type="dxa"/>
            <w:gridSpan w:val="2"/>
            <w:tcBorders/>
            <w:vAlign w:val="center"/>
          </w:tcPr>
          <w:p>
            <w:pPr>
              <w:pStyle w:val="TableContents"/>
              <w:bidi w:val="0"/>
              <w:spacing w:before="0" w:after="283"/>
              <w:jc w:val="left"/>
              <w:rPr>
                <w:sz w:val="4"/>
                <w:szCs w:val="4"/>
              </w:rPr>
            </w:pPr>
            <w:r>
              <w:rPr>
                <w:sz w:val="4"/>
                <w:szCs w:val="4"/>
              </w:rPr>
            </w:r>
          </w:p>
        </w:tc>
      </w:tr>
      <w:tr>
        <w:trPr/>
        <w:tc>
          <w:tcPr>
            <w:tcW w:w="567"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18" w:type="dxa"/>
            <w:tcBorders/>
            <w:vAlign w:val="center"/>
          </w:tcPr>
          <w:p>
            <w:pPr>
              <w:pStyle w:val="TableContents"/>
              <w:bidi w:val="0"/>
              <w:spacing w:before="0" w:after="283"/>
              <w:jc w:val="left"/>
              <w:rPr/>
            </w:pPr>
            <w:hyperlink w:anchor="d42586dex991.htm">
              <w:r>
                <w:rPr>
                  <w:rStyle w:val="InternetLink"/>
                </w:rPr>
                <w:t xml:space="preserve">Press Release, dated February 27, 2026. </w:t>
              </w:r>
            </w:hyperlink>
          </w:p>
        </w:tc>
      </w:tr>
      <w:tr>
        <w:trPr/>
        <w:tc>
          <w:tcPr>
            <w:tcW w:w="567" w:type="dxa"/>
            <w:tcBorders/>
            <w:vAlign w:val="center"/>
          </w:tcPr>
          <w:p>
            <w:pPr>
              <w:pStyle w:val="TableContents"/>
              <w:bidi w:val="0"/>
              <w:spacing w:before="0" w:after="283"/>
              <w:jc w:val="left"/>
              <w:rPr>
                <w:sz w:val="4"/>
                <w:szCs w:val="4"/>
              </w:rPr>
            </w:pPr>
            <w:r>
              <w:rPr>
                <w:sz w:val="4"/>
                <w:szCs w:val="4"/>
              </w:rPr>
            </w:r>
          </w:p>
        </w:tc>
        <w:tc>
          <w:tcPr>
            <w:tcW w:w="9638" w:type="dxa"/>
            <w:gridSpan w:val="2"/>
            <w:tcBorders/>
            <w:vAlign w:val="center"/>
          </w:tcPr>
          <w:p>
            <w:pPr>
              <w:pStyle w:val="TableContents"/>
              <w:bidi w:val="0"/>
              <w:spacing w:before="0" w:after="283"/>
              <w:jc w:val="left"/>
              <w:rPr>
                <w:sz w:val="4"/>
                <w:szCs w:val="4"/>
              </w:rPr>
            </w:pPr>
            <w:r>
              <w:rPr>
                <w:sz w:val="4"/>
                <w:szCs w:val="4"/>
              </w:rPr>
            </w:r>
          </w:p>
        </w:tc>
      </w:tr>
      <w:tr>
        <w:trPr/>
        <w:tc>
          <w:tcPr>
            <w:tcW w:w="567"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518" w:type="dxa"/>
            <w:tcBorders/>
            <w:vAlign w:val="center"/>
          </w:tcPr>
          <w:p>
            <w:pPr>
              <w:pStyle w:val="TableContents"/>
              <w:bidi w:val="0"/>
              <w:spacing w:before="0" w:after="283"/>
              <w:jc w:val="left"/>
              <w:rPr/>
            </w:pPr>
            <w:hyperlink w:anchor="d42586dex992.htm">
              <w:r>
                <w:rPr>
                  <w:rStyle w:val="InternetLink"/>
                </w:rPr>
                <w:t xml:space="preserve">Placement Agent Agreement, dated February 27, 2026, between the Company and Cohen &amp; Company Capital Markets, a division of Cohen &amp; Company Securities, LLC. </w:t>
              </w:r>
            </w:hyperlink>
          </w:p>
        </w:tc>
      </w:tr>
      <w:tr>
        <w:trPr/>
        <w:tc>
          <w:tcPr>
            <w:tcW w:w="567" w:type="dxa"/>
            <w:tcBorders/>
            <w:vAlign w:val="center"/>
          </w:tcPr>
          <w:p>
            <w:pPr>
              <w:pStyle w:val="TableContents"/>
              <w:bidi w:val="0"/>
              <w:spacing w:before="0" w:after="283"/>
              <w:jc w:val="left"/>
              <w:rPr>
                <w:sz w:val="4"/>
                <w:szCs w:val="4"/>
              </w:rPr>
            </w:pPr>
            <w:r>
              <w:rPr>
                <w:sz w:val="4"/>
                <w:szCs w:val="4"/>
              </w:rPr>
            </w:r>
          </w:p>
        </w:tc>
        <w:tc>
          <w:tcPr>
            <w:tcW w:w="9638" w:type="dxa"/>
            <w:gridSpan w:val="2"/>
            <w:tcBorders/>
            <w:vAlign w:val="center"/>
          </w:tcPr>
          <w:p>
            <w:pPr>
              <w:pStyle w:val="TableContents"/>
              <w:bidi w:val="0"/>
              <w:spacing w:before="0" w:after="283"/>
              <w:jc w:val="left"/>
              <w:rPr>
                <w:sz w:val="4"/>
                <w:szCs w:val="4"/>
              </w:rPr>
            </w:pPr>
            <w:r>
              <w:rPr>
                <w:sz w:val="4"/>
                <w:szCs w:val="4"/>
              </w:rPr>
            </w:r>
          </w:p>
        </w:tc>
      </w:tr>
      <w:tr>
        <w:trPr/>
        <w:tc>
          <w:tcPr>
            <w:tcW w:w="567"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18"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personally identifiable information has been omitted from this exhibit pursuant to Item 601(a)(6) of Regulation S-K.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116" w:type="dxa"/>
        <w:jc w:val="left"/>
        <w:tblInd w:w="0" w:type="dxa"/>
        <w:tblLayout w:type="fixed"/>
        <w:tblCellMar>
          <w:top w:w="0" w:type="dxa"/>
          <w:left w:w="0" w:type="dxa"/>
          <w:bottom w:w="0" w:type="dxa"/>
          <w:right w:w="0" w:type="dxa"/>
        </w:tblCellMar>
      </w:tblPr>
      <w:tblGrid>
        <w:gridCol w:w="627"/>
        <w:gridCol w:w="990"/>
        <w:gridCol w:w="381"/>
        <w:gridCol w:w="60"/>
        <w:gridCol w:w="23"/>
        <w:gridCol w:w="60"/>
        <w:gridCol w:w="2975"/>
      </w:tblGrid>
      <w:tr>
        <w:trPr/>
        <w:tc>
          <w:tcPr>
            <w:tcW w:w="62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b/>
              </w:rPr>
            </w:pPr>
            <w:r>
              <w:rPr>
                <w:b/>
              </w:rPr>
              <w:t>BAKKT, INC.</w:t>
            </w:r>
          </w:p>
        </w:tc>
      </w:tr>
      <w:tr>
        <w:trPr/>
        <w:tc>
          <w:tcPr>
            <w:tcW w:w="1998" w:type="dxa"/>
            <w:gridSpan w:val="3"/>
            <w:tcBorders/>
            <w:vAlign w:val="center"/>
          </w:tcPr>
          <w:p>
            <w:pPr>
              <w:pStyle w:val="TableContents"/>
              <w:bidi w:val="0"/>
              <w:spacing w:before="0" w:after="283"/>
              <w:jc w:val="left"/>
              <w:rPr/>
            </w:pPr>
            <w:r>
              <w:rPr/>
              <w:t>Date: March 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sz w:val="4"/>
                <w:szCs w:val="4"/>
              </w:rPr>
            </w:pPr>
            <w:r>
              <w:rPr>
                <w:sz w:val="4"/>
                <w:szCs w:val="4"/>
              </w:rPr>
            </w:r>
          </w:p>
        </w:tc>
        <w:tc>
          <w:tcPr>
            <w:tcW w:w="1371"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035" w:type="dxa"/>
            <w:gridSpan w:val="2"/>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D’Annunzio</w:t>
            </w:r>
          </w:p>
        </w:tc>
      </w:tr>
      <w:tr>
        <w:trPr/>
        <w:tc>
          <w:tcPr>
            <w:tcW w:w="62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Name: Marc D’Annunzio</w:t>
            </w:r>
          </w:p>
        </w:tc>
      </w:tr>
      <w:tr>
        <w:trPr/>
        <w:tc>
          <w:tcPr>
            <w:tcW w:w="62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General Counsel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2" w:name="d42586dex41.htm"/>
      <w:bookmarkStart w:id="3" w:name="ksd42586dex41"/>
      <w:bookmarkEnd w:id="2"/>
      <w:bookmarkEnd w:id="3"/>
      <w:r>
        <w:rPr>
          <w:rFonts w:ascii="Times New Roman" w:hAnsi="Times New Roman"/>
          <w:b/>
          <w:sz w:val="20"/>
        </w:rPr>
        <w:t xml:space="preserve">Exhibit 4.1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Certain personally identifiable information has been omitted from this exhibit pursuant to item 601(a)(6) of Regulation S-K. [***] indicates that information has been redacted.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PRE-FUNDED COMMON STOCK PURCHASE WARRANT </w:t>
      </w:r>
    </w:p>
    <w:p>
      <w:pPr>
        <w:pStyle w:val="TextBody"/>
        <w:bidi w:val="0"/>
        <w:spacing w:before="240" w:after="0"/>
        <w:jc w:val="center"/>
        <w:rPr>
          <w:rFonts w:ascii="Times New Roman" w:hAnsi="Times New Roman"/>
          <w:b/>
          <w:sz w:val="20"/>
        </w:rPr>
      </w:pPr>
      <w:r>
        <w:rPr>
          <w:rFonts w:ascii="Times New Roman" w:hAnsi="Times New Roman"/>
          <w:b/>
          <w:sz w:val="20"/>
        </w:rPr>
        <w:t xml:space="preserve">BAKKT, INC. </w:t>
      </w:r>
    </w:p>
    <w:p>
      <w:pPr>
        <w:pStyle w:val="TextBody"/>
        <w:bidi w:val="0"/>
        <w:spacing w:before="240" w:after="0"/>
        <w:jc w:val="left"/>
        <w:rPr>
          <w:rFonts w:ascii="Times New Roman" w:hAnsi="Times New Roman"/>
          <w:sz w:val="20"/>
        </w:rPr>
      </w:pPr>
      <w:r>
        <w:rPr>
          <w:rFonts w:ascii="Times New Roman" w:hAnsi="Times New Roman"/>
          <w:sz w:val="20"/>
        </w:rPr>
        <w:t xml:space="preserve">Warrant Shares: [●] </w:t>
      </w:r>
    </w:p>
    <w:p>
      <w:pPr>
        <w:pStyle w:val="TextBody"/>
        <w:bidi w:val="0"/>
        <w:spacing w:before="240" w:after="0"/>
        <w:jc w:val="left"/>
        <w:rPr>
          <w:rFonts w:ascii="Times New Roman" w:hAnsi="Times New Roman"/>
          <w:sz w:val="20"/>
        </w:rPr>
      </w:pPr>
      <w:r>
        <w:rPr>
          <w:rFonts w:ascii="Times New Roman" w:hAnsi="Times New Roman"/>
          <w:sz w:val="20"/>
        </w:rPr>
        <w:t>Date of Issuance: [●], 2026 (such date, the “</w:t>
      </w:r>
      <w:r>
        <w:rPr>
          <w:rFonts w:ascii="Times New Roman" w:hAnsi="Times New Roman"/>
          <w:b/>
          <w:i/>
          <w:sz w:val="20"/>
        </w:rPr>
        <w:t>Issue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Warrant No.: [●] </w:t>
      </w:r>
    </w:p>
    <w:p>
      <w:pPr>
        <w:pStyle w:val="TextBody"/>
        <w:bidi w:val="0"/>
        <w:spacing w:before="240" w:after="0"/>
        <w:jc w:val="left"/>
        <w:rPr>
          <w:rFonts w:ascii="Times New Roman" w:hAnsi="Times New Roman"/>
          <w:sz w:val="20"/>
        </w:rPr>
      </w:pPr>
      <w:r>
        <w:rPr>
          <w:rFonts w:ascii="Times New Roman" w:hAnsi="Times New Roman"/>
          <w:b/>
          <w:sz w:val="20"/>
        </w:rPr>
        <w:t xml:space="preserve">THIS PRE-FUNDED COMMON STOCK PURCHASE WARRANT </w:t>
      </w:r>
      <w:r>
        <w:rPr>
          <w:rFonts w:ascii="Times New Roman" w:hAnsi="Times New Roman"/>
          <w:sz w:val="20"/>
        </w:rPr>
        <w:t>(this “</w:t>
      </w:r>
      <w:r>
        <w:rPr>
          <w:rFonts w:ascii="Times New Roman" w:hAnsi="Times New Roman"/>
          <w:b/>
          <w:i/>
          <w:sz w:val="20"/>
        </w:rPr>
        <w:t>Warrant</w:t>
      </w:r>
      <w:r>
        <w:rPr>
          <w:rFonts w:ascii="Times New Roman" w:hAnsi="Times New Roman"/>
          <w:sz w:val="20"/>
        </w:rPr>
        <w:t>”) certifies that, for value received, the registered holder hereof or its permitted assigns (the “</w:t>
      </w:r>
      <w:r>
        <w:rPr>
          <w:rFonts w:ascii="Times New Roman" w:hAnsi="Times New Roman"/>
          <w:b/>
          <w:i/>
          <w:sz w:val="20"/>
        </w:rPr>
        <w:t>Holder</w:t>
      </w:r>
      <w:r>
        <w:rPr>
          <w:rFonts w:ascii="Times New Roman" w:hAnsi="Times New Roman"/>
          <w:sz w:val="20"/>
        </w:rPr>
        <w:t>”) is entitled, upon the terms and subject to the limitations on exercise and the conditions set forth herein, at any time on or after the Issue Date, to subscribe for and purchase from Bakkt, Inc., a Delaware corporation (the “</w:t>
      </w:r>
      <w:r>
        <w:rPr>
          <w:rFonts w:ascii="Times New Roman" w:hAnsi="Times New Roman"/>
          <w:b/>
          <w:i/>
          <w:sz w:val="20"/>
        </w:rPr>
        <w:t>Company</w:t>
      </w:r>
      <w:r>
        <w:rPr>
          <w:rFonts w:ascii="Times New Roman" w:hAnsi="Times New Roman"/>
          <w:sz w:val="20"/>
        </w:rPr>
        <w:t>”), up to [●] shares (as subject to adjustment hereunder, the “</w:t>
      </w:r>
      <w:r>
        <w:rPr>
          <w:rFonts w:ascii="Times New Roman" w:hAnsi="Times New Roman"/>
          <w:b/>
          <w:i/>
          <w:sz w:val="20"/>
        </w:rPr>
        <w:t>Warrant Shares</w:t>
      </w:r>
      <w:r>
        <w:rPr>
          <w:rFonts w:ascii="Times New Roman" w:hAnsi="Times New Roman"/>
          <w:sz w:val="20"/>
        </w:rPr>
        <w:t>”) of the Company’s Class A common stock, par value $0.0001 per share (“</w:t>
      </w:r>
      <w:r>
        <w:rPr>
          <w:rFonts w:ascii="Times New Roman" w:hAnsi="Times New Roman"/>
          <w:b/>
          <w:i/>
          <w:sz w:val="20"/>
        </w:rPr>
        <w:t>Common Stock</w:t>
      </w:r>
      <w:r>
        <w:rPr>
          <w:rFonts w:ascii="Times New Roman" w:hAnsi="Times New Roman"/>
          <w:sz w:val="20"/>
        </w:rPr>
        <w:t xml:space="preserve">”). The purchase price of one share of Common Stock under this Warrant shall be equal to the Exercise Price, as defined in </w:t>
      </w:r>
      <w:r>
        <w:rPr>
          <w:rFonts w:ascii="Times New Roman" w:hAnsi="Times New Roman"/>
          <w:sz w:val="20"/>
          <w:u w:val="single"/>
        </w:rPr>
        <w:t>Section 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Definitions.</w:t>
      </w:r>
      <w:r>
        <w:rPr>
          <w:rFonts w:ascii="Times New Roman" w:hAnsi="Times New Roman"/>
          <w:sz w:val="20"/>
        </w:rPr>
        <w:t xml:space="preserve"> For purposes of this Warrant, the following terms shall have the following meanings: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pPr>
            <w:r>
              <w:rPr/>
              <w:t>“</w:t>
            </w:r>
            <w:r>
              <w:rPr>
                <w:rFonts w:ascii="Times New Roman" w:hAnsi="Times New Roman"/>
                <w:b/>
                <w:i/>
                <w:sz w:val="20"/>
              </w:rPr>
              <w:t>Affiliate</w:t>
            </w:r>
            <w:r>
              <w:rPr>
                <w:rFonts w:ascii="Times New Roman" w:hAnsi="Times New Roman"/>
                <w:sz w:val="20"/>
              </w:rPr>
              <w:t>” means any Person that, directly or indirectly through one or more intermediaries, controls or is controlled by or is under common control with a Person, as such terms are used in and construed under Rule 405 under the Securities Act of 1933, as amended (the “</w:t>
            </w:r>
            <w:r>
              <w:rPr>
                <w:rFonts w:ascii="Times New Roman" w:hAnsi="Times New Roman"/>
                <w:b/>
                <w:i/>
                <w:sz w:val="20"/>
              </w:rPr>
              <w:t>Securities Act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pPr>
            <w:r>
              <w:rPr/>
              <w:t>“</w:t>
            </w:r>
            <w:r>
              <w:rPr>
                <w:rFonts w:ascii="Times New Roman" w:hAnsi="Times New Roman"/>
                <w:b/>
                <w:i/>
                <w:sz w:val="20"/>
              </w:rPr>
              <w:t>Bloomberg</w:t>
            </w:r>
            <w:r>
              <w:rPr>
                <w:rFonts w:ascii="Times New Roman" w:hAnsi="Times New Roman"/>
                <w:sz w:val="20"/>
              </w:rPr>
              <w:t xml:space="preserve">” means Bloomberg Financial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pPr>
            <w:r>
              <w:rPr/>
              <w:t>“</w:t>
            </w:r>
            <w:r>
              <w:rPr>
                <w:rFonts w:ascii="Times New Roman" w:hAnsi="Times New Roman"/>
                <w:b/>
                <w:i/>
                <w:sz w:val="20"/>
              </w:rPr>
              <w:t>Business Day</w:t>
            </w:r>
            <w:r>
              <w:rPr>
                <w:rFonts w:ascii="Times New Roman" w:hAnsi="Times New Roman"/>
                <w:sz w:val="20"/>
              </w:rPr>
              <w:t xml:space="preserve">” means any day except any Saturday, any Sunday, any day that is a federal legal holiday in the United States or any day on which the Trading Market is authorized or required by law or other governmental action to close.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pPr>
            <w:r>
              <w:rPr/>
              <w:t>“</w:t>
            </w:r>
            <w:r>
              <w:rPr>
                <w:rFonts w:ascii="Times New Roman" w:hAnsi="Times New Roman"/>
                <w:b/>
                <w:i/>
                <w:sz w:val="20"/>
              </w:rPr>
              <w:t>Common Stock Equivalent</w:t>
            </w:r>
            <w:r>
              <w:rPr>
                <w:rFonts w:ascii="Times New Roman" w:hAnsi="Times New Roman"/>
                <w:sz w:val="20"/>
              </w:rPr>
              <w:t xml:space="preserve">” means any security or obligation which is by its terms, directly or indirectly, convertible into or exchangeable or exercisable for shares of Common Stock, including, without limitation, any option, warrant or other subscription or purchase right with respect to Common Stock or any Common Stock Equivalent.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pPr>
            <w:r>
              <w:rPr/>
              <w:t>“</w:t>
            </w:r>
            <w:r>
              <w:rPr>
                <w:rFonts w:ascii="Times New Roman" w:hAnsi="Times New Roman"/>
                <w:b/>
                <w:i/>
                <w:sz w:val="20"/>
              </w:rPr>
              <w:t>Person</w:t>
            </w:r>
            <w:r>
              <w:rPr>
                <w:rFonts w:ascii="Times New Roman" w:hAnsi="Times New Roman"/>
                <w:sz w:val="20"/>
              </w:rPr>
              <w:t xml:space="preserve">” means an individual, a limited liability company, a partnership, a joint venture, a corporation, a trust, an unincorporated organization, any other entity and a government or any department or agency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pPr>
            <w:r>
              <w:rPr/>
              <w:t>“</w:t>
            </w:r>
            <w:r>
              <w:rPr>
                <w:rFonts w:ascii="Times New Roman" w:hAnsi="Times New Roman"/>
                <w:b/>
                <w:i/>
                <w:sz w:val="20"/>
              </w:rPr>
              <w:t>Registration Statement</w:t>
            </w:r>
            <w:r>
              <w:rPr>
                <w:rFonts w:ascii="Times New Roman" w:hAnsi="Times New Roman"/>
                <w:sz w:val="20"/>
              </w:rPr>
              <w:t xml:space="preserve">” means the Company’s Registration Statement on Form S-3 (File No. 333-288361), declared effective on July 3,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pPr>
            <w:r>
              <w:rPr/>
              <w:t>“</w:t>
            </w:r>
            <w:r>
              <w:rPr>
                <w:rFonts w:ascii="Times New Roman" w:hAnsi="Times New Roman"/>
                <w:b/>
                <w:i/>
                <w:sz w:val="20"/>
              </w:rPr>
              <w:t>Standard Settlement Period</w:t>
            </w:r>
            <w:r>
              <w:rPr>
                <w:rFonts w:ascii="Times New Roman" w:hAnsi="Times New Roman"/>
                <w:sz w:val="20"/>
              </w:rPr>
              <w:t xml:space="preserve">” means the standard settlement period, expressed in a number of Trading Days, for the Company’s primary trading market or quotation system with respect to the Common Stock that is in effect on the date of delivery of an applicable exercise notice, which as of the Issue Date was “T+1”.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pPr>
            <w:r>
              <w:rPr/>
              <w:t>“</w:t>
            </w:r>
            <w:r>
              <w:rPr>
                <w:rFonts w:ascii="Times New Roman" w:hAnsi="Times New Roman"/>
                <w:b/>
                <w:i/>
                <w:sz w:val="20"/>
              </w:rPr>
              <w:t>Trading Day</w:t>
            </w:r>
            <w:r>
              <w:rPr>
                <w:rFonts w:ascii="Times New Roman" w:hAnsi="Times New Roman"/>
                <w:sz w:val="20"/>
              </w:rPr>
              <w:t xml:space="preserve">” means any day on which the Common Stock is traded on the Trading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89" w:type="dxa"/>
            <w:tcBorders/>
          </w:tcPr>
          <w:p>
            <w:pPr>
              <w:pStyle w:val="TableContents"/>
              <w:bidi w:val="0"/>
              <w:spacing w:before="0" w:after="0"/>
              <w:jc w:val="left"/>
              <w:rPr/>
            </w:pPr>
            <w:r>
              <w:rPr/>
              <w:t>“</w:t>
            </w:r>
            <w:r>
              <w:rPr>
                <w:rFonts w:ascii="Times New Roman" w:hAnsi="Times New Roman"/>
                <w:b/>
                <w:i/>
                <w:sz w:val="20"/>
              </w:rPr>
              <w:t>Trading Market</w:t>
            </w:r>
            <w:r>
              <w:rPr>
                <w:rFonts w:ascii="Times New Roman" w:hAnsi="Times New Roman"/>
                <w:sz w:val="20"/>
              </w:rPr>
              <w:t xml:space="preserve">” means the principal securities exchange or securities market, including an over-the-counter market, on which the Common Stock is then traded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(k)</w:t>
            </w:r>
          </w:p>
        </w:tc>
        <w:tc>
          <w:tcPr>
            <w:tcW w:w="9289" w:type="dxa"/>
            <w:tcBorders/>
          </w:tcPr>
          <w:p>
            <w:pPr>
              <w:pStyle w:val="TableContents"/>
              <w:bidi w:val="0"/>
              <w:spacing w:before="0" w:after="0"/>
              <w:jc w:val="left"/>
              <w:rPr/>
            </w:pPr>
            <w:r>
              <w:rPr/>
              <w:t>“</w:t>
            </w:r>
            <w:r>
              <w:rPr>
                <w:rFonts w:ascii="Times New Roman" w:hAnsi="Times New Roman"/>
                <w:b/>
                <w:i/>
                <w:sz w:val="20"/>
              </w:rPr>
              <w:t>Warrant Agent</w:t>
            </w:r>
            <w:r>
              <w:rPr>
                <w:rFonts w:ascii="Times New Roman" w:hAnsi="Times New Roman"/>
                <w:sz w:val="20"/>
              </w:rPr>
              <w:t xml:space="preserve">” means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(l)</w:t>
            </w:r>
          </w:p>
        </w:tc>
        <w:tc>
          <w:tcPr>
            <w:tcW w:w="9290" w:type="dxa"/>
            <w:tcBorders/>
          </w:tcPr>
          <w:p>
            <w:pPr>
              <w:pStyle w:val="TableContents"/>
              <w:bidi w:val="0"/>
              <w:spacing w:before="0" w:after="0"/>
              <w:jc w:val="left"/>
              <w:rPr/>
            </w:pPr>
            <w:r>
              <w:rPr/>
              <w:t>“</w:t>
            </w:r>
            <w:r>
              <w:rPr>
                <w:rFonts w:ascii="Times New Roman" w:hAnsi="Times New Roman"/>
                <w:b/>
                <w:i/>
                <w:sz w:val="20"/>
              </w:rPr>
              <w:t>Weighted Average Price</w:t>
            </w:r>
            <w:r>
              <w:rPr>
                <w:rFonts w:ascii="Times New Roman" w:hAnsi="Times New Roman"/>
                <w:sz w:val="20"/>
              </w:rPr>
              <w:t xml:space="preserve">” means, for any security as of any date, the dollar volume-weighted average price for such security on the Trading Market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published by OTC Markets Group, Inc. (or a similar organization or agency succeeding to its functions of reporting prices). If the Weighted Average Price cannot be calculated for such security on such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w:t>
            </w:r>
            <w:r>
              <w:rPr>
                <w:rFonts w:ascii="Times New Roman" w:hAnsi="Times New Roman"/>
                <w:sz w:val="20"/>
                <w:u w:val="single"/>
              </w:rPr>
              <w:t>Section 6(m)</w:t>
            </w:r>
            <w:r>
              <w:rPr>
                <w:rFonts w:ascii="Times New Roman" w:hAnsi="Times New Roman"/>
                <w:sz w:val="20"/>
              </w:rPr>
              <w:t xml:space="preserve"> with the term “Weighted Average Price” being substituted for the term “Exercise Price.” All such determinations shall be appropriately adjusted for any stock dividend, stock split, stock combination or other similar transaction during such period pursuant to </w:t>
            </w:r>
            <w:r>
              <w:rPr>
                <w:rFonts w:ascii="Times New Roman" w:hAnsi="Times New Roman"/>
                <w:sz w:val="20"/>
                <w:u w:val="single"/>
              </w:rPr>
              <w:t>Section 4</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Issuance of Securities; Registration of Warrants.</w:t>
      </w:r>
      <w:r>
        <w:rPr>
          <w:rFonts w:ascii="Times New Roman" w:hAnsi="Times New Roman"/>
          <w:sz w:val="20"/>
        </w:rPr>
        <w:t xml:space="preserve"> This Warrant, as initially issued by the Company, is offered and sold pursuant to the Registration Statement. As of the Issue Date, the Warrant Shares are issuable under the Registration Statement. Accordingly, the Warrant and, assuming issuance pursuant to the Registration Statement or an exchange meeting the requirements of Section 3(a)(9) of the Securities Act, the Warrant Shares are not “restricted securities” under Rule 144 promulgated under the Securities Act as in effect on the Issue Date. The Company shall register ownership of this Warrant upon records to be maintained by the Warrant Agent for that purpose (the “</w:t>
      </w:r>
      <w:r>
        <w:rPr>
          <w:rFonts w:ascii="Times New Roman" w:hAnsi="Times New Roman"/>
          <w:b/>
          <w:i/>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Exercise.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Exercise of Warrant.</w:t>
            </w:r>
            <w:r>
              <w:rPr>
                <w:rFonts w:ascii="Times New Roman" w:hAnsi="Times New Roman"/>
                <w:sz w:val="20"/>
              </w:rPr>
              <w:t xml:space="preserve"> Subject to the terms and conditions hereof, the purchase rights represented by this Warrant may be exercised, in whole or in part, at any time or times on or after the Issue Date by delivery (whether via facsimile, e-mail or otherwise) to the Company (or such other office or agency of the Company as it may designate by notice in writing to the registered Holder at the address of the Holder appearing on the Warrant Register) of a duly executed copy of the Notice of Exercise form annexed hereto (the “</w:t>
            </w:r>
            <w:r>
              <w:rPr>
                <w:rFonts w:ascii="Times New Roman" w:hAnsi="Times New Roman"/>
                <w:b/>
                <w:i/>
                <w:sz w:val="20"/>
              </w:rPr>
              <w:t>Notice of Exercise</w:t>
            </w:r>
            <w:r>
              <w:rPr>
                <w:rFonts w:ascii="Times New Roman" w:hAnsi="Times New Roman"/>
                <w:sz w:val="20"/>
              </w:rPr>
              <w:t xml:space="preserve">”) and by payment to the Company of an amount equal to the aggregate Exercise Price of the Warrant Shares thereby purchased by wire transfer (or by notifying the Company that this Warrant is being exercised pursuant to a Cashless Exercise (as defined below) in accordance with </w:t>
            </w:r>
            <w:r>
              <w:rPr>
                <w:rFonts w:ascii="Times New Roman" w:hAnsi="Times New Roman"/>
                <w:sz w:val="20"/>
                <w:u w:val="single"/>
              </w:rPr>
              <w:t>Section 3(c)</w:t>
            </w:r>
            <w:r>
              <w:rPr>
                <w:rFonts w:ascii="Times New Roman" w:hAnsi="Times New Roman"/>
                <w:sz w:val="20"/>
              </w:rPr>
              <w:t xml:space="preserve"> hereof). The aggregate exercise price of this Warrant, except for the nominal $0.0001 per share, was pre-funded to the Company on or before the Issue Date, and consequently no additional consideration (other than the nominal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283"/>
              <w:jc w:val="left"/>
              <w:rPr/>
            </w:pPr>
            <w:r>
              <w:rPr/>
              <w:t>$0.0001 per share) shall be required to be paid by the Holder to effect any exercise of this Warrant. The Holder shall not be entitled to the return or refund of all, or any portion, of such pre-funded exercise price under any circumstance or for any reason whatsoever. The remaining unpaid exercise price per share of Common Stock under this Warrant shall be $0.0001, subject to adjustment hereunder (the “</w:t>
            </w:r>
            <w:r>
              <w:rPr>
                <w:b/>
                <w:i/>
              </w:rPr>
              <w:t>Exercise Price</w:t>
            </w:r>
            <w:r>
              <w:rPr/>
              <w:t xml:space="preserve">”). No ink-original Notice of Exercise shall be required, nor shall any medallion guarantee (or other type of guarantee or notarization) of any Notice of Exercise form be required. The Holder shall not be required to deliver the original Warrant in order to effect an exercise hereunder. Execution and delivery of the exercise notice shall have the same effect as cancellation of the original Warrant and issuance of a New Warrant (as defined below) evidencing the right to purchase the remaining number of Warrant Shares, if any. </w:t>
            </w:r>
            <w:r>
              <w:rPr>
                <w:b/>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Mechanics of Exercise.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Delivery of Warrant Shares Upon Exercise.</w:t>
            </w:r>
            <w:r>
              <w:rPr>
                <w:rFonts w:ascii="Times New Roman" w:hAnsi="Times New Roman"/>
                <w:sz w:val="20"/>
              </w:rPr>
              <w:t xml:space="preserve"> Upon exercise of this Warrant, the Company shall promptly (but in no event later than the number of Trading Days comprising the Standard Settlement Period): (1) credit such aggregate number of shares of Common Stock to which the Holder is entitled pursuant to such exercise to the Holder’s or its designee’s balance account with The Depository Trust Company (“</w:t>
            </w:r>
            <w:r>
              <w:rPr>
                <w:rFonts w:ascii="Times New Roman" w:hAnsi="Times New Roman"/>
                <w:b/>
                <w:i/>
                <w:sz w:val="20"/>
              </w:rPr>
              <w:t>DTC</w:t>
            </w:r>
            <w:r>
              <w:rPr>
                <w:rFonts w:ascii="Times New Roman" w:hAnsi="Times New Roman"/>
                <w:sz w:val="20"/>
              </w:rPr>
              <w:t>”) through its Deposit/Withdrawal At Custodian system provided that the transfer agent is then a participant in the DTC Fast Automated Securities Transfer Program (“</w:t>
            </w:r>
            <w:r>
              <w:rPr>
                <w:rFonts w:ascii="Times New Roman" w:hAnsi="Times New Roman"/>
                <w:b/>
                <w:i/>
                <w:sz w:val="20"/>
              </w:rPr>
              <w:t>FAST Program</w:t>
            </w:r>
            <w:r>
              <w:rPr>
                <w:rFonts w:ascii="Times New Roman" w:hAnsi="Times New Roman"/>
                <w:sz w:val="20"/>
              </w:rPr>
              <w:t xml:space="preserve">”) if there is an effective registration statement permitting the issuance of such Warrant Shares to or resale of such Warrant Shares by the Holder; or (2) otherwise issue such Warrant Shares in the name of the Holder or its designee in restricted book-entry form in the Company’s share register. This Warrant shall be deemed to have been exercised upon proper delivery of the Notice of Exercise and payment of the Exercise Price (or notification of Cashless Exercise) in accordance with the terms hereof.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(or notification of Cashless Exercise, if applicable) is received on the same Trading Day as the Notice of Exercise. The Company shall use its reasonable best efforts to maintain a transfer agent that is a participant in the FAST Program so long as this Warrant remains outstanding and exercisable. The Holder acknowledges that the Warrant Shares acquired upon the exercise of this Warrant, if issued in restricted book-entry form, will contain a customary legend to the effect that the Warrant Shares are not registered.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Delivery of New Warrant Upon Exercise.</w:t>
            </w:r>
            <w:r>
              <w:rPr>
                <w:rFonts w:ascii="Times New Roman" w:hAnsi="Times New Roman"/>
                <w:sz w:val="20"/>
              </w:rPr>
              <w:t xml:space="preserve">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Charges, Taxes and Expenses.</w:t>
            </w:r>
            <w:r>
              <w:rPr>
                <w:rFonts w:ascii="Times New Roman" w:hAnsi="Times New Roman"/>
                <w:sz w:val="20"/>
              </w:rPr>
              <w:t xml:space="preserve"> Issuance of Warrant Shares shall be made without charge to the Holder for any issue or transfer tax or other incidental expense in respect of the issuance of such shares, all of which taxes and expenses shall be paid by the Company, and such shares shall be issued in the name of the Holder or in such name or names as may be directed by the Holder;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certificates for Warrant Shares are to be issued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 xml:space="preserve">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any Notice of Exercise and all fees to the DTC (or another established clearing corporation performing similar functions) required for electronic delivery of the Warrant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Tax Treatment</w:t>
            </w:r>
            <w:r>
              <w:rPr>
                <w:rFonts w:ascii="Times New Roman" w:hAnsi="Times New Roman"/>
                <w:sz w:val="20"/>
              </w:rPr>
              <w:t xml:space="preserve">. The parties shall treat this Warrant as stock for federal and applicable state and local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Closing of Books.</w:t>
            </w:r>
            <w:r>
              <w:rPr>
                <w:rFonts w:ascii="Times New Roman" w:hAnsi="Times New Roman"/>
                <w:sz w:val="20"/>
              </w:rPr>
              <w:t xml:space="preserve"> The Company will not close its stockholder books or records in any manner which, to the knowledge of the Company, prevents the timely exercise of this Warrant pursuant to the terms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Cashless Exercise.</w:t>
            </w:r>
            <w:r>
              <w:rPr>
                <w:rFonts w:ascii="Times New Roman" w:hAnsi="Times New Roman"/>
                <w:sz w:val="20"/>
              </w:rPr>
              <w:t xml:space="preserve"> Notwithstanding anything contained herein to the contrary, the Holder may exercise this Warrant, whether in whole or in part, and in lieu of making the cash payment otherwise contemplated to be made to the Company upon such exercise in payment of the Exercise Price, by effecting a cashless exercise of this Warrant pursuant to which the Holder shall receive upon such cashless exercise the “Net Number” of Warrant Shares determined according to the following formula (a “</w:t>
            </w:r>
            <w:r>
              <w:rPr>
                <w:rFonts w:ascii="Times New Roman" w:hAnsi="Times New Roman"/>
                <w:b/>
                <w:i/>
                <w:sz w:val="20"/>
              </w:rPr>
              <w:t>Cashless Exercise</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1647825"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47825" cy="32385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foregoing formula: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total number of shares of Common Stock with respect to which this Warrant is then being exercised.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Weighted Average Price of the shares of Common Stock on the date immediately preceding the date of the Notice of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Exercise Price then in effect for the applicable Warrant Shares at the time of such exercise.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that a registration statement registering the issuance of the Warrant Shares is, for any reason, not effective at the time of exercise of this Warrant, then the Warrant may only be exercised through a cashless exercise, as set forth in this </w:t>
      </w:r>
      <w:r>
        <w:rPr>
          <w:rFonts w:ascii="Times New Roman" w:hAnsi="Times New Roman"/>
          <w:sz w:val="20"/>
          <w:u w:val="single"/>
        </w:rPr>
        <w:t>Section 3</w:t>
      </w:r>
      <w:r>
        <w:rPr>
          <w:rFonts w:ascii="Times New Roman" w:hAnsi="Times New Roman"/>
          <w:sz w:val="20"/>
        </w:rPr>
        <w:t xml:space="preserve">. In no event will the exercise of this Warrant be settled in cash.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Holder’s Exercise Limitations.</w:t>
            </w:r>
            <w:r>
              <w:rPr>
                <w:rFonts w:ascii="Times New Roman" w:hAnsi="Times New Roman"/>
                <w:sz w:val="20"/>
              </w:rPr>
              <w:t xml:space="preserve"> The Company shall not effect any exercise of this Warrant, and the Holder shall not have the right to exercise any portion of this Warrant, pursuant to </w:t>
            </w:r>
            <w:r>
              <w:rPr>
                <w:rFonts w:ascii="Times New Roman" w:hAnsi="Times New Roman"/>
                <w:sz w:val="20"/>
                <w:u w:val="single"/>
              </w:rPr>
              <w:t>Section 3</w:t>
            </w:r>
            <w:r>
              <w:rPr>
                <w:rFonts w:ascii="Times New Roman" w:hAnsi="Times New Roman"/>
                <w:sz w:val="20"/>
              </w:rPr>
              <w:t xml:space="preserve"> or otherwise, to the extent that after giving effect to such issuance after exercise as set forth on the applicable Notice of Exercise, the Holder (or any of such Holder’s Affiliates or any other Person who would be a beneficial owner of Common Stock beneficially owned by the Holder for purposes of Section 13(d) or Section 16 of the Exchange Act and the applicable rules and regulations of the United States Securities and Exchange Commission (the “</w:t>
            </w:r>
            <w:r>
              <w:rPr>
                <w:rFonts w:ascii="Times New Roman" w:hAnsi="Times New Roman"/>
                <w:b/>
                <w:i/>
                <w:sz w:val="20"/>
              </w:rPr>
              <w:t>Commission</w:t>
            </w:r>
            <w:r>
              <w:rPr>
                <w:rFonts w:ascii="Times New Roman" w:hAnsi="Times New Roman"/>
                <w:sz w:val="20"/>
              </w:rPr>
              <w:t>”), including any “group” of which the Holder is a member (the foregoing, “</w:t>
            </w:r>
            <w:r>
              <w:rPr>
                <w:rFonts w:ascii="Times New Roman" w:hAnsi="Times New Roman"/>
                <w:b/>
                <w:i/>
                <w:sz w:val="20"/>
              </w:rPr>
              <w:t>Attribution Parties</w:t>
            </w:r>
            <w:r>
              <w:rPr>
                <w:rFonts w:ascii="Times New Roman" w:hAnsi="Times New Roman"/>
                <w:sz w:val="20"/>
              </w:rPr>
              <w:t xml:space="preserve">”)), would beneficially own in excess of the Beneficial Ownership Limitation (as defined below). For purposes of the foregoing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w:t>
            </w:r>
            <w:r>
              <w:rPr>
                <w:u w:val="single"/>
              </w:rPr>
              <w:t>Section 3(d)</w:t>
            </w:r>
            <w:r>
              <w:rPr/>
              <w:t xml:space="preserv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In addition, a determination as to any group status as contemplated above shall be determined in accordance with Section 13(d) of the Exchange Act and the rules and regulations promulgated thereunder. For purposes of this </w:t>
            </w:r>
            <w:r>
              <w:rPr>
                <w:u w:val="single"/>
              </w:rPr>
              <w:t>Section 3(d)</w:t>
            </w:r>
            <w:r>
              <w:rPr/>
              <w:t>,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b/>
                <w:i/>
              </w:rPr>
              <w:t>Beneficial Ownership Limitation</w:t>
            </w:r>
            <w:r>
              <w:rPr/>
              <w:t xml:space="preserve">” shall be 9.90%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w:t>
            </w:r>
            <w:r>
              <w:rPr>
                <w:u w:val="single"/>
              </w:rPr>
              <w:t>Section 3(d)</w:t>
            </w:r>
            <w:r>
              <w:rPr/>
              <w:t xml:space="preserve">, provided that the Beneficial Ownership Limitation in no event exceeds 9.90% of the number of shares of the Common Stock outstanding immediately after giving effect to the issuance of shares of Common Stock upon exercise of this Warrant held by the Holder and the provisions of this </w:t>
            </w:r>
            <w:r>
              <w:rPr>
                <w:u w:val="single"/>
              </w:rPr>
              <w:t>Section 3(d)</w:t>
            </w:r>
            <w:r>
              <w:rPr/>
              <w:t xml:space="preserve"> shall continue to apply. Any increase in the Beneficial Ownership Limitation will not be effective until the 61st day after such notice is delivered to the Company. In the event that the issuance of Common Stock to the Holder upon exercise of this Warrant results in the Holder, together with the Attribution Parties, collectively being deemed to beneficially own, in the aggregate, more than the Beneficial Ownership Limitation, the number of shares so issued by which the aggregate Beneficial Ownership of the Holder and its Attribution Parties exceeds such limitation (the “</w:t>
            </w:r>
            <w:r>
              <w:rPr>
                <w:b/>
              </w:rPr>
              <w:t>Excess Shares</w:t>
            </w:r>
            <w:r>
              <w:rPr/>
              <w:t xml:space="preserve">”) shall be deemed null and void and shall be cancelled </w:t>
            </w:r>
            <w:r>
              <w:rPr>
                <w:i/>
              </w:rPr>
              <w:t>ab initio</w:t>
            </w:r>
            <w:r>
              <w:rPr/>
              <w:t xml:space="preserve">, and the Holder and/or the Attribution Parties shall not have the power to vote or to transfer the Excess Shares. As soon as reasonably practicable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after the issuance of the Excess Shares has been deemed null and void, the Company shall return to the Holder the exercise price paid by the Holder of the Excess Shares and the Holder shall return the Excess Share to the Company. The provisions of this paragraph shall be construed and implemented in a manner otherwise than in strict conformity with the terms of this </w:t>
            </w:r>
            <w:r>
              <w:rPr>
                <w:u w:val="single"/>
              </w:rPr>
              <w:t>Section 3(d)</w:t>
            </w:r>
            <w:r>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to the contrary contained in any section herein, the Company agrees to comply with any applicable rules of the Trading Market with respect to the issuance of the Warrant Shares to the Holder and to take any action required by such rules to issue such Warrant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Subdivision or Combination of Common Stock.</w:t>
            </w:r>
            <w:r>
              <w:rPr>
                <w:rFonts w:ascii="Times New Roman" w:hAnsi="Times New Roman"/>
                <w:sz w:val="20"/>
              </w:rPr>
              <w:t xml:space="preserve"> During such time as this Warrant is outstanding, if the Company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During such time as this Warrant is outstanding, if the Company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w:t>
            </w:r>
            <w:r>
              <w:rPr>
                <w:rFonts w:ascii="Times New Roman" w:hAnsi="Times New Roman"/>
                <w:sz w:val="20"/>
                <w:u w:val="single"/>
              </w:rPr>
              <w:t>Section 4(a)</w:t>
            </w:r>
            <w:r>
              <w:rPr>
                <w:rFonts w:ascii="Times New Roman" w:hAnsi="Times New Roman"/>
                <w:sz w:val="20"/>
              </w:rPr>
              <w:t xml:space="preserve"> shall become effective at the close of business on the date the subdivision or combination becomes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Subsequent Rights Offerings.</w:t>
            </w:r>
            <w:r>
              <w:rPr>
                <w:rFonts w:ascii="Times New Roman" w:hAnsi="Times New Roman"/>
                <w:sz w:val="20"/>
              </w:rPr>
              <w:t xml:space="preserve"> In addition to any adjustments pursuant to </w:t>
            </w:r>
            <w:r>
              <w:rPr>
                <w:rFonts w:ascii="Times New Roman" w:hAnsi="Times New Roman"/>
                <w:sz w:val="20"/>
                <w:u w:val="single"/>
              </w:rPr>
              <w:t>Section 4(a)</w:t>
            </w:r>
            <w:r>
              <w:rPr>
                <w:rFonts w:ascii="Times New Roman" w:hAnsi="Times New Roman"/>
                <w:sz w:val="20"/>
              </w:rPr>
              <w:t xml:space="preserve"> above, if during such time as this Warrant is outstanding the Company grants, issues or sells any rights to purchase stock, warrants, securities or other property, in each case pro rata to the record holders of any class of shares of Common Stock (the “</w:t>
            </w:r>
            <w:r>
              <w:rPr>
                <w:rFonts w:ascii="Times New Roman" w:hAnsi="Times New Roman"/>
                <w:b/>
                <w:i/>
                <w:sz w:val="20"/>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together with any Affiliates and Attribution Parties collectively beneficially owning in excess of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together with any Affiliates and Attribution Parties exceeding the Beneficial Ownership Limitation.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Pro Rata Distributions.</w:t>
            </w:r>
            <w:r>
              <w:rPr>
                <w:rFonts w:ascii="Times New Roman" w:hAnsi="Times New Roman"/>
                <w:sz w:val="20"/>
              </w:rPr>
              <w:t xml:space="preserve"> During such time as this Warrant is outstanding, if the Company shall declare or make any dividend or other distribution of its assets (or rights to acquire its assets) to holders of any class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as a result of a stock dividend covered by </w:t>
            </w:r>
            <w:r>
              <w:rPr>
                <w:rFonts w:ascii="Times New Roman" w:hAnsi="Times New Roman"/>
                <w:sz w:val="20"/>
                <w:u w:val="single"/>
              </w:rPr>
              <w:t>Section 4(a)</w:t>
            </w:r>
            <w:r>
              <w:rPr>
                <w:rFonts w:ascii="Times New Roman" w:hAnsi="Times New Roman"/>
                <w:sz w:val="20"/>
              </w:rPr>
              <w:t xml:space="preserve"> above) (a “</w:t>
            </w:r>
            <w:r>
              <w:rPr>
                <w:rFonts w:ascii="Times New Roman" w:hAnsi="Times New Roman"/>
                <w:b/>
                <w:i/>
                <w:sz w:val="20"/>
              </w:rPr>
              <w:t>Distribution</w:t>
            </w:r>
            <w:r>
              <w:rPr>
                <w:rFonts w:ascii="Times New Roman" w:hAnsi="Times New Roman"/>
                <w:sz w:val="20"/>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immediately before the date of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 would result in the Holder together with any Affiliates and Attribution Parties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either its right thereto would not result in the Holder together with any Affiliates and Attribution Parties exceeding the Beneficial Ownership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Fundamental Transaction.</w:t>
            </w:r>
            <w:r>
              <w:rPr>
                <w:rFonts w:ascii="Times New Roman" w:hAnsi="Times New Roman"/>
                <w:sz w:val="20"/>
              </w:rPr>
              <w:t xml:space="preserve"> If, at any time while this Warrant is outstanding (i) the Company, directly or indirectly, in one or more related transactions, effects any merger or consolidation of the Company with or into another Person, in which the Company is not the surviving entity or the stockholders of the Company immediately prior to such merger or consolidation do not own, directly or indirectly, at least 50% of the voting power of the surviving entity immediately after such merger or consolidation, (ii) the Company, directly or indirectly, effects any sale, lease, license, assignment, transfer, conveyance or other disposition to another Person of all or substantially all of its assets in one or a series of related transactions (provided that, for the avoidance of doubt, the sale by the Company of its loyalty and travel redemption business comprised of certain entities and any assets thereof shall not be deemed to be a sale or other disposition of all or substantially all of the Company’s assets), (iii) any direct or indirect purchase offer, tender offer or exchange offer (whether by the Company or another Person) is completed pursuant to which holders of capital stock who tender shares representing more than 50% of the voting power of the capital stock of the Company and the Company or such other Person, as applicable, accepts such tender for payment, (iv) the Company, directly or indirectly, in one or more related transactions,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4(a)</w:t>
            </w:r>
            <w:r>
              <w:rPr>
                <w:rFonts w:ascii="Times New Roman" w:hAnsi="Times New Roman"/>
                <w:sz w:val="20"/>
              </w:rPr>
              <w:t xml:space="preserve"> above) (in any such case, a “</w:t>
            </w:r>
            <w:r>
              <w:rPr>
                <w:rFonts w:ascii="Times New Roman" w:hAnsi="Times New Roman"/>
                <w:b/>
                <w:i/>
                <w:sz w:val="20"/>
              </w:rPr>
              <w:t>Fundamental Transaction</w:t>
            </w:r>
            <w:r>
              <w:rPr>
                <w:rFonts w:ascii="Times New Roman" w:hAnsi="Times New Roman"/>
                <w:sz w:val="20"/>
              </w:rPr>
              <w:t>”), then following such Fundamental Transaction the Holder shall receive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hAnsi="Times New Roman"/>
                <w:b/>
                <w:i/>
                <w:sz w:val="20"/>
              </w:rPr>
              <w:t>Alternate Consideration</w:t>
            </w:r>
            <w:r>
              <w:rPr>
                <w:rFonts w:ascii="Times New Roman" w:hAnsi="Times New Roman"/>
                <w:sz w:val="20"/>
              </w:rPr>
              <w:t xml:space="preserve">”). For purposes of any such exercise, the determination of the Exercise Price shall be appropriately adjusted to apply to such Alternate Consideration based on the amount of Alternate Consideration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Any such payment of such amount of such Alternate Consideration shall be made in the same form of consideration (whether securities, cash or property) as is given to the holders of Common Stock in such Fundamental Transaction, and if multiple forms of consideration are given, the consideration shall be paid to the Holder in the same proportion as such consideration is paid to the holders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4</w:t>
            </w:r>
            <w:r>
              <w:rPr>
                <w:rFonts w:ascii="Times New Roman" w:hAnsi="Times New Roman"/>
                <w:sz w:val="20"/>
              </w:rPr>
              <w:t xml:space="preserve"> shall be made to the nearest cent or the nearest whole share, as the case may be. For purposes of this </w:t>
            </w:r>
            <w:r>
              <w:rPr>
                <w:rFonts w:ascii="Times New Roman" w:hAnsi="Times New Roman"/>
                <w:sz w:val="20"/>
                <w:u w:val="single"/>
              </w:rPr>
              <w:t>Section 4,</w:t>
            </w:r>
            <w:r>
              <w:rPr>
                <w:rFonts w:ascii="Times New Roman" w:hAnsi="Times New Roman"/>
                <w:sz w:val="20"/>
              </w:rPr>
              <w:t xml:space="preserve"> any calculation of the number of shares of Common Stock deemed to be issued and outstanding as of a given date shall not include treasury shares,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Transfer of Warrant.</w:t>
      </w:r>
      <w:r>
        <w:rPr>
          <w:rFonts w:ascii="Times New Roman" w:hAnsi="Times New Roman"/>
          <w:sz w:val="20"/>
        </w:rPr>
        <w:t xml:space="preserve"> Subject to compliance with all applicable securities laws, the Company shall, or will cause its transfer agent to, register the transfer of all or any portion of this Warrant in the Warrant Register, upon surrender of this Warrant, together with a written assignment of this Warrant substantially in the form annexed hereto duly executed by the Holder, and payment for all applicable transfer taxes (if any) by the Holder. Upon any such registration or transfer, a new warrant to purchase Common Stock in substantially the form of this Warrant (any such new warrant, a “</w:t>
      </w:r>
      <w:r>
        <w:rPr>
          <w:rFonts w:ascii="Times New Roman" w:hAnsi="Times New Roman"/>
          <w:b/>
          <w:i/>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5</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Rights as Stockholder Until Exercise.</w:t>
            </w:r>
            <w:r>
              <w:rPr>
                <w:rFonts w:ascii="Times New Roman" w:hAnsi="Times New Roman"/>
                <w:sz w:val="20"/>
              </w:rPr>
              <w:t xml:space="preserve"> Except as expressly set forth in </w:t>
            </w:r>
            <w:r>
              <w:rPr>
                <w:rFonts w:ascii="Times New Roman" w:hAnsi="Times New Roman"/>
                <w:sz w:val="20"/>
                <w:u w:val="single"/>
              </w:rPr>
              <w:t>Section 4,</w:t>
            </w:r>
            <w:r>
              <w:rPr>
                <w:rFonts w:ascii="Times New Roman" w:hAnsi="Times New Roman"/>
                <w:sz w:val="20"/>
              </w:rPr>
              <w:t xml:space="preserve"> this Warrant does not entitle the Holder to any voting rights, dividends or other rights as a stockholder of the Company prior to the exercise hereof as set forth in </w:t>
            </w:r>
            <w:r>
              <w:rPr>
                <w:rFonts w:ascii="Times New Roman" w:hAnsi="Times New Roman"/>
                <w:sz w:val="20"/>
                <w:u w:val="single"/>
              </w:rPr>
              <w:t>Section 3.</w:t>
            </w:r>
            <w:r>
              <w:rPr>
                <w:rFonts w:ascii="Times New Roman" w:hAnsi="Times New Roman"/>
                <w:sz w:val="20"/>
              </w:rPr>
              <w:t xml:space="preserve">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Loss, Theft, Destruction or Mutilation of Warrant.</w:t>
            </w:r>
            <w:r>
              <w:rPr>
                <w:rFonts w:ascii="Times New Roman" w:hAnsi="Times New Roman"/>
                <w:sz w:val="20"/>
              </w:rPr>
              <w:t xml:space="preserve"> The Company covenants that upon receipt by the Company of evidence reasonably satisfactory to them of the loss, theft, destruction or mutilation of this Warrant or any stock certificate relating to the Warrant Shares, and in case of loss, theft or destruction, of indemnity or security reasonably satisfactory to it, and upon surrender and cancellation of such Warrant or stock certificate, if mutilated, the Company will make and deliver a new Warrant or stock certificate of like tenor and dated as of such cancellation, in lieu of such Warrant or stock certificate.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Saturdays, Sundays, Holidays, etc.</w:t>
            </w:r>
            <w:r>
              <w:rPr>
                <w:rFonts w:ascii="Times New Roman" w:hAnsi="Times New Roman"/>
                <w:sz w:val="20"/>
              </w:rPr>
              <w:t xml:space="preserve"> If the last or appointed day for the taking of any action or the expiration of any right required or granted herein shall not be a Business Day, then, such action may be taken or such right may be exercised on the next succeeding Business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Authorized Shares.</w:t>
            </w:r>
            <w:r>
              <w:rPr>
                <w:rFonts w:ascii="Times New Roman" w:hAnsi="Times New Roman"/>
                <w:sz w:val="20"/>
              </w:rPr>
              <w:t xml:space="preserve"> The Company covenants that, during the period the Warrant is outstanding, it will reserve from its authorized and unissued Common Stock a sufficient number of shares to provide for the issuance of the Warrant Shares upon the exercise of any purchase rights under this Warrant (without regard to any limitations on exercise contained herein).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its reasonable best efforts to obtain all such authorizations, exemptions or consents from any public regulatory body having jurisdiction thereof, as may be, necessary to enable the Company to perform its obligations under this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Governing Law</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Warrant shall be governed by, and construed in accordance with, the law of the State of New York without giving effect to any choice or conflict of law provision or rule (whether of the State of New York or any other jurisdiction) that would cause the application of the laws of any jurisdiction other than the State of New York.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 and the Holder irrevocably and unconditionally submits, for itself and its property, to the nonexclusive jurisdiction of the courts of the State of New York sitting in the Borough of Manhattan, New York and of the United States District Court of the Southern District of New York, and any appellate court from any thereof, in any action or proceeding arising out of or relating to this Warrant and the transactions contemplated herein, or for recognition or enforcement of any judgment, and each of the Company and the Holder irrevocably and unconditionally agrees that all claims in respect of any such action or proceeding may be heard and determined in such New York state court or, to the fullest extent permitted by applicable law, in such federal court. Each of the Company and the Holder hereto agrees that a final judgment in any such action or proceeding shall be conclusive and may be enforced in other jurisdictions by suit on the judgment or in any other manner provided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 and the Holder irrevocably and unconditionally waives, to the fullest extent permitted by applicable law, any objection that it may now or hereafter have to the laying of venue of any action or proceeding arising out of or relating to this Warrant and the transactions contemplated herein in any court referred to in </w:t>
            </w:r>
            <w:r>
              <w:rPr>
                <w:rFonts w:ascii="Times New Roman" w:hAnsi="Times New Roman"/>
                <w:sz w:val="20"/>
                <w:u w:val="single"/>
              </w:rPr>
              <w:t xml:space="preserve">Section 6(e)(ii) </w:t>
            </w:r>
            <w:r>
              <w:rPr>
                <w:rFonts w:ascii="Times New Roman" w:hAnsi="Times New Roman"/>
                <w:sz w:val="20"/>
              </w:rPr>
              <w:t xml:space="preserve">hereof. Each of the Company and the Holder hereby irrevocably waives, to the fullest extent permitted by applicable law, the defense of an inconvenient forum to the maintenance of such action or proceeding in any such court.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 AND THE HOLDER HEREBY IRREVOCABLY WAIVES, TO THE FULLEST EXTENT PERMITTED BY APPLICABLE LAW, ANY RIGHT IT MAY HAVE TO A TRIAL BY JURY IN ANY LEGAL PROCEEDING DIRECTLY OR INDIRECTLY ARISING OUT OF OR RELATING TO THIS WARRANT OR THE TRANSACTIONS CONTEMPLATED HEREBY (WHETHER BASED ON CONTRACT, TORT OR ANY OTHER THEORY). EACH OF THE COMPANY AND THE HOLDER (A) CERTIFIES THAT NO REPRESENTATIVE, AGENT OR ATTORNEY OF ANY OTHER PERSON HAS REPRESENTED, EXPRESSLY OR OTHERWISE, THAT SUCH OTHER PERSON WOULD NOT, IN THE EVENT OF LITIGATION, SEEK TO ENFORCE THE FOREGOING WAIVER AND (B) ACKNOWLEDGES THAT EACH OF THE COMPANY AND THE HOLDER HAS BEEN INDUCED TO ENTER INTO THIS WARRANT BY, AMONG OTHER THINGS, THE MUTUAL WAIVERS AND CERTIFICATIONS IN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Nonwaiver and Expenses.</w:t>
            </w:r>
            <w:r>
              <w:rPr>
                <w:rFonts w:ascii="Times New Roman" w:hAnsi="Times New Roman"/>
                <w:sz w:val="20"/>
              </w:rPr>
              <w:t xml:space="preserve"> No course of dealing or any delay or failure to exercise any right hereunder on the part of the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 Procedures.</w:t>
            </w:r>
            <w:r>
              <w:rPr>
                <w:rFonts w:ascii="Times New Roman" w:hAnsi="Times New Roman"/>
                <w:sz w:val="20"/>
              </w:rPr>
              <w:t xml:space="preserve"> Any and all notices or other communications or deliveries required or permitted to be provided hereunder shall be in writing and shall be deemed given and effective on the earliest of: (a) the date of transmission, if such notice or communication is delivered via email or facsimile at or prior to 5:30 p.m. (New York City time) on a Trading Day, (b) the next Trading Day after the date of transmission, if such notice or communication is delivered via email or facsimile on a day that is not a Trading Day or later than 5:30 p.m. (New York City time) on any Trading Day, (c) the second Trading Day following the date of mailing, if sent by U.S. nationally recognized overnight courier service or by International Federal Express, (d) the third Trading Day following the date of mailing if sent by first-class registered or certified mail domestic, or (e) upon actual receipt by the party to whom such notice is required to be given. The addresses for such communications shall be: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Bakkt, Inc. </w:t>
      </w:r>
    </w:p>
    <w:p>
      <w:pPr>
        <w:pStyle w:val="TextBody"/>
        <w:bidi w:val="0"/>
        <w:spacing w:before="0" w:after="0"/>
        <w:jc w:val="left"/>
        <w:rPr>
          <w:rFonts w:ascii="Times New Roman" w:hAnsi="Times New Roman"/>
          <w:sz w:val="20"/>
        </w:rPr>
      </w:pPr>
      <w:r>
        <w:rPr>
          <w:rFonts w:ascii="Times New Roman" w:hAnsi="Times New Roman"/>
          <w:sz w:val="20"/>
        </w:rPr>
        <w:t xml:space="preserve">One Liberty Plaza, One Liberty Street, Suite 305-306 </w:t>
      </w:r>
    </w:p>
    <w:p>
      <w:pPr>
        <w:pStyle w:val="TextBody"/>
        <w:bidi w:val="0"/>
        <w:spacing w:before="0" w:after="0"/>
        <w:jc w:val="left"/>
        <w:rPr>
          <w:rFonts w:ascii="Times New Roman" w:hAnsi="Times New Roman"/>
          <w:sz w:val="20"/>
        </w:rPr>
      </w:pPr>
      <w:r>
        <w:rPr>
          <w:rFonts w:ascii="Times New Roman" w:hAnsi="Times New Roman"/>
          <w:sz w:val="20"/>
        </w:rPr>
        <w:t xml:space="preserve">New York, NY 10006 </w:t>
      </w:r>
    </w:p>
    <w:p>
      <w:pPr>
        <w:pStyle w:val="TextBody"/>
        <w:bidi w:val="0"/>
        <w:spacing w:before="0" w:after="0"/>
        <w:jc w:val="left"/>
        <w:rPr>
          <w:rFonts w:ascii="Times New Roman" w:hAnsi="Times New Roman"/>
          <w:sz w:val="20"/>
        </w:rPr>
      </w:pPr>
      <w:r>
        <w:rPr>
          <w:rFonts w:ascii="Times New Roman" w:hAnsi="Times New Roman"/>
          <w:sz w:val="20"/>
        </w:rPr>
        <w:t xml:space="preserve">Attention: Marc D’Annunzio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copy to: </w:t>
      </w:r>
    </w:p>
    <w:p>
      <w:pPr>
        <w:pStyle w:val="TextBody"/>
        <w:bidi w:val="0"/>
        <w:spacing w:before="120" w:after="0"/>
        <w:jc w:val="left"/>
        <w:rPr>
          <w:rFonts w:ascii="Times New Roman" w:hAnsi="Times New Roman"/>
          <w:sz w:val="20"/>
        </w:rPr>
      </w:pPr>
      <w:r>
        <w:rPr>
          <w:rFonts w:ascii="Times New Roman" w:hAnsi="Times New Roman"/>
          <w:sz w:val="20"/>
        </w:rPr>
        <w:t xml:space="preserve">Sullivan &amp; Cromwell LLP </w:t>
      </w:r>
    </w:p>
    <w:p>
      <w:pPr>
        <w:pStyle w:val="TextBody"/>
        <w:bidi w:val="0"/>
        <w:spacing w:before="0" w:after="0"/>
        <w:jc w:val="left"/>
        <w:rPr>
          <w:rFonts w:ascii="Times New Roman" w:hAnsi="Times New Roman"/>
          <w:sz w:val="20"/>
        </w:rPr>
      </w:pPr>
      <w:r>
        <w:rPr>
          <w:rFonts w:ascii="Times New Roman" w:hAnsi="Times New Roman"/>
          <w:sz w:val="20"/>
        </w:rPr>
        <w:t xml:space="preserve">125 Broad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NY 10004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Attention: Jared Fishman </w:t>
      </w:r>
    </w:p>
    <w:p>
      <w:pPr>
        <w:pStyle w:val="TextBody"/>
        <w:bidi w:val="0"/>
        <w:spacing w:before="0" w:after="0"/>
        <w:jc w:val="left"/>
        <w:rPr>
          <w:rFonts w:ascii="Times New Roman" w:hAnsi="Times New Roman"/>
          <w:sz w:val="20"/>
        </w:rPr>
      </w:pPr>
      <w:r>
        <w:rPr>
          <w:rFonts w:ascii="Times New Roman" w:hAnsi="Times New Roman"/>
          <w:sz w:val="20"/>
        </w:rPr>
        <w:t xml:space="preserve">Matt Goodman </w:t>
      </w:r>
    </w:p>
    <w:p>
      <w:pPr>
        <w:pStyle w:val="TextBody"/>
        <w:bidi w:val="0"/>
        <w:spacing w:before="0" w:after="0"/>
        <w:jc w:val="left"/>
        <w:rPr>
          <w:rFonts w:ascii="Times New Roman" w:hAnsi="Times New Roman"/>
          <w:sz w:val="20"/>
        </w:rPr>
      </w:pPr>
      <w:r>
        <w:rPr>
          <w:rFonts w:ascii="Times New Roman" w:hAnsi="Times New Roman"/>
          <w:sz w:val="20"/>
        </w:rPr>
        <w:t xml:space="preserve">Mario Schollmeyer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If to the Holder: </w:t>
      </w:r>
    </w:p>
    <w:p>
      <w:pPr>
        <w:pStyle w:val="TextBody"/>
        <w:bidi w:val="0"/>
        <w:spacing w:before="120" w:after="0"/>
        <w:jc w:val="left"/>
        <w:rPr>
          <w:rFonts w:ascii="Times New Roman" w:hAnsi="Times New Roman"/>
          <w:sz w:val="20"/>
        </w:rPr>
      </w:pPr>
      <w:r>
        <w:rPr>
          <w:rFonts w:ascii="Times New Roman" w:hAnsi="Times New Roman"/>
          <w:sz w:val="20"/>
        </w:rPr>
        <w:t xml:space="preserve">To the address, email address or facsimile number set forth in the Warrant Register, or as otherwise provided by the Holder to the Company in accordance with this </w:t>
      </w:r>
      <w:r>
        <w:rPr>
          <w:rFonts w:ascii="Times New Roman" w:hAnsi="Times New Roman"/>
          <w:sz w:val="20"/>
          <w:u w:val="single"/>
        </w:rPr>
        <w:t>Section 6(g)(i)</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Adjustment to Exercise Price.</w:t>
            </w:r>
            <w:r>
              <w:rPr>
                <w:rFonts w:ascii="Times New Roman" w:hAnsi="Times New Roman"/>
                <w:sz w:val="20"/>
              </w:rPr>
              <w:t xml:space="preserve"> Whenever the Exercise Price or number of Warrant Shares is adjusted pursuant to any provision of </w:t>
            </w:r>
            <w:r>
              <w:rPr>
                <w:rFonts w:ascii="Times New Roman" w:hAnsi="Times New Roman"/>
                <w:sz w:val="20"/>
                <w:u w:val="single"/>
              </w:rPr>
              <w:t>Section 4,</w:t>
            </w:r>
            <w:r>
              <w:rPr>
                <w:rFonts w:ascii="Times New Roman" w:hAnsi="Times New Roman"/>
                <w:sz w:val="20"/>
              </w:rPr>
              <w:t xml:space="preserve"> the Company shall promptly provide the Holder a notice setting forth the Company’s good faith adjustment of the Exercise Price and number of Warrant Shares after such adjustment and setting forth a description of the transactions giving rise to such adjustments and a detailed statement of the facts upon which such adjustment is based.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 to Allow Exercise by the Holder.</w:t>
            </w:r>
            <w:r>
              <w:rPr>
                <w:rFonts w:ascii="Times New Roman" w:hAnsi="Times New Roman"/>
                <w:sz w:val="20"/>
              </w:rPr>
              <w:t xml:space="preserve"> After the Issue Date, if (A) the Company shall declare a dividend (or any other distribution in whatever form) on the Common Stock, including any Distribution,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including any Purchase Right,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including any Fundamental Transaction, or (E) the Company shall authorize the voluntary or involuntary dissolution, liquidation or winding up of the affairs of the Company, then, in each case, the Company shall cause to be mailed to the Holder at its last address as it shall appear upon the Warrant Register, at least ten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 w:hAnsi="Times New Roman"/>
                <w:i/>
                <w:sz w:val="20"/>
              </w:rPr>
              <w:t xml:space="preserve">provided </w:t>
            </w:r>
            <w:r>
              <w:rPr>
                <w:rFonts w:ascii="Times New Roman" w:hAnsi="Times New Roman"/>
                <w:sz w:val="20"/>
              </w:rPr>
              <w:t xml:space="preserve">that the failure to mail such notice or any defect therein or in the mailing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Limitation of Liability.</w:t>
            </w:r>
            <w:r>
              <w:rPr>
                <w:rFonts w:ascii="Times New Roman" w:hAnsi="Times New Roman"/>
                <w:sz w:val="20"/>
              </w:rPr>
              <w:t xml:space="preserve">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Remedies.</w:t>
            </w:r>
            <w:r>
              <w:rPr>
                <w:rFonts w:ascii="Times New Roman" w:hAnsi="Times New Roman"/>
                <w:sz w:val="20"/>
              </w:rPr>
              <w:t xml:space="preserve">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Without limiting any rights of a Holder to receive Warrant Shares on a “cashless exercise” pursuant to </w:t>
            </w:r>
            <w:r>
              <w:rPr>
                <w:rFonts w:ascii="Times New Roman" w:hAnsi="Times New Roman"/>
                <w:sz w:val="20"/>
                <w:u w:val="single"/>
              </w:rPr>
              <w:t>Section 3(c)</w:t>
            </w:r>
            <w:r>
              <w:rPr>
                <w:rFonts w:ascii="Times New Roman" w:hAnsi="Times New Roman"/>
                <w:sz w:val="20"/>
              </w:rPr>
              <w:t xml:space="preserve"> herein, in no event shall the Company be required to net cash settle an exercise of this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(j)</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Successors and Assigns.</w:t>
            </w:r>
            <w:r>
              <w:rPr>
                <w:rFonts w:ascii="Times New Roman" w:hAnsi="Times New Roman"/>
                <w:sz w:val="20"/>
              </w:rPr>
              <w:t xml:space="preserve">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any Holder from time to time of this Warrant and shall be enforceable by the Holder or holder of Warrant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(k)</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Amendment.</w:t>
            </w:r>
            <w:r>
              <w:rPr>
                <w:rFonts w:ascii="Times New Roman" w:hAnsi="Times New Roman"/>
                <w:sz w:val="20"/>
              </w:rPr>
              <w:t xml:space="preserve"> This Warrant may be modified or amended or the provisions hereof waived with the written consent of the Company and the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(l)</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Severability.</w:t>
            </w:r>
            <w:r>
              <w:rPr>
                <w:rFonts w:ascii="Times New Roman" w:hAnsi="Times New Roman"/>
                <w:sz w:val="20"/>
              </w:rPr>
              <w:t xml:space="preserve">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(m)</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Headings.</w:t>
            </w:r>
            <w:r>
              <w:rPr>
                <w:rFonts w:ascii="Times New Roman" w:hAnsi="Times New Roman"/>
                <w:sz w:val="20"/>
              </w:rPr>
              <w:t xml:space="preserve"> The headings used in this Warrant are for the convenience of reference only and shall not, for any purpose, be deemed a part of this Warrant. </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Warrant to be executed by its officer thereunto duly authorized as of the date first above indicated.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52"/>
        <w:gridCol w:w="114"/>
        <w:gridCol w:w="3116"/>
      </w:tblGrid>
      <w:tr>
        <w:trPr/>
        <w:tc>
          <w:tcPr>
            <w:tcW w:w="852"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BAKKT, INC.</w:t>
            </w:r>
          </w:p>
        </w:tc>
      </w:tr>
      <w:tr>
        <w:trPr>
          <w:trHeight w:val="240" w:hRule="atLeast"/>
        </w:trPr>
        <w:tc>
          <w:tcPr>
            <w:tcW w:w="852" w:type="dxa"/>
            <w:tcBorders/>
            <w:vAlign w:val="center"/>
          </w:tcPr>
          <w:p>
            <w:pPr>
              <w:pStyle w:val="TableContents"/>
              <w:bidi w:val="0"/>
              <w:spacing w:before="0" w:after="283"/>
              <w:jc w:val="left"/>
              <w:rPr>
                <w:sz w:val="4"/>
                <w:szCs w:val="4"/>
              </w:rPr>
            </w:pPr>
            <w:r>
              <w:rPr>
                <w:sz w:val="4"/>
                <w:szCs w:val="4"/>
              </w:rPr>
            </w:r>
          </w:p>
        </w:tc>
        <w:tc>
          <w:tcPr>
            <w:tcW w:w="3230"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By:</w:t>
            </w:r>
          </w:p>
        </w:tc>
        <w:tc>
          <w:tcPr>
            <w:tcW w:w="114" w:type="dxa"/>
            <w:tcBorders/>
            <w:vAlign w:val="bottom"/>
          </w:tcPr>
          <w:p>
            <w:pPr>
              <w:pStyle w:val="TableContents"/>
              <w:bidi w:val="0"/>
              <w:spacing w:before="0" w:after="283"/>
              <w:jc w:val="left"/>
              <w:rPr/>
            </w:pPr>
            <w:r>
              <w:rPr/>
              <w:t> </w:t>
            </w:r>
          </w:p>
        </w:tc>
        <w:tc>
          <w:tcPr>
            <w:tcW w:w="3116" w:type="dxa"/>
            <w:tcBorders/>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Name:</w:t>
            </w:r>
          </w:p>
        </w:tc>
        <w:tc>
          <w:tcPr>
            <w:tcW w:w="114" w:type="dxa"/>
            <w:tcBorders/>
            <w:vAlign w:val="bottom"/>
          </w:tcPr>
          <w:p>
            <w:pPr>
              <w:pStyle w:val="TableContents"/>
              <w:bidi w:val="0"/>
              <w:spacing w:before="0" w:after="283"/>
              <w:jc w:val="left"/>
              <w:rPr/>
            </w:pPr>
            <w:r>
              <w:rPr/>
              <w:t> </w:t>
            </w:r>
          </w:p>
        </w:tc>
        <w:tc>
          <w:tcPr>
            <w:tcW w:w="3116" w:type="dxa"/>
            <w:tcBorders/>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Title:</w:t>
            </w:r>
          </w:p>
        </w:tc>
        <w:tc>
          <w:tcPr>
            <w:tcW w:w="114" w:type="dxa"/>
            <w:tcBorders/>
            <w:vAlign w:val="bottom"/>
          </w:tcPr>
          <w:p>
            <w:pPr>
              <w:pStyle w:val="TableContents"/>
              <w:bidi w:val="0"/>
              <w:spacing w:before="0" w:after="283"/>
              <w:jc w:val="left"/>
              <w:rPr/>
            </w:pPr>
            <w:r>
              <w:rPr/>
              <w:t> </w:t>
            </w:r>
          </w:p>
        </w:tc>
        <w:tc>
          <w:tcPr>
            <w:tcW w:w="311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Pre-Funded Warrant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NOTICE OF EXERCISE </w:t>
      </w:r>
    </w:p>
    <w:p>
      <w:pPr>
        <w:pStyle w:val="TextBody"/>
        <w:bidi w:val="0"/>
        <w:spacing w:before="240" w:after="0"/>
        <w:jc w:val="left"/>
        <w:rPr>
          <w:rFonts w:ascii="Times New Roman" w:hAnsi="Times New Roman"/>
          <w:sz w:val="20"/>
        </w:rPr>
      </w:pPr>
      <w:r>
        <w:rPr>
          <w:rFonts w:ascii="Times New Roman" w:hAnsi="Times New Roman"/>
          <w:sz w:val="20"/>
        </w:rPr>
        <w:t xml:space="preserve">To: Bakkt, Inc.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holder of Warrant No. hereby elects to purchase Warrant Shares of the Company pursuant to the terms of the attached Warrant (only if exercised in full), and tenders herewith payment of the exercise price in full, together with all applicable transfer taxes,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shall take the form of (check applicable box):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Exercise: lawful money of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Cashless Exercise: the cancellation of such number of Warrant Shares as is necessary, in accordance with the formula set forth in </w:t>
            </w:r>
            <w:r>
              <w:rPr>
                <w:rFonts w:ascii="Times New Roman" w:hAnsi="Times New Roman"/>
                <w:sz w:val="20"/>
                <w:u w:val="single"/>
              </w:rPr>
              <w:t>Section 3(c)</w:t>
            </w:r>
            <w:r>
              <w:rPr>
                <w:rFonts w:ascii="Times New Roman" w:hAnsi="Times New Roman"/>
                <w:sz w:val="20"/>
              </w:rPr>
              <w:t xml:space="preserve">, to exercise this Warrant with respect to the maximum number of Warrant Shares purchasable pursuant to the cashless exercise procedure set forth in </w:t>
            </w:r>
            <w:r>
              <w:rPr>
                <w:rFonts w:ascii="Times New Roman" w:hAnsi="Times New Roman"/>
                <w:sz w:val="20"/>
                <w:u w:val="single"/>
              </w:rPr>
              <w:t>Section 3(c)</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issue said Warrant Shares in the name of the undersigned or in such other name as is specified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Warrant Shares shall be delivered to the following DWAC Account Number or by delivery by book entry on the transfer accounts records to: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6"/>
        <w:gridCol w:w="61"/>
        <w:gridCol w:w="3365"/>
      </w:tblGrid>
      <w:tr>
        <w:trPr/>
        <w:tc>
          <w:tcPr>
            <w:tcW w:w="65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of Holder</w:t>
            </w:r>
          </w:p>
        </w:tc>
      </w:tr>
      <w:tr>
        <w:trPr>
          <w:trHeight w:val="240" w:hRule="atLeast"/>
        </w:trPr>
        <w:tc>
          <w:tcPr>
            <w:tcW w:w="656" w:type="dxa"/>
            <w:tcBorders/>
            <w:vAlign w:val="center"/>
          </w:tcPr>
          <w:p>
            <w:pPr>
              <w:pStyle w:val="TableContents"/>
              <w:bidi w:val="0"/>
              <w:spacing w:before="0" w:after="283"/>
              <w:jc w:val="left"/>
              <w:rPr>
                <w:sz w:val="4"/>
                <w:szCs w:val="4"/>
              </w:rPr>
            </w:pPr>
            <w:r>
              <w:rPr>
                <w:sz w:val="4"/>
                <w:szCs w:val="4"/>
              </w:rPr>
            </w:r>
          </w:p>
        </w:tc>
        <w:tc>
          <w:tcPr>
            <w:tcW w:w="3426" w:type="dxa"/>
            <w:gridSpan w:val="2"/>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Date:</w:t>
            </w:r>
          </w:p>
        </w:tc>
        <w:tc>
          <w:tcPr>
            <w:tcW w:w="61"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center"/>
        <w:rPr>
          <w:rFonts w:ascii="Times New Roman" w:hAnsi="Times New Roman"/>
          <w:sz w:val="20"/>
        </w:rPr>
      </w:pPr>
      <w:r>
        <w:rPr>
          <w:rFonts w:ascii="Times New Roman" w:hAnsi="Times New Roman"/>
          <w:sz w:val="20"/>
        </w:rPr>
        <w:t xml:space="preserve">(To assign the foregoing warrant, execute </w:t>
      </w:r>
    </w:p>
    <w:p>
      <w:pPr>
        <w:pStyle w:val="TextBody"/>
        <w:bidi w:val="0"/>
        <w:spacing w:before="0" w:after="0"/>
        <w:jc w:val="center"/>
        <w:rPr>
          <w:rFonts w:ascii="Times New Roman" w:hAnsi="Times New Roman"/>
          <w:sz w:val="20"/>
        </w:rPr>
      </w:pPr>
      <w:r>
        <w:rPr>
          <w:rFonts w:ascii="Times New Roman" w:hAnsi="Times New Roman"/>
          <w:sz w:val="20"/>
        </w:rPr>
        <w:t xml:space="preserve">this form and supply required information.) </w:t>
      </w:r>
    </w:p>
    <w:p>
      <w:pPr>
        <w:pStyle w:val="TextBody"/>
        <w:bidi w:val="0"/>
        <w:spacing w:before="240" w:after="0"/>
        <w:jc w:val="center"/>
        <w:rPr>
          <w:rFonts w:ascii="Times New Roman" w:hAnsi="Times New Roman"/>
          <w:sz w:val="20"/>
        </w:rPr>
      </w:pPr>
      <w:r>
        <w:rPr>
          <w:rFonts w:ascii="Times New Roman" w:hAnsi="Times New Roman"/>
          <w:sz w:val="20"/>
        </w:rPr>
        <w:t xml:space="preserve">(Do not use this form to exercise the warrant.)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 ] all of or [ ] shares of the foregoing Warrant and all rights evidenced thereby are hereby assigned to </w:t>
      </w:r>
    </w:p>
    <w:p>
      <w:pPr>
        <w:pStyle w:val="TextBody"/>
        <w:bidi w:val="0"/>
        <w:spacing w:before="240" w:after="0"/>
        <w:jc w:val="left"/>
        <w:rPr>
          <w:rFonts w:ascii="Times New Roman" w:hAnsi="Times New Roman"/>
          <w:sz w:val="20"/>
        </w:rPr>
      </w:pPr>
      <w:r>
        <w:rPr>
          <w:rFonts w:ascii="Times New Roman" w:hAnsi="Times New Roman"/>
          <w:sz w:val="20"/>
        </w:rPr>
        <w:t xml:space="preserve">whose address is: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240" w:after="0"/>
        <w:jc w:val="left"/>
        <w:rPr>
          <w:rFonts w:ascii="Times New Roman" w:hAnsi="Times New Roman"/>
          <w:sz w:val="20"/>
        </w:rPr>
      </w:pPr>
      <w:r>
        <w:rPr>
          <w:rFonts w:ascii="Times New Roman" w:hAnsi="Times New Roman"/>
          <w:sz w:val="20"/>
        </w:rPr>
        <w:t xml:space="preserve">Holder’s Signature: </w:t>
      </w:r>
    </w:p>
    <w:p>
      <w:pPr>
        <w:pStyle w:val="TextBody"/>
        <w:bidi w:val="0"/>
        <w:spacing w:before="240" w:after="0"/>
        <w:jc w:val="left"/>
        <w:rPr>
          <w:rFonts w:ascii="Times New Roman" w:hAnsi="Times New Roman"/>
          <w:sz w:val="20"/>
        </w:rPr>
      </w:pPr>
      <w:r>
        <w:rPr>
          <w:rFonts w:ascii="Times New Roman" w:hAnsi="Times New Roman"/>
          <w:sz w:val="20"/>
        </w:rPr>
        <w:t xml:space="preserve">Holder’s Address: </w:t>
      </w:r>
    </w:p>
    <w:p>
      <w:pPr>
        <w:pStyle w:val="TextBody"/>
        <w:bidi w:val="0"/>
        <w:spacing w:before="240" w:after="0"/>
        <w:jc w:val="left"/>
        <w:rPr>
          <w:rFonts w:ascii="Times New Roman" w:hAnsi="Times New Roman"/>
          <w:sz w:val="20"/>
        </w:rPr>
      </w:pPr>
      <w:r>
        <w:rPr>
          <w:rFonts w:ascii="Times New Roman" w:hAnsi="Times New Roman"/>
          <w:sz w:val="20"/>
        </w:rPr>
        <w:t xml:space="preserve">NOTE: The signature to this Assignment Form must correspond with the name as it appears on the face of the Warrant, without alteration or enlargement or any change whatsoever. </w:t>
      </w:r>
    </w:p>
    <w:p>
      <w:pPr>
        <w:pStyle w:val="TextBody"/>
        <w:bidi w:val="0"/>
        <w:spacing w:before="0" w:after="0"/>
        <w:jc w:val="right"/>
        <w:rPr>
          <w:rFonts w:ascii="Times New Roman" w:hAnsi="Times New Roman"/>
          <w:b/>
          <w:sz w:val="20"/>
        </w:rPr>
      </w:pPr>
      <w:bookmarkStart w:id="4" w:name="d42586dex51.htm"/>
      <w:bookmarkStart w:id="5" w:name="ksd42586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71"/>
        <w:gridCol w:w="121"/>
        <w:gridCol w:w="4613"/>
      </w:tblGrid>
      <w:tr>
        <w:trPr/>
        <w:tc>
          <w:tcPr>
            <w:tcW w:w="54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613" w:type="dxa"/>
            <w:tcBorders/>
            <w:vAlign w:val="center"/>
          </w:tcPr>
          <w:p>
            <w:pPr>
              <w:pStyle w:val="TableContents"/>
              <w:bidi w:val="0"/>
              <w:spacing w:before="0" w:after="283"/>
              <w:jc w:val="left"/>
              <w:rPr>
                <w:sz w:val="4"/>
                <w:szCs w:val="4"/>
              </w:rPr>
            </w:pPr>
            <w:r>
              <w:rPr>
                <w:sz w:val="4"/>
                <w:szCs w:val="4"/>
              </w:rPr>
            </w:r>
          </w:p>
        </w:tc>
      </w:tr>
      <w:tr>
        <w:trPr/>
        <w:tc>
          <w:tcPr>
            <w:tcW w:w="5471" w:type="dxa"/>
            <w:tcBorders/>
          </w:tcPr>
          <w:p>
            <w:pPr>
              <w:pStyle w:val="TableContents"/>
              <w:bidi w:val="0"/>
              <w:spacing w:before="0" w:after="283"/>
              <w:jc w:val="center"/>
              <w:rPr/>
            </w:pPr>
            <w:r>
              <w:rPr/>
              <w:drawing>
                <wp:inline distT="0" distB="0" distL="0" distR="0">
                  <wp:extent cx="2286000" cy="190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86000" cy="19050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613" w:type="dxa"/>
            <w:tcBorders/>
          </w:tcPr>
          <w:p>
            <w:pPr>
              <w:pStyle w:val="TableContents"/>
              <w:bidi w:val="0"/>
              <w:spacing w:before="0" w:after="283"/>
              <w:jc w:val="left"/>
              <w:rPr>
                <w:sz w:val="4"/>
                <w:szCs w:val="4"/>
              </w:rPr>
            </w:pPr>
            <w:r>
              <w:rPr>
                <w:sz w:val="4"/>
                <w:szCs w:val="4"/>
              </w:rPr>
            </w:r>
          </w:p>
        </w:tc>
      </w:tr>
      <w:tr>
        <w:trPr>
          <w:trHeight w:val="120" w:hRule="atLeast"/>
        </w:trPr>
        <w:tc>
          <w:tcPr>
            <w:tcW w:w="5471" w:type="dxa"/>
            <w:tcBorders/>
            <w:vAlign w:val="center"/>
          </w:tcPr>
          <w:p>
            <w:pPr>
              <w:pStyle w:val="TableContents"/>
              <w:bidi w:val="0"/>
              <w:spacing w:before="0" w:after="283"/>
              <w:jc w:val="left"/>
              <w:rPr>
                <w:sz w:val="4"/>
                <w:szCs w:val="4"/>
              </w:rPr>
            </w:pPr>
            <w:r>
              <w:rPr>
                <w:sz w:val="4"/>
                <w:szCs w:val="4"/>
              </w:rPr>
            </w:r>
          </w:p>
        </w:tc>
        <w:tc>
          <w:tcPr>
            <w:tcW w:w="4734" w:type="dxa"/>
            <w:gridSpan w:val="2"/>
            <w:tcBorders/>
            <w:vAlign w:val="center"/>
          </w:tcPr>
          <w:p>
            <w:pPr>
              <w:pStyle w:val="TableContents"/>
              <w:bidi w:val="0"/>
              <w:spacing w:before="0" w:after="283"/>
              <w:jc w:val="left"/>
              <w:rPr>
                <w:sz w:val="4"/>
                <w:szCs w:val="4"/>
              </w:rPr>
            </w:pPr>
            <w:r>
              <w:rPr>
                <w:sz w:val="4"/>
                <w:szCs w:val="4"/>
              </w:rPr>
            </w:r>
          </w:p>
        </w:tc>
      </w:tr>
      <w:tr>
        <w:trPr/>
        <w:tc>
          <w:tcPr>
            <w:tcW w:w="5471" w:type="dxa"/>
            <w:tcBorders/>
          </w:tcPr>
          <w:p>
            <w:pPr>
              <w:pStyle w:val="TableContents"/>
              <w:bidi w:val="0"/>
              <w:spacing w:before="0" w:after="283"/>
              <w:jc w:val="center"/>
              <w:rPr/>
            </w:pPr>
            <w:r>
              <w:rPr/>
              <w:t>TELEPHONE: 1-212-558-4000</w:t>
            </w:r>
          </w:p>
        </w:tc>
        <w:tc>
          <w:tcPr>
            <w:tcW w:w="121" w:type="dxa"/>
            <w:tcBorders/>
            <w:vAlign w:val="bottom"/>
          </w:tcPr>
          <w:p>
            <w:pPr>
              <w:pStyle w:val="TableContents"/>
              <w:bidi w:val="0"/>
              <w:spacing w:before="0" w:after="283"/>
              <w:jc w:val="left"/>
              <w:rPr/>
            </w:pPr>
            <w:r>
              <w:rPr/>
              <w:t>  </w:t>
            </w:r>
          </w:p>
        </w:tc>
        <w:tc>
          <w:tcPr>
            <w:tcW w:w="4613" w:type="dxa"/>
            <w:tcBorders/>
          </w:tcPr>
          <w:p>
            <w:pPr>
              <w:pStyle w:val="TableContents"/>
              <w:bidi w:val="0"/>
              <w:spacing w:before="0" w:after="283"/>
              <w:jc w:val="center"/>
              <w:rPr>
                <w:b/>
              </w:rPr>
            </w:pPr>
            <w:r>
              <w:rPr>
                <w:b/>
              </w:rPr>
              <w:t>125 Broad Street</w:t>
            </w:r>
          </w:p>
        </w:tc>
      </w:tr>
      <w:tr>
        <w:trPr/>
        <w:tc>
          <w:tcPr>
            <w:tcW w:w="5471" w:type="dxa"/>
            <w:tcBorders/>
          </w:tcPr>
          <w:p>
            <w:pPr>
              <w:pStyle w:val="TableContents"/>
              <w:bidi w:val="0"/>
              <w:spacing w:before="0" w:after="283"/>
              <w:jc w:val="center"/>
              <w:rPr/>
            </w:pPr>
            <w:r>
              <w:rPr/>
              <w:t>FACSIMILE: 1-212-558-3588</w:t>
            </w:r>
          </w:p>
        </w:tc>
        <w:tc>
          <w:tcPr>
            <w:tcW w:w="121" w:type="dxa"/>
            <w:tcBorders/>
            <w:vAlign w:val="bottom"/>
          </w:tcPr>
          <w:p>
            <w:pPr>
              <w:pStyle w:val="TableContents"/>
              <w:bidi w:val="0"/>
              <w:spacing w:before="0" w:after="283"/>
              <w:jc w:val="left"/>
              <w:rPr/>
            </w:pPr>
            <w:r>
              <w:rPr/>
              <w:t>  </w:t>
            </w:r>
          </w:p>
        </w:tc>
        <w:tc>
          <w:tcPr>
            <w:tcW w:w="4613" w:type="dxa"/>
            <w:tcBorders/>
          </w:tcPr>
          <w:p>
            <w:pPr>
              <w:pStyle w:val="TableContents"/>
              <w:bidi w:val="0"/>
              <w:spacing w:before="0" w:after="283"/>
              <w:jc w:val="center"/>
              <w:rPr>
                <w:b/>
              </w:rPr>
            </w:pPr>
            <w:r>
              <w:rPr>
                <w:b/>
              </w:rPr>
              <w:t>New York, New York 10004-2498</w:t>
            </w:r>
          </w:p>
        </w:tc>
      </w:tr>
      <w:tr>
        <w:trPr/>
        <w:tc>
          <w:tcPr>
            <w:tcW w:w="5471" w:type="dxa"/>
            <w:tcBorders/>
          </w:tcPr>
          <w:p>
            <w:pPr>
              <w:pStyle w:val="TableContents"/>
              <w:bidi w:val="0"/>
              <w:spacing w:before="0" w:after="283"/>
              <w:jc w:val="center"/>
              <w:rPr>
                <w:sz w:val="20"/>
              </w:rPr>
            </w:pPr>
            <w:r>
              <w:rPr>
                <w:sz w:val="20"/>
              </w:rPr>
              <w:t>WWW.SULLCROM.COM</w:t>
            </w:r>
          </w:p>
        </w:tc>
        <w:tc>
          <w:tcPr>
            <w:tcW w:w="121" w:type="dxa"/>
            <w:tcBorders/>
            <w:vAlign w:val="bottom"/>
          </w:tcPr>
          <w:p>
            <w:pPr>
              <w:pStyle w:val="TableContents"/>
              <w:bidi w:val="0"/>
              <w:spacing w:before="0" w:after="283"/>
              <w:jc w:val="left"/>
              <w:rPr/>
            </w:pPr>
            <w:r>
              <w:rPr/>
              <w:t>  </w:t>
            </w:r>
          </w:p>
        </w:tc>
        <w:tc>
          <w:tcPr>
            <w:tcW w:w="4613" w:type="dxa"/>
            <w:tcBorders/>
          </w:tcPr>
          <w:p>
            <w:pPr>
              <w:pStyle w:val="TableContents"/>
              <w:bidi w:val="0"/>
              <w:spacing w:before="0" w:after="0"/>
              <w:jc w:val="left"/>
              <w:rPr/>
            </w:pPr>
            <w:r>
              <w:rPr/>
              <w:t> </w:t>
            </w:r>
          </w:p>
          <w:p>
            <w:pPr>
              <w:pStyle w:val="TableContents"/>
              <w:bidi w:val="0"/>
              <w:spacing w:before="0" w:after="0"/>
              <w:jc w:val="center"/>
              <w:rPr>
                <w:u w:val="single"/>
              </w:rPr>
            </w:pPr>
            <w:r>
              <w:rPr>
                <w:u w:val="single"/>
              </w:rPr>
              <w:t>     </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LOS ANGELES  PALO ALTO  WASHINGTON, D.C.</w:t>
            </w:r>
          </w:p>
        </w:tc>
      </w:tr>
      <w:tr>
        <w:trPr/>
        <w:tc>
          <w:tcPr>
            <w:tcW w:w="547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613" w:type="dxa"/>
            <w:tcBorders/>
          </w:tcPr>
          <w:p>
            <w:pPr>
              <w:pStyle w:val="TableContents"/>
              <w:bidi w:val="0"/>
              <w:spacing w:before="0" w:after="283"/>
              <w:jc w:val="center"/>
              <w:rPr/>
            </w:pPr>
            <w:r>
              <w:rPr/>
              <w:t>BRUSSELS  FRANKFURT  LONDON  PARIS</w:t>
            </w:r>
          </w:p>
        </w:tc>
      </w:tr>
      <w:tr>
        <w:trPr/>
        <w:tc>
          <w:tcPr>
            <w:tcW w:w="547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613" w:type="dxa"/>
            <w:tcBorders/>
          </w:tcPr>
          <w:p>
            <w:pPr>
              <w:pStyle w:val="TableContents"/>
              <w:bidi w:val="0"/>
              <w:spacing w:before="0" w:after="283"/>
              <w:jc w:val="center"/>
              <w:rPr/>
            </w:pPr>
            <w:r>
              <w:rPr/>
              <w:t>BEIJING  HONG KONG  TOKYO</w:t>
            </w:r>
          </w:p>
        </w:tc>
      </w:tr>
      <w:tr>
        <w:trPr/>
        <w:tc>
          <w:tcPr>
            <w:tcW w:w="547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613" w:type="dxa"/>
            <w:tcBorders/>
          </w:tcPr>
          <w:p>
            <w:pPr>
              <w:pStyle w:val="TableContents"/>
              <w:bidi w:val="0"/>
              <w:spacing w:before="0" w:after="283"/>
              <w:jc w:val="center"/>
              <w:rPr/>
            </w:pPr>
            <w:r>
              <w:rPr/>
              <w:t>MELBOURNE  SYDNEY</w:t>
            </w:r>
          </w:p>
        </w:tc>
      </w:tr>
    </w:tbl>
    <w:p>
      <w:pPr>
        <w:pStyle w:val="TextBody"/>
        <w:bidi w:val="0"/>
        <w:spacing w:before="240" w:after="0"/>
        <w:jc w:val="right"/>
        <w:rPr>
          <w:rFonts w:ascii="Times New Roman" w:hAnsi="Times New Roman"/>
          <w:sz w:val="20"/>
        </w:rPr>
      </w:pPr>
      <w:r>
        <w:rPr>
          <w:rFonts w:ascii="Times New Roman" w:hAnsi="Times New Roman"/>
          <w:sz w:val="20"/>
        </w:rPr>
        <w:t xml:space="preserve">March 2, 2026 </w:t>
      </w:r>
    </w:p>
    <w:p>
      <w:pPr>
        <w:pStyle w:val="TextBody"/>
        <w:bidi w:val="0"/>
        <w:spacing w:before="240" w:after="0"/>
        <w:jc w:val="left"/>
        <w:rPr>
          <w:rFonts w:ascii="Times New Roman" w:hAnsi="Times New Roman"/>
          <w:sz w:val="20"/>
        </w:rPr>
      </w:pPr>
      <w:r>
        <w:rPr>
          <w:rFonts w:ascii="Times New Roman" w:hAnsi="Times New Roman"/>
          <w:sz w:val="20"/>
        </w:rPr>
        <w:t xml:space="preserve">Bakkt, Inc., </w:t>
      </w:r>
    </w:p>
    <w:p>
      <w:pPr>
        <w:pStyle w:val="TextBody"/>
        <w:bidi w:val="0"/>
        <w:spacing w:before="0" w:after="0"/>
        <w:jc w:val="left"/>
        <w:rPr>
          <w:rFonts w:ascii="Times New Roman" w:hAnsi="Times New Roman"/>
          <w:sz w:val="20"/>
        </w:rPr>
      </w:pPr>
      <w:r>
        <w:rPr>
          <w:rFonts w:ascii="Times New Roman" w:hAnsi="Times New Roman"/>
          <w:sz w:val="20"/>
        </w:rPr>
        <w:t xml:space="preserve">One Liberty Plaza, </w:t>
      </w:r>
    </w:p>
    <w:p>
      <w:pPr>
        <w:pStyle w:val="TextBody"/>
        <w:bidi w:val="0"/>
        <w:spacing w:before="0" w:after="0"/>
        <w:jc w:val="left"/>
        <w:rPr>
          <w:rFonts w:ascii="Times New Roman" w:hAnsi="Times New Roman"/>
          <w:sz w:val="20"/>
        </w:rPr>
      </w:pPr>
      <w:r>
        <w:rPr>
          <w:rFonts w:ascii="Times New Roman" w:hAnsi="Times New Roman"/>
          <w:sz w:val="20"/>
        </w:rPr>
        <w:t xml:space="preserve">One Liberty St., Ste. 305-306,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10006.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registration under the Securities Act of 1933 (the “Act”) of (i) 3,024,799 shares (the “Shares”) of Class A common stock, par value $0.0001 per share (the “Common Stock”), of Bakkt, Inc., a Delaware corporation (the “Company”), (ii) 2,475,201 pre-funded warrants of the Company to purchase Common Stock (the “Warrants”), and (iii) 2,475,201 shares of Common Stock issuable upon the exercise of the Warrants (the “Warrant Shares” and together with the Shares and the Warrants, the “Securities”), we, as your counsel, have examined such corporate records, certificates and other documents, and such questions of law, as we have considered necessary or appropriate for the purposes of this opinion. Upon the basis of such examination, it is our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The Shares have been validly issued and are 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(2) The Warrants constitute valid and legally binding obligations of the Company, subject to bankruptcy, insolvency, fraudulent transfer, reorganization, moratorium and similar laws of general applicability relating to or affecting creditors’ rights and to general equity principles. </w:t>
      </w:r>
    </w:p>
    <w:p>
      <w:pPr>
        <w:pStyle w:val="TextBody"/>
        <w:bidi w:val="0"/>
        <w:spacing w:before="120" w:after="0"/>
        <w:jc w:val="left"/>
        <w:rPr>
          <w:rFonts w:ascii="Times New Roman" w:hAnsi="Times New Roman"/>
          <w:sz w:val="20"/>
        </w:rPr>
      </w:pPr>
      <w:r>
        <w:rPr>
          <w:rFonts w:ascii="Times New Roman" w:hAnsi="Times New Roman"/>
          <w:sz w:val="20"/>
        </w:rPr>
        <w:t xml:space="preserve">(3) When the Warrant Shares have been duly issued and paid for upon the exercise of the Warrants in accordance with the terms of the Warrants, the Warrant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foregoing opinion, we are not passing upon, and assume no responsibility for, any disclosure in any registration statement or any related prospectus or other offering material relating to the offer and sale of the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Bakkt, Inc. </w:t>
      </w:r>
    </w:p>
    <w:p>
      <w:pPr>
        <w:pStyle w:val="TextBody"/>
        <w:bidi w:val="0"/>
        <w:spacing w:before="120" w:after="0"/>
        <w:jc w:val="left"/>
        <w:rPr>
          <w:rFonts w:ascii="Times New Roman" w:hAnsi="Times New Roman"/>
          <w:sz w:val="20"/>
        </w:rPr>
      </w:pPr>
      <w:r>
        <w:rPr>
          <w:rFonts w:ascii="Times New Roman" w:hAnsi="Times New Roman"/>
          <w:sz w:val="20"/>
        </w:rPr>
        <w:t xml:space="preserve">The foregoing opinion is limited to the Federal laws of the United States, the laws of the State of New York and the General Corporation Law of the State of Delaware, and we are expressing no opinion as to the effect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We have relied as to certain factual matters on information obtained from public officials, officers of the Company and other sources believed by us to be responsible.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and to the reference to us under the heading “Validity of Securities” in the Prospectus Supplement relating to the Securities, dated February 27, 2026. In giving such consent, we do not thereby admit that we are in the category of persons whose consent is required under Section 7 of the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 SULLIVAN &amp; CROMWELL LLP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6" w:name="d42586dex101.htm"/>
      <w:bookmarkStart w:id="7" w:name="ksd42586dex101"/>
      <w:bookmarkEnd w:id="6"/>
      <w:bookmarkEnd w:id="7"/>
      <w:r>
        <w:rPr>
          <w:rFonts w:ascii="Times New Roman" w:hAnsi="Times New Roman"/>
          <w:b/>
          <w:sz w:val="20"/>
        </w:rPr>
        <w:t>Exhibit 10.1</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Certain personally identifiable information has been omitted from this exhibit pursuant to item 601(a)(6) of Regulation S-K. [***] indicates that information has been redacted.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PURCHASE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BAKKT,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THE PURCHASER AS SET FORTH HEREIN </w:t>
      </w:r>
    </w:p>
    <w:p>
      <w:pPr>
        <w:pStyle w:val="TextBody"/>
        <w:bidi w:val="0"/>
        <w:spacing w:before="240" w:after="0"/>
        <w:jc w:val="center"/>
        <w:rPr>
          <w:rFonts w:ascii="Times New Roman" w:hAnsi="Times New Roman"/>
          <w:b/>
          <w:sz w:val="20"/>
        </w:rPr>
      </w:pPr>
      <w:r>
        <w:rPr>
          <w:rFonts w:ascii="Times New Roman" w:hAnsi="Times New Roman"/>
          <w:b/>
          <w:sz w:val="20"/>
        </w:rPr>
        <w:t xml:space="preserve">February 27, 2026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SECURITIES PURCHASE AGREEMENT </w:t>
      </w:r>
    </w:p>
    <w:p>
      <w:pPr>
        <w:pStyle w:val="TextBody"/>
        <w:bidi w:val="0"/>
        <w:spacing w:before="240" w:after="0"/>
        <w:jc w:val="left"/>
        <w:rPr>
          <w:rFonts w:ascii="Times New Roman" w:hAnsi="Times New Roman"/>
          <w:sz w:val="20"/>
        </w:rPr>
      </w:pPr>
      <w:r>
        <w:rPr>
          <w:rFonts w:ascii="Times New Roman" w:hAnsi="Times New Roman"/>
          <w:sz w:val="20"/>
        </w:rPr>
        <w:t>This SECURITIES PURCHASE AGREEMENT (this “</w:t>
      </w:r>
      <w:r>
        <w:rPr>
          <w:rFonts w:ascii="Times New Roman" w:hAnsi="Times New Roman"/>
          <w:sz w:val="20"/>
          <w:u w:val="single"/>
        </w:rPr>
        <w:t>Agreement</w:t>
      </w:r>
      <w:r>
        <w:rPr>
          <w:rFonts w:ascii="Times New Roman" w:hAnsi="Times New Roman"/>
          <w:sz w:val="20"/>
        </w:rPr>
        <w:t>”) is entered into as of February 27, 2026, by and between Bakkt, Inc., a Delaware corporation (the “</w:t>
      </w:r>
      <w:r>
        <w:rPr>
          <w:rFonts w:ascii="Times New Roman" w:hAnsi="Times New Roman"/>
          <w:sz w:val="20"/>
          <w:u w:val="single"/>
        </w:rPr>
        <w:t>Company</w:t>
      </w:r>
      <w:r>
        <w:rPr>
          <w:rFonts w:ascii="Times New Roman" w:hAnsi="Times New Roman"/>
          <w:sz w:val="20"/>
        </w:rPr>
        <w:t>”) and the purchaser identified on the signature page hereto (including its successor and assigns, the “</w:t>
      </w:r>
      <w:r>
        <w:rPr>
          <w:rFonts w:ascii="Times New Roman" w:hAnsi="Times New Roman"/>
          <w:sz w:val="20"/>
          <w:u w:val="single"/>
        </w:rPr>
        <w:t>Purchaser</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b/>
          <w:sz w:val="20"/>
        </w:rPr>
        <w:t>RECITALS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Purchaser wishes to acquire, and the Company wishes to sell and deliver to the Purchaser, shares of the Company’s Class A common stock, par value $0.0001 per share (the “</w:t>
      </w:r>
      <w:r>
        <w:rPr>
          <w:rFonts w:ascii="Times New Roman" w:hAnsi="Times New Roman"/>
          <w:sz w:val="20"/>
          <w:u w:val="single"/>
        </w:rPr>
        <w:t>Class A Common Stock</w:t>
      </w:r>
      <w:r>
        <w:rPr>
          <w:rFonts w:ascii="Times New Roman" w:hAnsi="Times New Roman"/>
          <w:sz w:val="20"/>
        </w:rPr>
        <w:t>”) and/or Pre-Funded Warrants (as defined below), on the terms and subject to the conditions contained in this Agreement, pursuant to an effective registration statement under the U.S. Securities Act of 1933, as amended (the “</w:t>
      </w:r>
      <w:r>
        <w:rPr>
          <w:rFonts w:ascii="Times New Roman" w:hAnsi="Times New Roman"/>
          <w:sz w:val="20"/>
          <w:u w:val="single"/>
        </w:rPr>
        <w:t>Securities Act</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capitalized terms used in these Recitals that are not set out above are defined in </w:t>
      </w:r>
      <w:r>
        <w:rPr>
          <w:rFonts w:ascii="Times New Roman" w:hAnsi="Times New Roman"/>
          <w:sz w:val="20"/>
          <w:u w:val="single"/>
        </w:rPr>
        <w:t>Article 1</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contained in this Agreement, and for other good and valuable consideration, the receipt and adequacy of which are hereby acknowledged, the Company and the Purchaser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As used in this Agreement, the following terms shall have the following respective meanings: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any Person that, directly or indirectly through one or more intermediaries, controls or is controlled by or is under common control with a Person, as such terms are used in and construed under Rule 405 under the Securities Act.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BSA/PATRIOT Act</w:t>
      </w:r>
      <w:r>
        <w:rPr>
          <w:rFonts w:ascii="Times New Roman" w:hAnsi="Times New Roman"/>
          <w:sz w:val="20"/>
        </w:rPr>
        <w:t xml:space="preserve">” shall have the meaning set forth in </w:t>
      </w:r>
      <w:r>
        <w:rPr>
          <w:rFonts w:ascii="Times New Roman" w:hAnsi="Times New Roman"/>
          <w:sz w:val="20"/>
          <w:u w:val="single"/>
        </w:rPr>
        <w:t>Section 4.6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shall mean any day other than Saturday, Sunday or other day on which commercial banks in The City of New York are authorized or required by law to close. </w:t>
      </w:r>
    </w:p>
    <w:p>
      <w:pPr>
        <w:pStyle w:val="TextBody"/>
        <w:bidi w:val="0"/>
        <w:spacing w:before="240" w:after="0"/>
        <w:jc w:val="left"/>
        <w:rPr/>
      </w:pPr>
      <w:r>
        <w:rPr/>
        <w:t>“</w:t>
      </w:r>
      <w:r>
        <w:rPr>
          <w:rFonts w:ascii="Times New Roman" w:hAnsi="Times New Roman"/>
          <w:sz w:val="20"/>
          <w:u w:val="single"/>
        </w:rPr>
        <w:t>Class A Common Stock</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sz w:val="20"/>
          <w:u w:val="single"/>
        </w:rPr>
        <w:t>Closing</w:t>
      </w:r>
      <w:r>
        <w:rPr>
          <w:rFonts w:ascii="Times New Roman" w:hAnsi="Times New Roman"/>
          <w:sz w:val="20"/>
        </w:rPr>
        <w:t xml:space="preserve">” shall have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shall have the meaning set forth in </w:t>
      </w:r>
      <w:r>
        <w:rPr>
          <w:rFonts w:ascii="Times New Roman" w:hAnsi="Times New Roman"/>
          <w:sz w:val="20"/>
          <w:u w:val="single"/>
        </w:rPr>
        <w:t>Section 2.1</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Commission</w:t>
      </w:r>
      <w:r>
        <w:rPr>
          <w:rFonts w:ascii="Times New Roman" w:hAnsi="Times New Roman"/>
          <w:sz w:val="20"/>
        </w:rPr>
        <w:t xml:space="preserve">” shall mean the United States Securities and Exchange Commission.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(including the terms “</w:t>
      </w:r>
      <w:r>
        <w:rPr>
          <w:rFonts w:ascii="Times New Roman" w:hAnsi="Times New Roman"/>
          <w:sz w:val="20"/>
          <w:u w:val="single"/>
        </w:rPr>
        <w:t>controlling</w:t>
      </w:r>
      <w:r>
        <w:rPr>
          <w:rFonts w:ascii="Times New Roman" w:hAnsi="Times New Roman"/>
          <w:sz w:val="20"/>
        </w:rPr>
        <w:t>,” “</w:t>
      </w:r>
      <w:r>
        <w:rPr>
          <w:rFonts w:ascii="Times New Roman" w:hAnsi="Times New Roman"/>
          <w:sz w:val="20"/>
          <w:u w:val="single"/>
        </w:rPr>
        <w:t>controlled by</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with respect to any Person shall mean the possession, directly or indirectly, of the power to direct or cause the direction of the management policies of such Person, whether through the ownership of share capital, capital stock or other equity securities, by contract or otherwise. Without limiting the generality of the foregoing, a Person shall be deemed to control another Person if any of the following conditions is met: (i) in the case of corporate entities, direct or indirect ownership of more than fifty percent (50%) of the shares having the right to vote for the election of directors, and (ii) in the case of non-corporate entities, direct or indirect ownership of more than fifty percent (50%) of the equity interest with the power to direct the management and policies of such non-corporate entities. </w:t>
      </w:r>
    </w:p>
    <w:p>
      <w:pPr>
        <w:pStyle w:val="TextBody"/>
        <w:bidi w:val="0"/>
        <w:spacing w:before="240" w:after="0"/>
        <w:jc w:val="left"/>
        <w:rPr/>
      </w:pPr>
      <w:r>
        <w:rPr/>
        <w:t>“</w:t>
      </w:r>
      <w:r>
        <w:rPr>
          <w:rFonts w:ascii="Times New Roman" w:hAnsi="Times New Roman"/>
          <w:sz w:val="20"/>
          <w:u w:val="single"/>
        </w:rPr>
        <w:t>Enforceability Exceptions</w:t>
      </w:r>
      <w:r>
        <w:rPr>
          <w:rFonts w:ascii="Times New Roman" w:hAnsi="Times New Roman"/>
          <w:sz w:val="20"/>
        </w:rPr>
        <w:t xml:space="preserve">” shall have the meaning set forth in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Environmental Laws</w:t>
      </w:r>
      <w:r>
        <w:rPr>
          <w:rFonts w:ascii="Times New Roman" w:hAnsi="Times New Roman"/>
          <w:sz w:val="20"/>
        </w:rPr>
        <w:t xml:space="preserve">” shall have the meaning set forth in </w:t>
      </w:r>
      <w:r>
        <w:rPr>
          <w:rFonts w:ascii="Times New Roman" w:hAnsi="Times New Roman"/>
          <w:sz w:val="20"/>
          <w:u w:val="single"/>
        </w:rPr>
        <w:t>Section 3.25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shall mean the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sz w:val="20"/>
          <w:u w:val="single"/>
        </w:rPr>
        <w:t>FINRA</w:t>
      </w:r>
      <w:r>
        <w:rPr>
          <w:rFonts w:ascii="Times New Roman" w:hAnsi="Times New Roman"/>
          <w:sz w:val="20"/>
        </w:rPr>
        <w:t xml:space="preserve">” means the Financial Industry Regulatory Authority.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shall have the meaning set forth in </w:t>
      </w:r>
      <w:r>
        <w:rPr>
          <w:rFonts w:ascii="Times New Roman" w:hAnsi="Times New Roman"/>
          <w:sz w:val="20"/>
          <w:u w:val="single"/>
        </w:rPr>
        <w:t>Section 3.7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or its Subsidiaries’ ability to perform on a timely basis its obligations under any Transaction Document. </w:t>
      </w:r>
    </w:p>
    <w:p>
      <w:pPr>
        <w:pStyle w:val="TextBody"/>
        <w:bidi w:val="0"/>
        <w:spacing w:before="240" w:after="0"/>
        <w:jc w:val="left"/>
        <w:rPr/>
      </w:pPr>
      <w:r>
        <w:rPr/>
        <w:t>“</w:t>
      </w:r>
      <w:r>
        <w:rPr>
          <w:rFonts w:ascii="Times New Roman" w:hAnsi="Times New Roman"/>
          <w:sz w:val="20"/>
          <w:u w:val="single"/>
        </w:rPr>
        <w:t>Money Laundering Laws</w:t>
      </w:r>
      <w:r>
        <w:rPr>
          <w:rFonts w:ascii="Times New Roman" w:hAnsi="Times New Roman"/>
          <w:sz w:val="20"/>
        </w:rPr>
        <w:t xml:space="preserve">” shall have the meaning set forth in </w:t>
      </w:r>
      <w:r>
        <w:rPr>
          <w:rFonts w:ascii="Times New Roman" w:hAnsi="Times New Roman"/>
          <w:sz w:val="20"/>
          <w:u w:val="single"/>
        </w:rPr>
        <w:t>Section 3.37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NYSE</w:t>
      </w:r>
      <w:r>
        <w:rPr>
          <w:rFonts w:ascii="Times New Roman" w:hAnsi="Times New Roman"/>
          <w:sz w:val="20"/>
        </w:rPr>
        <w:t xml:space="preserve">” shall mean The New York Stock Exchange (or any successors to the foregoing). </w:t>
      </w:r>
    </w:p>
    <w:p>
      <w:pPr>
        <w:pStyle w:val="TextBody"/>
        <w:bidi w:val="0"/>
        <w:spacing w:before="240" w:after="0"/>
        <w:jc w:val="left"/>
        <w:rPr/>
      </w:pPr>
      <w:r>
        <w:rPr/>
        <w:t>“</w:t>
      </w:r>
      <w:r>
        <w:rPr>
          <w:rFonts w:ascii="Times New Roman" w:hAnsi="Times New Roman"/>
          <w:sz w:val="20"/>
          <w:u w:val="single"/>
        </w:rPr>
        <w:t>OFAC</w:t>
      </w:r>
      <w:r>
        <w:rPr>
          <w:rFonts w:ascii="Times New Roman" w:hAnsi="Times New Roman"/>
          <w:sz w:val="20"/>
        </w:rPr>
        <w:t xml:space="preserve">” shall have the meaning set forth in </w:t>
      </w:r>
      <w:r>
        <w:rPr>
          <w:rFonts w:ascii="Times New Roman" w:hAnsi="Times New Roman"/>
          <w:sz w:val="20"/>
          <w:u w:val="single"/>
        </w:rPr>
        <w:t>Section 3.5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 Share Price</w:t>
      </w:r>
      <w:r>
        <w:rPr>
          <w:rFonts w:ascii="Times New Roman" w:hAnsi="Times New Roman"/>
          <w:sz w:val="20"/>
        </w:rPr>
        <w:t xml:space="preserve">” shall mean a purchase price per share of Class A Common Stock of $8.75. </w:t>
      </w:r>
    </w:p>
    <w:p>
      <w:pPr>
        <w:pStyle w:val="TextBody"/>
        <w:bidi w:val="0"/>
        <w:spacing w:before="240" w:after="0"/>
        <w:jc w:val="left"/>
        <w:rPr/>
      </w:pPr>
      <w:r>
        <w:rPr/>
        <w:t>“</w:t>
      </w:r>
      <w:r>
        <w:rPr>
          <w:rFonts w:ascii="Times New Roman" w:hAnsi="Times New Roman"/>
          <w:sz w:val="20"/>
          <w:u w:val="single"/>
        </w:rPr>
        <w:t>Pre-Funded Warrant Price</w:t>
      </w:r>
      <w:r>
        <w:rPr>
          <w:rFonts w:ascii="Times New Roman" w:hAnsi="Times New Roman"/>
          <w:sz w:val="20"/>
        </w:rPr>
        <w:t xml:space="preserve">” shall mean a purchase price per Pre-Funded Warrant of $8.7499, in the form of </w:t>
      </w:r>
      <w:r>
        <w:rPr>
          <w:rFonts w:ascii="Times New Roman" w:hAnsi="Times New Roman"/>
          <w:sz w:val="20"/>
          <w:u w:val="single"/>
        </w:rPr>
        <w:t>Exhibit A</w:t>
      </w:r>
      <w:r>
        <w:rPr>
          <w:rFonts w:ascii="Times New Roman" w:hAnsi="Times New Roman"/>
          <w:sz w:val="20"/>
        </w:rPr>
        <w:t xml:space="preserve"> attached hereto.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shall mean any individual, corporation, limited liability company, limited or general partnership, joint venture, association, joint-stock company, trust, unincorporated organization, government, any agency or political subdivisions thereof or other “Person” as contemplated by Section 13(d) of the Exchange Act. </w:t>
      </w:r>
    </w:p>
    <w:p>
      <w:pPr>
        <w:pStyle w:val="TextBody"/>
        <w:bidi w:val="0"/>
        <w:spacing w:before="240" w:after="0"/>
        <w:jc w:val="left"/>
        <w:rPr/>
      </w:pPr>
      <w:r>
        <w:rPr/>
        <w:t>“</w:t>
      </w:r>
      <w:r>
        <w:rPr>
          <w:rFonts w:ascii="Times New Roman" w:hAnsi="Times New Roman"/>
          <w:sz w:val="20"/>
          <w:u w:val="single"/>
        </w:rPr>
        <w:t>Placement Agent</w:t>
      </w:r>
      <w:r>
        <w:rPr>
          <w:rFonts w:ascii="Times New Roman" w:hAnsi="Times New Roman"/>
          <w:sz w:val="20"/>
        </w:rPr>
        <w:t xml:space="preserve">” shall mean Cohen &amp; Company Capital Markets, a division of Cohen &amp; Company Securities, LLC and its affiliates as placement agent in connection with the purchase of Class A Common Stock and/or Pre-Funded Warrants pursuant to this Agreement. Unless the context otherwise requires, references to the Placement Agent shall be deemed to include the Placement Agent’s affiliates together with its and its affiliates’ respective officers, control persons, officers, directors, members, partners, agents, employees, representatives, legal advisers and assigns. </w:t>
      </w:r>
    </w:p>
    <w:p>
      <w:pPr>
        <w:pStyle w:val="TextBody"/>
        <w:bidi w:val="0"/>
        <w:spacing w:before="240" w:after="0"/>
        <w:jc w:val="left"/>
        <w:rPr/>
      </w:pPr>
      <w:r>
        <w:rPr/>
        <w:t>“</w:t>
      </w:r>
      <w:r>
        <w:rPr>
          <w:rFonts w:ascii="Times New Roman" w:hAnsi="Times New Roman"/>
          <w:sz w:val="20"/>
          <w:u w:val="single"/>
        </w:rPr>
        <w:t>Placement Agent Agreement</w:t>
      </w:r>
      <w:r>
        <w:rPr>
          <w:rFonts w:ascii="Times New Roman" w:hAnsi="Times New Roman"/>
          <w:sz w:val="20"/>
        </w:rPr>
        <w:t xml:space="preserve">” means that certain Placement Agent Agreement, dated as of the date hereof, between the Company and the Placement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Proceeding</w:t>
      </w:r>
      <w:r>
        <w:rPr>
          <w:rFonts w:ascii="Times New Roman" w:hAnsi="Times New Roman"/>
          <w:sz w:val="20"/>
        </w:rPr>
        <w:t xml:space="preserve">” means an action, claim, suit, investigation or proceeding (including an informal investigation or partial proceeding, such as a deposition), whether commenced or threatened. </w:t>
      </w:r>
    </w:p>
    <w:p>
      <w:pPr>
        <w:pStyle w:val="TextBody"/>
        <w:bidi w:val="0"/>
        <w:spacing w:before="240" w:after="0"/>
        <w:jc w:val="left"/>
        <w:rPr/>
      </w:pPr>
      <w:r>
        <w:rPr/>
        <w:t>“</w:t>
      </w:r>
      <w:r>
        <w:rPr>
          <w:rFonts w:ascii="Times New Roman" w:hAnsi="Times New Roman"/>
          <w:sz w:val="20"/>
          <w:u w:val="single"/>
        </w:rPr>
        <w:t>Prospectus</w:t>
      </w:r>
      <w:r>
        <w:rPr>
          <w:rFonts w:ascii="Times New Roman" w:hAnsi="Times New Roman"/>
          <w:sz w:val="20"/>
        </w:rPr>
        <w:t xml:space="preserve">” means the final prospectus filed for the Registration Statement. </w:t>
      </w:r>
    </w:p>
    <w:p>
      <w:pPr>
        <w:pStyle w:val="TextBody"/>
        <w:bidi w:val="0"/>
        <w:spacing w:before="240" w:after="0"/>
        <w:jc w:val="left"/>
        <w:rPr/>
      </w:pPr>
      <w:r>
        <w:rPr/>
        <w:t>“</w:t>
      </w:r>
      <w:r>
        <w:rPr>
          <w:rFonts w:ascii="Times New Roman" w:hAnsi="Times New Roman"/>
          <w:sz w:val="20"/>
          <w:u w:val="single"/>
        </w:rPr>
        <w:t>Prospectus Supplement</w:t>
      </w:r>
      <w:r>
        <w:rPr>
          <w:rFonts w:ascii="Times New Roman" w:hAnsi="Times New Roman"/>
          <w:sz w:val="20"/>
        </w:rPr>
        <w:t xml:space="preserve">” means the supplement to the Prospectus complying with Rule 424(b) of the Securities Act that is filed with the Commission and delivered by the Company to each Purchaser at the Closing. </w:t>
      </w:r>
    </w:p>
    <w:p>
      <w:pPr>
        <w:pStyle w:val="TextBody"/>
        <w:bidi w:val="0"/>
        <w:spacing w:before="240" w:after="0"/>
        <w:jc w:val="left"/>
        <w:rPr/>
      </w:pPr>
      <w:r>
        <w:rPr/>
        <w:t>“</w:t>
      </w:r>
      <w:r>
        <w:rPr>
          <w:rFonts w:ascii="Times New Roman" w:hAnsi="Times New Roman"/>
          <w:sz w:val="20"/>
          <w:u w:val="single"/>
        </w:rPr>
        <w:t>Purchaser</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Registration Statement</w:t>
      </w:r>
      <w:r>
        <w:rPr>
          <w:rFonts w:ascii="Times New Roman" w:hAnsi="Times New Roman"/>
          <w:sz w:val="20"/>
        </w:rPr>
        <w:t xml:space="preserve">” means the effective registration statement with Commission file No. 333-288361 which registers the sale of the Securities to the Purchaser.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shall mean, with respect to any Person, such Person’s Affiliates and such Person’s and each such Affiliate’s respective directors, officers, employees, managers, trustees, principals, shareholders, members, general or limited partners, agents and other representatives.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xml:space="preserve">” shall have the meaning set forth in </w:t>
      </w:r>
      <w:r>
        <w:rPr>
          <w:rFonts w:ascii="Times New Roman" w:hAnsi="Times New Roman"/>
          <w:sz w:val="20"/>
          <w:u w:val="single"/>
        </w:rPr>
        <w:t>Section 4.6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Securities</w:t>
      </w:r>
      <w:r>
        <w:rPr>
          <w:rFonts w:ascii="Times New Roman" w:hAnsi="Times New Roman"/>
          <w:sz w:val="20"/>
        </w:rPr>
        <w:t xml:space="preserve">” means the Shares, the Pre-Funded Warrants and the Pre-Funded Warrant Shares.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sz w:val="20"/>
          <w:u w:val="single"/>
        </w:rPr>
        <w:t>Shares</w:t>
      </w:r>
      <w:r>
        <w:rPr>
          <w:rFonts w:ascii="Times New Roman" w:hAnsi="Times New Roman"/>
          <w:sz w:val="20"/>
        </w:rPr>
        <w:t xml:space="preserve">” means the shares of Common Stock issued or issuable to the Purchaser pursuant to this Agreement.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any subsidiary of the Company and shall, where applicable, also include any direct or indirect subsidiary of the Company formed or acquired after the date hereof.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shall mean any and all taxes, levies, fees, imposts, duties and charges of whatever kind (including any interest, penalties or additions to the tax imposed in connection therewith or with respect thereto) imposed by any governmental authority, including, without limitation, taxes imposed on, or measured by, income, franchise, profits or gross receipts, and any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or duties. </w:t>
      </w:r>
    </w:p>
    <w:p>
      <w:pPr>
        <w:pStyle w:val="TextBody"/>
        <w:bidi w:val="0"/>
        <w:spacing w:before="240" w:after="0"/>
        <w:jc w:val="left"/>
        <w:rPr/>
      </w:pPr>
      <w:r>
        <w:rPr/>
        <w:t>“</w:t>
      </w:r>
      <w:r>
        <w:rPr>
          <w:rFonts w:ascii="Times New Roman" w:hAnsi="Times New Roman"/>
          <w:sz w:val="20"/>
          <w:u w:val="single"/>
        </w:rPr>
        <w:t>Transaction Documents</w:t>
      </w:r>
      <w:r>
        <w:rPr>
          <w:rFonts w:ascii="Times New Roman" w:hAnsi="Times New Roman"/>
          <w:sz w:val="20"/>
        </w:rPr>
        <w:t xml:space="preserve">” means this Agreement, the Pre-Funded Warrants, the Lock-Up Agreement and all exhibits and schedules thereto and hereto and any other documents or agreements, executed in connection with the transactions contemplated hereunder. </w:t>
      </w:r>
    </w:p>
    <w:p>
      <w:pPr>
        <w:pStyle w:val="TextBody"/>
        <w:bidi w:val="0"/>
        <w:spacing w:before="240" w:after="0"/>
        <w:jc w:val="left"/>
        <w:rPr/>
      </w:pPr>
      <w:r>
        <w:rPr/>
        <w:t>“</w:t>
      </w:r>
      <w:r>
        <w:rPr>
          <w:rFonts w:ascii="Times New Roman" w:hAnsi="Times New Roman"/>
          <w:sz w:val="20"/>
          <w:u w:val="single"/>
        </w:rPr>
        <w:t>Transfer Agent</w:t>
      </w:r>
      <w:r>
        <w:rPr>
          <w:rFonts w:ascii="Times New Roman" w:hAnsi="Times New Roman"/>
          <w:sz w:val="20"/>
        </w:rPr>
        <w:t xml:space="preserve">” means Equiniti Trust Company, LLC, the current transfer agent of the Company, with a mailing address of 28 Liberty Street 5th Floor, New York, New York 10005, and any successor transfer agent of the Company. </w:t>
      </w:r>
    </w:p>
    <w:p>
      <w:pPr>
        <w:pStyle w:val="TextBody"/>
        <w:bidi w:val="0"/>
        <w:spacing w:before="240" w:after="0"/>
        <w:jc w:val="left"/>
        <w:rPr/>
      </w:pPr>
      <w:r>
        <w:rPr/>
        <w:t>“</w:t>
      </w:r>
      <w:r>
        <w:rPr>
          <w:rFonts w:ascii="Times New Roman" w:hAnsi="Times New Roman"/>
          <w:sz w:val="20"/>
          <w:u w:val="single"/>
        </w:rPr>
        <w:t>U.S.</w:t>
      </w:r>
      <w:r>
        <w:rPr>
          <w:rFonts w:ascii="Times New Roman" w:hAnsi="Times New Roman"/>
          <w:sz w:val="20"/>
        </w:rPr>
        <w:t xml:space="preserve">” shall mean the 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of Class A Common Stock and Pre-Funded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Closing</w:t>
      </w:r>
      <w:r>
        <w:rPr>
          <w:rFonts w:ascii="Times New Roman" w:hAnsi="Times New Roman"/>
          <w:sz w:val="20"/>
        </w:rPr>
        <w:t>. The consummation of the transactions contemplated by this Agreement (the “</w:t>
      </w:r>
      <w:r>
        <w:rPr>
          <w:rFonts w:ascii="Times New Roman" w:hAnsi="Times New Roman"/>
          <w:sz w:val="20"/>
          <w:u w:val="single"/>
        </w:rPr>
        <w:t>Closing</w:t>
      </w:r>
      <w:r>
        <w:rPr>
          <w:rFonts w:ascii="Times New Roman" w:hAnsi="Times New Roman"/>
          <w:sz w:val="20"/>
        </w:rPr>
        <w:t>”) shall take place remotely via the exchange of documents and signatures, at 10:00 a.m., New York time on Monday, March 2, 2026 or at such other time and location reasonably acceptable to the Company and the Purchaser (the “</w:t>
      </w:r>
      <w:r>
        <w:rPr>
          <w:rFonts w:ascii="Times New Roman" w:hAnsi="Times New Roman"/>
          <w:sz w:val="20"/>
          <w:u w:val="single"/>
        </w:rPr>
        <w:t>Closing Date</w:t>
      </w:r>
      <w:r>
        <w:rPr>
          <w:rFonts w:ascii="Times New Roman" w:hAnsi="Times New Roman"/>
          <w:sz w:val="20"/>
        </w:rPr>
        <w:t xml:space="preserve">”). At Closing, the Company shall deliver to the Purchaser the number of Shares and Pre-Funded Warrants set forth on the signature page hereto executed by the Purchaser, and the Company and the Purchaser shall deliver the other items set forth in </w:t>
      </w:r>
      <w:r>
        <w:rPr>
          <w:rFonts w:ascii="Times New Roman" w:hAnsi="Times New Roman"/>
          <w:sz w:val="20"/>
          <w:u w:val="single"/>
        </w:rPr>
        <w:t>Sections 2.2</w:t>
      </w:r>
      <w:r>
        <w:rPr>
          <w:rFonts w:ascii="Times New Roman" w:hAnsi="Times New Roman"/>
          <w:sz w:val="20"/>
        </w:rPr>
        <w:t xml:space="preserve"> and </w:t>
      </w:r>
      <w:r>
        <w:rPr>
          <w:rFonts w:ascii="Times New Roman" w:hAnsi="Times New Roman"/>
          <w:sz w:val="20"/>
          <w:u w:val="single"/>
        </w:rPr>
        <w:t>2.3</w:t>
      </w:r>
      <w:r>
        <w:rPr>
          <w:rFonts w:ascii="Times New Roman" w:hAnsi="Times New Roman"/>
          <w:sz w:val="20"/>
        </w:rPr>
        <w:t xml:space="preserve"> at the Closing. The settlement of the Shares shall occur via the Depository Trust Company (“DTC”) Deposit or Withdrawal at Custodian (“</w:t>
      </w:r>
      <w:r>
        <w:rPr>
          <w:rFonts w:ascii="Times New Roman" w:hAnsi="Times New Roman"/>
          <w:sz w:val="20"/>
          <w:u w:val="single"/>
        </w:rPr>
        <w:t>DWAC</w:t>
      </w:r>
      <w:r>
        <w:rPr>
          <w:rFonts w:ascii="Times New Roman" w:hAnsi="Times New Roman"/>
          <w:sz w:val="20"/>
        </w:rPr>
        <w:t xml:space="preserve">”). Specifically,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Closing Date, the Company shall issue (i) the Shares registered in the Purchaser’s name and address and released by the Transfer Agent, directly to the account of the Purchaser as detailed in the signature page hereto and (ii) a Pre-Funded Warrant to the Purchaser to evidence the applicable number of Pre-Funded Warrants purchased by the Purchaser pursuant to the terms of this Agreement. Upon receipt of such Shares and Pre-Funded Warrants, the Purchaser shall promptly deliver payment therefor by wire transfer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Company Deliverables</w:t>
      </w:r>
      <w:r>
        <w:rPr>
          <w:rFonts w:ascii="Times New Roman" w:hAnsi="Times New Roman"/>
          <w:sz w:val="20"/>
        </w:rPr>
        <w:t xml:space="preserve">. Subject to the terms and conditions hereof, on or prior to the Closing, the Company shall deliver, or cause to be delivered, to the Purchaser and (solely with respect to (a) and (f) below) the Placement Agent: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duly executed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a certificate (i) evidencing that the Company has performed and complied in all material respects with the covenants and agreements contained in this Agreement that are required to be performed and complied with by the Company on or prior to the Closing Date and (ii) certifying that the conditions set forth in </w:t>
      </w:r>
      <w:r>
        <w:rPr>
          <w:rFonts w:ascii="Times New Roman" w:hAnsi="Times New Roman"/>
          <w:sz w:val="20"/>
          <w:u w:val="single"/>
        </w:rPr>
        <w:t>Section 6.2(b)</w:t>
      </w:r>
      <w:r>
        <w:rPr>
          <w:rFonts w:ascii="Times New Roman" w:hAnsi="Times New Roman"/>
          <w:sz w:val="20"/>
        </w:rPr>
        <w:t xml:space="preserve"> hereof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(c) a copy of the irrevocable instructions to the Transfer Agent instructing the Transfer Agent to deliver on an expedited basis via DWAC system the Shares and, at the Purchaser election, registered in the name of the Purchaser; and </w:t>
      </w:r>
    </w:p>
    <w:p>
      <w:pPr>
        <w:pStyle w:val="TextBody"/>
        <w:bidi w:val="0"/>
        <w:spacing w:before="240" w:after="0"/>
        <w:jc w:val="left"/>
        <w:rPr>
          <w:rFonts w:ascii="Times New Roman" w:hAnsi="Times New Roman"/>
          <w:sz w:val="20"/>
        </w:rPr>
      </w:pPr>
      <w:r>
        <w:rPr>
          <w:rFonts w:ascii="Times New Roman" w:hAnsi="Times New Roman"/>
          <w:sz w:val="20"/>
        </w:rPr>
        <w:t xml:space="preserve">(d) Subject Pre-Funded Warrants registered in the name of the Purchaser; </w:t>
      </w:r>
    </w:p>
    <w:p>
      <w:pPr>
        <w:pStyle w:val="TextBody"/>
        <w:bidi w:val="0"/>
        <w:spacing w:before="240" w:after="0"/>
        <w:jc w:val="left"/>
        <w:rPr>
          <w:rFonts w:ascii="Times New Roman" w:hAnsi="Times New Roman"/>
          <w:sz w:val="20"/>
        </w:rPr>
      </w:pPr>
      <w:r>
        <w:rPr>
          <w:rFonts w:ascii="Times New Roman" w:hAnsi="Times New Roman"/>
          <w:sz w:val="20"/>
        </w:rPr>
        <w:t xml:space="preserve">(e) the Company’s wire instructions, on Company letterhead and executed by the Chief Executive Officer or Chief Financial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 duly executed Lock-Up Agreements, in the form of </w:t>
      </w:r>
      <w:r>
        <w:rPr>
          <w:rFonts w:ascii="Times New Roman" w:hAnsi="Times New Roman"/>
          <w:sz w:val="20"/>
          <w:u w:val="single"/>
        </w:rPr>
        <w:t>Exhibit B</w:t>
      </w:r>
      <w:r>
        <w:rPr>
          <w:rFonts w:ascii="Times New Roman" w:hAnsi="Times New Roman"/>
          <w:sz w:val="20"/>
        </w:rPr>
        <w:t xml:space="preserve"> attached hereto from each of the persons listed on Schedule A; and </w:t>
      </w:r>
    </w:p>
    <w:p>
      <w:pPr>
        <w:pStyle w:val="TextBody"/>
        <w:bidi w:val="0"/>
        <w:spacing w:before="240" w:after="0"/>
        <w:jc w:val="left"/>
        <w:rPr>
          <w:rFonts w:ascii="Times New Roman" w:hAnsi="Times New Roman"/>
          <w:sz w:val="20"/>
        </w:rPr>
      </w:pPr>
      <w:r>
        <w:rPr>
          <w:rFonts w:ascii="Times New Roman" w:hAnsi="Times New Roman"/>
          <w:sz w:val="20"/>
        </w:rPr>
        <w:t xml:space="preserve">(g) the Prospectus and Prospectus Supplement (which may be delivered in accordance with Rule 172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Purchaser Deliverables</w:t>
      </w:r>
      <w:r>
        <w:rPr>
          <w:rFonts w:ascii="Times New Roman" w:hAnsi="Times New Roman"/>
          <w:sz w:val="20"/>
        </w:rPr>
        <w:t xml:space="preserve">. Subject to the terms and conditions hereof, on or prior to the Closing, the Purchaser shall deliver, or cause to be delivered, (i) this Agreement duly executed by the Purchaser and (ii) payment to the Company of the amount set forth opposite the Purchaser’s name on the signature page hereto by wire transfer of immediately available funds to an account designated by the Company in accordance with the wire instructions provided in writing by the Company to the Purchaser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Except as disclosed in the Registration Statement or Prospectus (including the Incorporated Documents), the Company represents and warrants to, and agrees with the Placement Agent that as of the date of this Agreement, unless such representation, warranty or agreement specifies a different date or time.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and Qualification</w:t>
      </w:r>
      <w:r>
        <w:rPr>
          <w:rFonts w:ascii="Times New Roman" w:hAnsi="Times New Roman"/>
          <w:sz w:val="20"/>
        </w:rPr>
        <w:t>. The Company and each of its subsidiaries (as defined in Rule 405 of the Securities Act) (each, a “</w:t>
      </w:r>
      <w:r>
        <w:rPr>
          <w:rFonts w:ascii="Times New Roman" w:hAnsi="Times New Roman"/>
          <w:sz w:val="20"/>
          <w:u w:val="single"/>
        </w:rPr>
        <w:t>Subsidiary</w:t>
      </w:r>
      <w:r>
        <w:rPr>
          <w:rFonts w:ascii="Times New Roman" w:hAnsi="Times New Roman"/>
          <w:sz w:val="20"/>
        </w:rPr>
        <w:t>,” collectively, the “</w:t>
      </w:r>
      <w:r>
        <w:rPr>
          <w:rFonts w:ascii="Times New Roman" w:hAnsi="Times New Roman"/>
          <w:sz w:val="20"/>
          <w:u w:val="single"/>
        </w:rPr>
        <w:t>Subsidiaries</w:t>
      </w:r>
      <w:r>
        <w:rPr>
          <w:rFonts w:ascii="Times New Roman" w:hAnsi="Times New Roman"/>
          <w:sz w:val="20"/>
        </w:rPr>
        <w:t xml:space="preserve">”), have been duly organized and are validly existing as corporations or other legal entities in good standing (or the foreign equivalent thereof) under the laws of their respective jurisdictions of organization, in each case, to the extent the concept of good standing is applicable in such jurisdiction, except with respect to the Company’s subsidiaries where the failure to be in good standing would not have a Material Adverse Effect (as defined below). The Company and each of its subsidiaries are duly qualified to do business and (to the extent applicable) are in good standing as foreign corporations or other legal entities in each jurisdiction in which such qualification is required and have all corporate or similar power and authority necessary to own or hold their respective properties and to conduct the businesses in which they are engaged, except where the failure to so qualify or have such corporate or similar power or authority would not (a) have, individually or in the aggregate, a material adverse effect on the business, properties, management, financial position, stockholders’ equity, results of operations or prospects of the Company and its subsidiaries, taken as a whole, or (b) impair in any material respect the ability of the Company to perform its obligations under this Agreement or to consummate any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contemplated by this Agreement, the Registration Statement or the Prospectus (any such effect as described in clauses (a) or (b), a “</w:t>
      </w:r>
      <w:r>
        <w:rPr>
          <w:rFonts w:ascii="Times New Roman" w:hAnsi="Times New Roman"/>
          <w:sz w:val="20"/>
          <w:u w:val="single"/>
        </w:rPr>
        <w:t>Material Adverse Effect</w:t>
      </w:r>
      <w:r>
        <w:rPr>
          <w:rFonts w:ascii="Times New Roman" w:hAnsi="Times New Roman"/>
          <w:sz w:val="20"/>
        </w:rPr>
        <w:t xml:space="preserve">”). The Company does not own or control, directly or indirectly, any corporation, association or other entity other than the subsidiaries listed in Exhibit 21 to its most recently filed annual report on Form 10-K.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Subsidiaries</w:t>
      </w:r>
      <w:r>
        <w:rPr>
          <w:rFonts w:ascii="Times New Roman" w:hAnsi="Times New Roman"/>
          <w:sz w:val="20"/>
        </w:rPr>
        <w:t xml:space="preserve">. All the outstanding shares of capital stock (if any) or other equity securities of each Subsidiary of the Company have been duly authorized and validly issued, are fully paid and (where applicable) nonassessable and, except to the extent set forth in the Registration Statement or the Prospectus, are owned by the Company directly or indirectly through one or more wholly owned subsidiaries, free and clear of any claim, lien, encumbrance, security interest, restriction upon voting or transfer or any other claim of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Authorization; Enforcement</w:t>
      </w:r>
      <w:r>
        <w:rPr>
          <w:rFonts w:ascii="Times New Roman" w:hAnsi="Times New Roman"/>
          <w:sz w:val="20"/>
        </w:rPr>
        <w:t xml:space="preserve">. This Agreement has been duly authorized, executed and delivered by the Company. The Shares to be issued and sold by the Company to the Purchaser hereunder have been duly and validly authorized and, when issued and delivered against payment therefor as provided in this Agreement, (i) will be duly and validly issued, fully paid and non-assessable, (ii) will be free and clear of any pledge, lien, encumbrance, security interest or other claim, and (iii) will conform, in all material respects, to the descriptions thereof in the Registration Statement. The issuance of the Securities is not subject to any preemptive or similar rights. The Pre-Funded Warrants have been duly authorized and, when executed and delivered by the Company in accordance with this Agreement, will be valid and legally binding agreements of the Company, enforceable against the Company in accordance with their terms except as the enforcement thereof may be limited by applicable bankruptcy, insolvency, reorganization, moratorium or other similar laws relating to or affecting the rights and remedies of creditors or by general equitable principles. The maximum number of Warrant Shares to be issued by the Company upon exercise of the Pre-Funded Warrants in accordance therewith have been duly authorized and have been or will be reserved for issuance upon exercise of the Pre-Funded Warrants in a number sufficient to meet the current exercise requirements. The Pre-Funded Warrant Shares, when issued and delivered upon exercise of the Pre-Funded Warrants in accordance therewith, will be validly issued, fully paid and non-assessable, and the issuance of the Warrant Shares is not subject to any preemptive or similar rights not otherwise validly waived or satisfied.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No Conflicts</w:t>
      </w:r>
      <w:r>
        <w:rPr>
          <w:rFonts w:ascii="Times New Roman" w:hAnsi="Times New Roman"/>
          <w:sz w:val="20"/>
        </w:rPr>
        <w:t>. The execution, delivery and performance of this Agreement by the Company, the issuance and sale of the Securities by the Company and the consummation of the transactions contemplated hereby will not (with or without notice or lapse of time or both) (a) conflict with or result in a breach or violation of any of the terms or provisions of, constitute a default under, or result in the creation or imposition of any lien, encumbrance, security interest, claim or charge upon any property or assets of the Company or any Subsidiary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(b) result in any violation of the provisions of the charter or by-laws (or analogous governing instruments, as applicable) of the Company or any of its Subsidiaries or (c) result in the violation of any law, statute, rule, regulation, judgment, order or decree of any court or governmental or regulatory agency or body, domestic or foreign, having jurisdiction over the Company or any of its Subsidiaries or any of their properties or assets except, in the case of clauses (a), (b) (with respect to the Company’s Subsidiaries that are not “significant subsidiaries”, as such term is defined in Rule 1-02 of Regulation S-X under the Securities Act (“</w:t>
      </w:r>
      <w:r>
        <w:rPr>
          <w:rFonts w:ascii="Times New Roman" w:hAnsi="Times New Roman"/>
          <w:sz w:val="20"/>
          <w:u w:val="single"/>
        </w:rPr>
        <w:t>Significant Subsidiaries</w:t>
      </w:r>
      <w:r>
        <w:rPr>
          <w:rFonts w:ascii="Times New Roman" w:hAnsi="Times New Roman"/>
          <w:sz w:val="20"/>
        </w:rPr>
        <w:t xml:space="preserve">”)) and (c) above, for any such conflict, breach, violation or default that would not reasonably be expected,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OFAC</w:t>
      </w:r>
      <w:r>
        <w:rPr>
          <w:rFonts w:ascii="Times New Roman" w:hAnsi="Times New Roman"/>
          <w:sz w:val="20"/>
        </w:rPr>
        <w:t>. Neither the Company nor any of its Subsidiaries, directors, officers, or employees, nor, to the Company’s Knowledge, any authorized agent, affiliate or other person authorized to act on behalf of the Company or any of its Subsidiaries is currently the subject or the target of any sanctions administered or enforced by the U.S. government (including, without limitation, the Office of Foreign Assets Control of the U.S. Department of the Treasury (“</w:t>
      </w:r>
      <w:r>
        <w:rPr>
          <w:rFonts w:ascii="Times New Roman" w:hAnsi="Times New Roman"/>
          <w:sz w:val="20"/>
          <w:u w:val="single"/>
        </w:rPr>
        <w:t>OFAC</w:t>
      </w:r>
      <w:r>
        <w:rPr>
          <w:rFonts w:ascii="Times New Roman" w:hAnsi="Times New Roman"/>
          <w:sz w:val="20"/>
        </w:rPr>
        <w:t>”)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 w:hAnsi="Times New Roman"/>
          <w:sz w:val="20"/>
          <w:u w:val="single"/>
        </w:rPr>
        <w:t>Sanctions</w:t>
      </w:r>
      <w:r>
        <w:rPr>
          <w:rFonts w:ascii="Times New Roman" w:hAnsi="Times New Roman"/>
          <w:sz w:val="20"/>
        </w:rPr>
        <w:t>”), nor is the Company or any of its Subsidiaries located, organized or resident in a country or territory that is the subject or target of Sanctions, including, without limitation, the Crimea Region of Ukraine, the so-called Donetsk People’s Republic, the so-called Luhansk People’s Republic, Cuba, Iran, North Korea and Syria (each, a “</w:t>
      </w:r>
      <w:r>
        <w:rPr>
          <w:rFonts w:ascii="Times New Roman" w:hAnsi="Times New Roman"/>
          <w:sz w:val="20"/>
          <w:u w:val="single"/>
        </w:rPr>
        <w:t>Sanctioned Country</w:t>
      </w:r>
      <w:r>
        <w:rPr>
          <w:rFonts w:ascii="Times New Roman" w:hAnsi="Times New Roman"/>
          <w:sz w:val="20"/>
        </w:rPr>
        <w:t xml:space="preserve">”); and the Company will not directly or indirectly use the proceeds of the offering of the Placement Securities hereunder, or lend, contribute or otherwise make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available such proceeds to any Subsidiary, joint venture partner or other person or entity (a) to fund or facilitate any activities of or business with any person that, at the time of such funding or facilitation, is the subject or target of Sanctions, (b) to fund or facilitate any activities of or business in any Sanctioned Country or (c) in any other manner that will result in a violation by any person (including any person participating in the transaction, whether as underwriter, advisor, investor or otherwise) of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Stock Transfer Taxes</w:t>
      </w:r>
      <w:r>
        <w:rPr>
          <w:rFonts w:ascii="Times New Roman" w:hAnsi="Times New Roman"/>
          <w:sz w:val="20"/>
        </w:rPr>
        <w:t xml:space="preserve">. At Closing, all material stock transfer or other taxes (other than income taxes) which are required to be paid in connection with the issuance and sale of the Securities to be sold hereunder will be, or will have been, fully paid or provided for by the Company and all laws imposing such taxes will be or will have been fully complied with by the Company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IT Systems</w:t>
      </w:r>
      <w:r>
        <w:rPr>
          <w:rFonts w:ascii="Times New Roman" w:hAnsi="Times New Roman"/>
          <w:sz w:val="20"/>
        </w:rPr>
        <w:t>. The Company and its Subsidiaries’ information technology assets and equipment, computers, systems, networks, hardware, software, websites, applications, and databases (collectively, “</w:t>
      </w:r>
      <w:r>
        <w:rPr>
          <w:rFonts w:ascii="Times New Roman" w:hAnsi="Times New Roman"/>
          <w:sz w:val="20"/>
          <w:u w:val="single"/>
        </w:rPr>
        <w:t>IT Systems</w:t>
      </w:r>
      <w:r>
        <w:rPr>
          <w:rFonts w:ascii="Times New Roman" w:hAnsi="Times New Roman"/>
          <w:sz w:val="20"/>
        </w:rPr>
        <w:t xml:space="preserve">”) are adequate for, and operate and perform in all material respects as required in connection with the operation of the business of the Company and its Subsidiaries as currently conducted. The Company and its Subsidiaries have implemented and maintained commercially reasonable controls, policies, procedures, and safeguards to maintain and protect their material confidential information and the integrity, operation, redundancy and security of all IT Systems and data (including personal data) used in connection with their businesses, and to the Company’s Knowledge there have been no breaches, violations, outages or unauthorized uses of or accesses to same, except for those that have been remedied without material cost or liability. The Company and its Subsidiaries are presently in material compliance with all applicable laws or statutes and all judgments, orders, rules and regulations of any court or arbitrator or governmental or regulatory authority with competent jurisdiction and internal policies relating to the privacy and security of IT Systems and to the protection of such IT Systems from unauthorized use, access, misappropriation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Export and Import Laws</w:t>
      </w:r>
      <w:r>
        <w:rPr>
          <w:rFonts w:ascii="Times New Roman" w:hAnsi="Times New Roman"/>
          <w:sz w:val="20"/>
        </w:rPr>
        <w:t>. Each of the Company and the subsidiaries, and, to the Company’s Knowledge, each of their affiliates and any director, officer, authorized agent or employee of, or other person authorized to act on behalf of, the Company has acted at all times in compliance in all material respects with applicable Export and Import Laws (as defined below) and there are no claims, complaints, charges, investigations or proceedings pending or expected or, to the knowledge of the Company, threatened between the Company or any of the Subsidiaries and any governmental authority under any Export or Import Laws. The term “</w:t>
      </w:r>
      <w:r>
        <w:rPr>
          <w:rFonts w:ascii="Times New Roman" w:hAnsi="Times New Roman"/>
          <w:sz w:val="20"/>
          <w:u w:val="single"/>
        </w:rPr>
        <w:t>Export and Import Laws</w:t>
      </w:r>
      <w:r>
        <w:rPr>
          <w:rFonts w:ascii="Times New Roman" w:hAnsi="Times New Roman"/>
          <w:sz w:val="20"/>
        </w:rPr>
        <w:t xml:space="preserve">”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Money Transmitter Laws</w:t>
      </w:r>
      <w:r>
        <w:rPr>
          <w:rFonts w:ascii="Times New Roman" w:hAnsi="Times New Roman"/>
          <w:sz w:val="20"/>
        </w:rPr>
        <w:t>. The Company and its Subsidiaries, as applicable, are duly registered to the extent required with all applicable state, federal and other governmental authorities with competent jurisdiction under applicable Money Transmitter Laws and Virtual Currency Business Laws in the United States and any other applicable non-U.S. jurisdictions relating to licensing or registration for their activities, except in each case as would not, individually or in the aggregate, reasonably be expected to have a Material Adverse Effect. The operations of the Company and its Subsidiaries have been conducted in material compliance with all requirements under applicable Money Transmitter Laws and Virtual Currency Business Laws, except in each case as would not, individually or in the aggregate, reasonably be expected to have a Material Adverse Effect. To the Company’s Knowledge, the Company and its subsidiaries are not subject to any enforcement actions, regulatory inquiries and investigations, threatened, ongoing, or settled enforcement, cautionary or other disciplinary matters, complaints or correspondence discussing actual or potential liabilities, requests for information, citations or notices of violation, and any significant proceedings before any governmental authority regarding its money transmitter or virtual currency business, except in each case as would not, individually or in the aggregate, reasonably be expected to have a Material Adverse Effect. For purposes of this paragraph, (1) “</w:t>
      </w:r>
      <w:r>
        <w:rPr>
          <w:rFonts w:ascii="Times New Roman" w:hAnsi="Times New Roman"/>
          <w:sz w:val="20"/>
          <w:u w:val="single"/>
        </w:rPr>
        <w:t>Money Transmitter Laws</w:t>
      </w:r>
      <w:r>
        <w:rPr>
          <w:rFonts w:ascii="Times New Roman" w:hAnsi="Times New Roman"/>
          <w:sz w:val="20"/>
        </w:rPr>
        <w:t xml:space="preserve">” means all legal or regulatory requirements relating to the licensing or registration of a person that provides services relating to the acceptance of currency, funds, or other value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substitutes for currency from one person and the transmission of currency, funds, or other value that substitutes for currency to another location or person by any means, including through a financial agency or institution, a Federal Reserve Bank or other facility of one or more Federal Reserve Banks, the Board of Governors of the Federal Reserve System, or both, an electronic funds transfer network or an informal value transfer system, or any other person engaged in the transfer of funds and (2) “</w:t>
      </w:r>
      <w:r>
        <w:rPr>
          <w:rFonts w:ascii="Times New Roman" w:hAnsi="Times New Roman"/>
          <w:sz w:val="20"/>
          <w:u w:val="single"/>
        </w:rPr>
        <w:t>Virtual Currency Business Laws</w:t>
      </w:r>
      <w:r>
        <w:rPr>
          <w:rFonts w:ascii="Times New Roman" w:hAnsi="Times New Roman"/>
          <w:sz w:val="20"/>
        </w:rPr>
        <w:t xml:space="preserve">” means all legal or regulatory requirements that may be enforced by any governmental authority for activities involving virtual currency, including, but not limited to, (i) receiving virtual currency for transmission or transmitting virtual currency, (ii) storing, holding, or maintaining custody or control of virtual currency on behalf of others, (iii) buying and selling virtual currency, (iv) performing exchange services or (v) controlling, administering or issuing a virtual currency.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No Acquisitions or Dispositions</w:t>
      </w:r>
      <w:r>
        <w:rPr>
          <w:rFonts w:ascii="Times New Roman" w:hAnsi="Times New Roman"/>
          <w:sz w:val="20"/>
        </w:rPr>
        <w:t xml:space="preserve">. Except as are described in the Registration Statement and the Prospectus, there are no contracts, letters of intent, term sheets, agreement, arrangements or understandings with respect to the direct or indirect acquisition or disposition by the Company of material interests in real or personal property.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Filings, Consents and Approvals</w:t>
      </w:r>
      <w:r>
        <w:rPr>
          <w:rFonts w:ascii="Times New Roman" w:hAnsi="Times New Roman"/>
          <w:sz w:val="20"/>
        </w:rPr>
        <w:t xml:space="preserve">. Assuming after Closing no holder of Class A Common Stock or holder of Pre-Funded Warrants (or any of such holder’s affiliates or any other person who would be a beneficial owner of Class A Common Stock beneficially owned by the holder for purposes of Section 13(d) or Section 16 of the Exchange Act and the applicable rules and regulations of the Commission, including any “group” as defined thereunder of which the holder is a member) would beneficially own (as determined in accordance with Section 13(d) of the Exchange Act and the rules promulgated thereunder) in excess of 9.99% of the number of shares of Class A Common Stock and except for the registration of the Securities under the Securities Act and applicable state securities laws, and such consents, approvals, authorizations, orders and registrations or qualifications as may be required by FINRA and NYSE in connection with the purchase and distribution of the Securities by the Purchaser and the listing of the Class A Common Stock and the Pre-Funded Warrant Shares on NYSE, no consent, approval, authorization or order of, or filing, qualification or registration (each an “Authorization”) with, any court, governmental or regulatory agency or body, foreign or domestic, which has not been made, obtained or taken and is not in full force and effect, is required for the execution, delivery and performance of this Agreement by the Company, the issuance and sale of the Class A Common Stock, the Pre-Funded Warrant Shares or the consummation of the transactions contemplated hereby; and no event has occurred that allows or results in, or after notice or lapse of time or both would allow or result in, revocation, suspension, termination or invalidation of any such Authorization or any other impairment of the rights of the holder or maker of any such Authorization.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Capitalization</w:t>
      </w:r>
      <w:r>
        <w:rPr>
          <w:rFonts w:ascii="Times New Roman" w:hAnsi="Times New Roman"/>
          <w:sz w:val="20"/>
        </w:rPr>
        <w:t xml:space="preserve">. The Company has an authorized, issued and outstanding capitalization as set forth in the Registration Statement, the Prospectus and the Prospectus Supplement as of the dates referred to therein (other than the grant of additional options under the Company’s existing stock option plans, or changes in the number of outstanding shares of Common Stock of the Company due to the issuance of shares upon the exercise, conversion or settlement of securities that are outstanding on the date hereof exercisable for, convertible into, or settled for Common Stock) and such authorized capital stock conforms to the description thereof set forth in the Registration Statement, the Prospectus and the Prospectus Supplement. The description of the securities of the Company in the Registration Statement, the Prospectus and the Prospectus Supplement is complete and accurate in all material respects. Except as disclosed in or contemplated by the Registration Statement, the Prospectus and the Prospectus Supplement,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Financial Statements</w:t>
      </w:r>
      <w:r>
        <w:rPr>
          <w:rFonts w:ascii="Times New Roman" w:hAnsi="Times New Roman"/>
          <w:sz w:val="20"/>
        </w:rPr>
        <w:t>. The financial statements, together with the related notes and schedules, included or incorporated by reference in the Registration Statement and the Prospectus fairly present in all material respects the financial position and the results of operations and changes in financial position of the Company and its consolidated subsidiaries at the respective dates or for the respective periods therein specified. Such statements and related notes and schedules have been prepared in accordance with the generally accepted accounting principles in the United States (in effect as of the applicable date or period of time, “</w:t>
      </w:r>
      <w:r>
        <w:rPr>
          <w:rFonts w:ascii="Times New Roman" w:hAnsi="Times New Roman"/>
          <w:sz w:val="20"/>
          <w:u w:val="single"/>
        </w:rPr>
        <w:t>GAAP</w:t>
      </w:r>
      <w:r>
        <w:rPr>
          <w:rFonts w:ascii="Times New Roman" w:hAnsi="Times New Roman"/>
          <w:sz w:val="20"/>
        </w:rPr>
        <w:t xml:space="preserve">”) applied on a consistent basis throughout the periods involved except as may be set forth in the related notes included or incorporated by reference in the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and the Prospectus. The financial statements, together with the related notes and schedules, included or incorporated by reference in the Registration Statement and the Prospectus comply in all material respects with Regulation S-X. No other financial statements or supporting schedules or exhibits are required by Regulation S-X to be described or included or incorporated by reference in the Registration Statement or the Prospectus. All information contained in the Registration Statement and the Prospectus regarding “non-GAAP financial measures” (as defined in Regulation G) complies with Regulation G and Item 10 of Regulation S-K, to the extent applicable.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No Material Notices</w:t>
      </w:r>
      <w:r>
        <w:rPr>
          <w:rFonts w:ascii="Times New Roman" w:hAnsi="Times New Roman"/>
          <w:sz w:val="20"/>
        </w:rPr>
        <w:t xml:space="preserve">.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initiation of any proceedings for that purpose; (iii) receipt by the Company of any notification with respect to the suspension of the qualification or exemption from qualification of any of the Securities for sale in any jurisdiction or the initiation or threatening in writing of any proceeding for such purpose; or (iv) the occurrence of any event that makes any statement of a material fact made in the Registration Statement or the Prospectus, or any document incorporated or deemed to be incorporated therein by reference untrue in any material respect or that requires the making of any changes in the Registration Statement, the Prospectus or Incorporated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 material fact required to be stated therein or necessary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No Misstatement or Material Omission</w:t>
      </w:r>
      <w:r>
        <w:rPr>
          <w:rFonts w:ascii="Times New Roman" w:hAnsi="Times New Roman"/>
          <w:sz w:val="20"/>
        </w:rPr>
        <w:t xml:space="preserve">. The Placement Agent shall not have advised the Company that the Registration Statement or Prospectus, or any amendment or supplement thereto, contains an untrue statement of fact that in the Placement Agent’s reasonable opinion is material, or omits to state a fact that in the Placement Agent’s reasonable opinion is material and is required to be stated therein or is necessary to make the statements therein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Material Changes</w:t>
      </w:r>
      <w:r>
        <w:rPr>
          <w:rFonts w:ascii="Times New Roman" w:hAnsi="Times New Roman"/>
          <w:sz w:val="20"/>
        </w:rPr>
        <w:t>. Except as contemplated in the Prospectus, if any, or disclosed in the Company’s reports filed with the Commission, there shall not have been any Material Adverse Effect or any development that would cause a Material Adverse Effect, or a downgrading in or withdrawal of the rating assigned to any of the Company’s securities (other than asset backed securities) by any “nationally recognized statistical rating organization” (as defined by the Commission for purposes of Rule 436(g)(2) under the Securities Act) (a “</w:t>
      </w:r>
      <w:r>
        <w:rPr>
          <w:rFonts w:ascii="Times New Roman" w:hAnsi="Times New Roman"/>
          <w:sz w:val="20"/>
          <w:u w:val="single"/>
        </w:rPr>
        <w:t>Rating Organization</w:t>
      </w:r>
      <w:r>
        <w:rPr>
          <w:rFonts w:ascii="Times New Roman" w:hAnsi="Times New Roman"/>
          <w:sz w:val="20"/>
        </w:rPr>
        <w:t xml:space="preserve">”)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Placement Agent (without relieving the Company of any obligation or liability it may otherwise have), is so material as to make it impracticable or inadvisable to proceed with the offering of the Securities on the terms and in the manner contemplated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No Litigation</w:t>
      </w:r>
      <w:r>
        <w:rPr>
          <w:rFonts w:ascii="Times New Roman" w:hAnsi="Times New Roman"/>
          <w:sz w:val="20"/>
        </w:rPr>
        <w:t xml:space="preserve">. There are no legal or governmental proceedings pending or to the Company’s Knowledge, threatened, to which the Company or any Subsidiary is a party or to which any of the properties of the Company or any Subsidiary is subject (i) other than proceedings accurately described in all material respects in the Prospectus and proceedings that would not have a Material Adverse Effect on the Company and its subsidiaries, taken as a whole, or on the power or ability of the Company to perform its obligations under this Agreement or to consummate the transactions contemplated by the Prospectus or (ii) that are required to be described in the Registration Statement or the Prospectus and are not so described. </w:t>
      </w:r>
    </w:p>
    <w:p>
      <w:pPr>
        <w:pStyle w:val="TextBody"/>
        <w:bidi w:val="0"/>
        <w:spacing w:before="24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Labor Disputes</w:t>
      </w:r>
      <w:r>
        <w:rPr>
          <w:rFonts w:ascii="Times New Roman" w:hAnsi="Times New Roman"/>
          <w:sz w:val="20"/>
        </w:rPr>
        <w:t xml:space="preserve">. There is (a) no significant unfair labor practice complaint pending against the Company, or any of its Subsidiaries, nor to the Company’s Knowledge, threatened against it or any of its subsidiaries, before the National Labor Relations Board, any state or local labor relation board or any foreign labor relations board, and no significant grievance or significant arbitration proceeding arising out of or under any collective bargaining agreement is so pending against the Company or any of its Subsidiaries, or, to the Company’s Knowledge, threatened against it or them and (b) no labor disturbance by or dispute with employees of the Company or any of its Subsidiaries exists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to the Company’s Knowledge, is contemplated or threatened, and the Company is not aware of any existing or imminent labor disturbance by the employees of any of its or its Subsidiaries’ principal suppliers, manufacturers, customers or contractors, in each of the cases contemplated by clauses (a) or (b) that would reasonably be expected,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Licenses or Permits</w:t>
      </w:r>
      <w:r>
        <w:rPr>
          <w:rFonts w:ascii="Times New Roman" w:hAnsi="Times New Roman"/>
          <w:sz w:val="20"/>
        </w:rPr>
        <w:t>. The Company and each of its Subsidiaries possess all licenses, certificates, authorizations and permits issued by, and have made all declarations and filings with, the appropriate local, state, federal or foreign governmental or regulatory agencies or bodies that are necessary for the ownership or lease of their respective properties or the conduct of their respective businesses as described in the Prospectus, including but not limited to their BitLicense issued by the New York Department of Financial Services (“</w:t>
      </w:r>
      <w:r>
        <w:rPr>
          <w:rFonts w:ascii="Times New Roman" w:hAnsi="Times New Roman"/>
          <w:sz w:val="20"/>
          <w:u w:val="single"/>
        </w:rPr>
        <w:t>NYDFS</w:t>
      </w:r>
      <w:r>
        <w:rPr>
          <w:rFonts w:ascii="Times New Roman" w:hAnsi="Times New Roman"/>
          <w:sz w:val="20"/>
        </w:rPr>
        <w:t>”), licensure as a money transmitter, and registration with the U.S. Department of the Treasury as a “money services business” under 31 C.F.R. § 1022.380 (collectively, the “</w:t>
      </w:r>
      <w:r>
        <w:rPr>
          <w:rFonts w:ascii="Times New Roman" w:hAnsi="Times New Roman"/>
          <w:sz w:val="20"/>
          <w:u w:val="single"/>
        </w:rPr>
        <w:t>Governmental Permits</w:t>
      </w:r>
      <w:r>
        <w:rPr>
          <w:rFonts w:ascii="Times New Roman" w:hAnsi="Times New Roman"/>
          <w:sz w:val="20"/>
        </w:rPr>
        <w:t xml:space="preserve">”), except where any failures to possess or make the same would not reasonably be expected, individually or in the aggregate, to have a Material Adverse Effect. The Company and its subsidiaries are in compliance with all such Governmental Permits, except where any failures to comply would not, individually or in the aggregate, reasonably be expected to have a Material Adverse Effect. All such Governmental Permits are valid and in full force and effect, except where the validity or failure to be in full force and effect would not reasonably be expected, individually or in the aggregate, to have a Material Adverse Effect. Neither the Company nor any subsidiary has received any written notification of any revocation, modification, suspension, termination or invalidation of any such Governmental Permit. </w:t>
      </w:r>
    </w:p>
    <w:p>
      <w:pPr>
        <w:pStyle w:val="TextBody"/>
        <w:bidi w:val="0"/>
        <w:spacing w:before="240" w:after="0"/>
        <w:jc w:val="left"/>
        <w:rPr>
          <w:rFonts w:ascii="Times New Roman" w:hAnsi="Times New Roman"/>
          <w:sz w:val="20"/>
        </w:rPr>
      </w:pPr>
      <w:r>
        <w:rPr>
          <w:rFonts w:ascii="Times New Roman" w:hAnsi="Times New Roman"/>
          <w:sz w:val="20"/>
        </w:rPr>
        <w:t>3.22</w:t>
      </w:r>
      <w:r>
        <w:rPr>
          <w:rFonts w:ascii="Times New Roman" w:hAnsi="Times New Roman"/>
          <w:sz w:val="20"/>
          <w:u w:val="single"/>
        </w:rPr>
        <w:t> Taxes</w:t>
      </w:r>
      <w:r>
        <w:rPr>
          <w:rFonts w:ascii="Times New Roman" w:hAnsi="Times New Roman"/>
          <w:sz w:val="20"/>
        </w:rPr>
        <w:t xml:space="preserve">. The Company and the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do so would not have a Material Adverse Effect. Except as otherwise disclosed in or contemplated by the Registration Statement or the Prospectus, no tax deficiency has been determined adversely to the Company or any Subsidiary which has had, or would have, individually or in the aggregate, a Material Adverse Effect. The Company has no knowledge of any federal, state or other governmental tax deficiency, penalty or assessment which has been or might be asserted or threatened against it which would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Title to Real and Personal Property.</w:t>
      </w:r>
      <w:r>
        <w:rPr>
          <w:rFonts w:ascii="Times New Roman" w:hAnsi="Times New Roman"/>
          <w:sz w:val="20"/>
        </w:rPr>
        <w:t xml:space="preserve"> The Company and the Subsidiaries have sufficient title in and (in the case of real property) to, or have valid and sufficient rights to lease or otherwise use, all items of real or personal property described in the Registration Statement or Prospectus as being owned by them that are material to the businesses of the Company or the Subsidiaries, taken as a whole, in each case free and clear of all liens, encumbrances and claims, except those that (i) do not materially interfere with the use made and proposed to be made of such property by the Company and the Subsidiaries or (ii) would not reasonably be expected,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Intellectual Property.</w:t>
      </w:r>
      <w:r>
        <w:rPr>
          <w:rFonts w:ascii="Times New Roman" w:hAnsi="Times New Roman"/>
          <w:sz w:val="20"/>
        </w:rPr>
        <w:t xml:space="preserve"> The Company and its Subsidiaries own or possess the valid right to use all (a) valid and enforceable patents, patent applications, trademarks, trademark registrations, service marks, service mark registrations, Internet domain name registrations, copyrights, copyright registrations, licenses, trade secret rights (“</w:t>
      </w:r>
      <w:r>
        <w:rPr>
          <w:rFonts w:ascii="Times New Roman" w:hAnsi="Times New Roman"/>
          <w:sz w:val="20"/>
          <w:u w:val="single"/>
        </w:rPr>
        <w:t>Intellectual Property Rights</w:t>
      </w:r>
      <w:r>
        <w:rPr>
          <w:rFonts w:ascii="Times New Roman" w:hAnsi="Times New Roman"/>
          <w:sz w:val="20"/>
        </w:rPr>
        <w:t>”) and (b) inventions, software, works of authorships, trademarks, service marks, trade names, databases, formulae, know how, Internet domain names and other intellectual property (including trade secrets and other unpatented and/or unpatentable proprietary confidential information, systems, or procedures) (collectively, “</w:t>
      </w:r>
      <w:r>
        <w:rPr>
          <w:rFonts w:ascii="Times New Roman" w:hAnsi="Times New Roman"/>
          <w:sz w:val="20"/>
          <w:u w:val="single"/>
        </w:rPr>
        <w:t>Intellectual Property Assets</w:t>
      </w:r>
      <w:r>
        <w:rPr>
          <w:rFonts w:ascii="Times New Roman" w:hAnsi="Times New Roman"/>
          <w:sz w:val="20"/>
        </w:rPr>
        <w:t xml:space="preserve">”) necessary to conduct their respective businesses as currently conducted, and as proposed to be conducted and described in the Registration Statement and the Prospectus. The Company and its Subsidiaries have not received any opinion from their legal counsel concluding that any activities of their respective businesses infringe, misappropriate, or otherwise violate, valid and enforceable Intellectual Property Rights of any other person, and have not received written notice of any challenge, which is to the Company’s Knowledge still pending, by any other person to the rights of the Company and its Subsidiaries with respect to any Intellectual Property Rights or Intellectual Property Assets owned or used by the Company or its Subsidiaries. To the Company’s Knowledge, the Company and its Subsidiaries’ respective businesses as now conducted do not give rise to any infringement of, any misappropriation of, or other violation of, any valid and enforceable Intellectual Property Rights of any other person. All licenses for the use of the Intellectual Property Rights described in the Registration Statement and the Prospectus are valid, binding upon, and enforceable by or against the parties thereto in accordance to its terms. The Company has complied in all material respects with, and is not in breach nor has received any asserted or threatened claim of breach of, any intellectual property license, and the Company has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knowledge of any breach or anticipated breach by any other person to any intellectual property license. To the Company’s Knowledge, no claim has been made against the Company alleging the infringement by the Company of any patent, trademark, service mark, trade name, copyright, trade secret, license in or other intellectual property right or franchise right of any person. The Company has taken all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3.25 </w:t>
      </w:r>
      <w:r>
        <w:rPr>
          <w:rFonts w:ascii="Times New Roman" w:hAnsi="Times New Roman"/>
          <w:sz w:val="20"/>
          <w:u w:val="single"/>
        </w:rPr>
        <w:t>Environmental Laws</w:t>
      </w:r>
      <w:r>
        <w:rPr>
          <w:rFonts w:ascii="Times New Roman" w:hAnsi="Times New Roman"/>
          <w:sz w:val="20"/>
        </w:rPr>
        <w:t>. The Company and its Subsidiaries are in compliance with all foreign, federal, state and local rules, laws and regulations relating to the use, treatment, storage and disposal of hazardous or toxic substances or waste and protection of health and safety or the environment which are applicable to their businesses (“</w:t>
      </w:r>
      <w:r>
        <w:rPr>
          <w:rFonts w:ascii="Times New Roman" w:hAnsi="Times New Roman"/>
          <w:sz w:val="20"/>
          <w:u w:val="single"/>
        </w:rPr>
        <w:t>Environmental Laws</w:t>
      </w:r>
      <w:r>
        <w:rPr>
          <w:rFonts w:ascii="Times New Roman" w:hAnsi="Times New Roman"/>
          <w:sz w:val="20"/>
        </w:rPr>
        <w:t xml:space="preserve">”) other than any lack of compliance that would not reasonably be expected, individually or in the aggregate, to have a Material Adverse Effect. Except as would not reasonably be expected, individually or in the aggregate, to have a Material Adverse Effect, there has been no storage, generation, transportation, handling, treatment, disposal, discharge, emission, or other release of any kind of toxic or other wastes or other hazardous substances by, due to, or caused by the Company or any of its Subsidiaries (or, to the Company’s Knowledge, any other entity for whose acts or omissions the Company or any of its Subsidiaries is or may otherwise be liable) upon any of the property now or previously owned or leased by the Company or any of its Subsidiaries, or upon any other property, in violation of any Environmental Laws; and to the Company’s Knowledge there has been no disposal, discharge, emission or other release of any kind onto such property or into the environment surrounding such property of any toxic or other wastes or other hazardous substances in violation of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3.26 </w:t>
      </w:r>
      <w:r>
        <w:rPr>
          <w:rFonts w:ascii="Times New Roman" w:hAnsi="Times New Roman"/>
          <w:sz w:val="20"/>
          <w:u w:val="single"/>
        </w:rPr>
        <w:t>Insurance</w:t>
      </w:r>
      <w:r>
        <w:rPr>
          <w:rFonts w:ascii="Times New Roman" w:hAnsi="Times New Roman"/>
          <w:sz w:val="20"/>
        </w:rPr>
        <w:t xml:space="preserve">. The Company and the Subsidiaries carry, or are covered by, insurance in such amounts and covering such risks as the Company and the Subsidiaries reasonably believe are adequate for the conduct of their respective businesses and the value of their respective properties. Neither the Company nor any of its subsidiaries has any reason to believe that it will not be able to renew its existing insurance coverage as and when such coverage expires or obtain similar coverage from similar insurers as may be necessary to continue its business at a cost that would not reasonably be expected to have a Material Adverse Effect. Neither the Company nor any of its subsidiaries has received written notice from any insurer, agent of such insurer or the broker of the Company or any of its subsidiaries that any material capital improvements or any other material expenditures (other than premium payments) are required or necessary to be made in order to continue such insurance. </w:t>
      </w:r>
    </w:p>
    <w:p>
      <w:pPr>
        <w:pStyle w:val="TextBody"/>
        <w:bidi w:val="0"/>
        <w:spacing w:before="240" w:after="0"/>
        <w:jc w:val="left"/>
        <w:rPr>
          <w:rFonts w:ascii="Times New Roman" w:hAnsi="Times New Roman"/>
          <w:sz w:val="20"/>
        </w:rPr>
      </w:pPr>
      <w:r>
        <w:rPr>
          <w:rFonts w:ascii="Times New Roman" w:hAnsi="Times New Roman"/>
          <w:sz w:val="20"/>
        </w:rPr>
        <w:t xml:space="preserve">3.27 </w:t>
      </w:r>
      <w:r>
        <w:rPr>
          <w:rFonts w:ascii="Times New Roman" w:hAnsi="Times New Roman"/>
          <w:sz w:val="20"/>
          <w:u w:val="single"/>
        </w:rPr>
        <w:t>Sarbanes-Oxley; Internal Accounting Controls</w:t>
      </w:r>
      <w:r>
        <w:rPr>
          <w:rFonts w:ascii="Times New Roman" w:hAnsi="Times New Roman"/>
          <w:sz w:val="20"/>
        </w:rPr>
        <w:t xml:space="preserve">. The Company and its Subsidiaries maintains a system of “internal control over financial reporting” (as such term is defined in Rule 13a-15(f) of the Exchange Act) that complies in all material respects with the requirements of the Exchange Act and has been designed by their respective principal executive and principal financial officers, or under their supervision, to provide reasonable assurances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existing assets at reasonable intervals and appropriate action is taken with respect to any differences and (e) interactive data in eXtensible Business Reporting Language included in the Registration Statement and the Prospectus has been prepared in accordance with the Commission’s rules and guidelines applicable thereto. The Company’s internal control over financial reporting is effective at the reasonable assurance level. Except as described in the Registration Statement, Prospectus and Prospectus Supplement, since the end of the Company’s most recent audited fiscal year, there has been (x) no material weakness in the Company’s internal control over financial reporting (whether or not remediated) and (y) no change in the Company’s internal control over financial reporting that has materially affected, or is reasonably likely to materially affect, the Company’s internal control over financial reporting. The Company and its Subsidiaries maintain disclosure controls and procedures (as such is defined in Rule 13a-15(e) of the Exchange Act Rules and Regulations) that comply in all material respects with the requirements of the Exchange Act; such disclosure controls and procedures have been designed to ensure that information required to be disclosed by the Company and its subsidiaries in reports that they file or submit under the Exchange Act is recorded, processed, summarized and reported within the time periods specified in the Commission’s rules and forms, including controls and procedures designed to ensure that such information is accumulated and communicated to the Company’s management to allow timely decisions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regarding disclosures. The Company and its subsidiaries have conducted evaluations of the effectiveness of their disclosure controls as required by Rule 13a-15 of the Exchange Act. There is and has been no failure on the part of the Company or, to the Company’s knowledge, any of the Company’s officers or directors, in their capacities as such, to comply in all material respects with any provision of the Sarbanes-Oxley Act of 2002 and the rules and regulations promulgated in connection therewith, including Section 402 related to loans and Sections 302 and 906 related to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3.28 </w:t>
      </w:r>
      <w:r>
        <w:rPr>
          <w:rFonts w:ascii="Times New Roman" w:hAnsi="Times New Roman"/>
          <w:sz w:val="20"/>
          <w:u w:val="single"/>
        </w:rPr>
        <w:t>Certain Fees</w:t>
      </w:r>
      <w:r>
        <w:rPr>
          <w:rFonts w:ascii="Times New Roman" w:hAnsi="Times New Roman"/>
          <w:sz w:val="20"/>
        </w:rPr>
        <w:t xml:space="preserve">.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except for fees payable to the Placement Agent. The Purchaser shall have no obligation with respect to any fees or with respect to any claims made by or on behalf of other Persons for fees of a type contemplated in this Section that may be due in connection with the transactions contemplated by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3.29 </w:t>
      </w:r>
      <w:r>
        <w:rPr>
          <w:rFonts w:ascii="Times New Roman" w:hAnsi="Times New Roman"/>
          <w:sz w:val="20"/>
          <w:u w:val="single"/>
        </w:rPr>
        <w:t>Investment Company Act</w:t>
      </w:r>
      <w:r>
        <w:rPr>
          <w:rFonts w:ascii="Times New Roman" w:hAnsi="Times New Roman"/>
          <w:sz w:val="20"/>
        </w:rPr>
        <w:t xml:space="preserve">. Neither the Company nor any of its Subsidiaries is or, after giving effect to the offer and sale of the Securities and the application of the Registration Statement, Prospectus and Prospectus Supplement, will be required to register as an “investment company,” as such term is defined in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3.30 </w:t>
      </w:r>
      <w:r>
        <w:rPr>
          <w:rFonts w:ascii="Times New Roman" w:hAnsi="Times New Roman"/>
          <w:sz w:val="20"/>
          <w:u w:val="single"/>
        </w:rPr>
        <w:t>Listing and Maintenance Requirements</w:t>
      </w:r>
      <w:r>
        <w:rPr>
          <w:rFonts w:ascii="Times New Roman" w:hAnsi="Times New Roman"/>
          <w:sz w:val="20"/>
        </w:rPr>
        <w:t xml:space="preserve">. The Class A Common Stock is registered pursuant to Section 12(b) of the Exchange Act, and the Company has taken no action designed to, or which to its knowledge is likely to have the effect of, terminating the registration of the Class A Common Stock under the Exchange Act nor has the Company received any notification that the Commission is contemplating terminating such registration. </w:t>
      </w:r>
    </w:p>
    <w:p>
      <w:pPr>
        <w:pStyle w:val="TextBody"/>
        <w:bidi w:val="0"/>
        <w:spacing w:before="240" w:after="0"/>
        <w:jc w:val="left"/>
        <w:rPr>
          <w:rFonts w:ascii="Times New Roman" w:hAnsi="Times New Roman"/>
          <w:sz w:val="20"/>
        </w:rPr>
      </w:pPr>
      <w:r>
        <w:rPr>
          <w:rFonts w:ascii="Times New Roman" w:hAnsi="Times New Roman"/>
          <w:sz w:val="20"/>
        </w:rPr>
        <w:t>3.32</w:t>
      </w:r>
      <w:r>
        <w:rPr>
          <w:rFonts w:ascii="Times New Roman" w:hAnsi="Times New Roman"/>
          <w:sz w:val="20"/>
          <w:u w:val="single"/>
        </w:rPr>
        <w:t> No Termination Event</w:t>
      </w:r>
      <w:r>
        <w:rPr>
          <w:rFonts w:ascii="Times New Roman" w:hAnsi="Times New Roman"/>
          <w:sz w:val="20"/>
        </w:rPr>
        <w:t xml:space="preserve">. There shall not have occurred any event that would permit the Purchaser to terminate this Agreement pursuant to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3.34 </w:t>
      </w:r>
      <w:r>
        <w:rPr>
          <w:rFonts w:ascii="Times New Roman" w:hAnsi="Times New Roman"/>
          <w:sz w:val="20"/>
          <w:u w:val="single"/>
        </w:rPr>
        <w:t>No Improper Practices</w:t>
      </w:r>
      <w:r>
        <w:rPr>
          <w:rFonts w:ascii="Times New Roman" w:hAnsi="Times New Roman"/>
          <w:sz w:val="20"/>
        </w:rPr>
        <w:t xml:space="preserve">. (i) Neither the Company, the Subsidiaries nor, to the Company’s Knowledge, any of their respective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the Subsidiaries or any affiliate of any of them, on the one hand, and the directors, officers and stockholders of the Company or, to the Company’s Knowledge, the Subsidiaries, on the other hand, that is required by the Securities Act to be described in the Registration Statement and the Prospectus that is not so described; (iii) no relationship, direct or indirect, exists between or among the Company or the Subsidiaries or any affiliate of them, on the one hand, and the directors, officers, stockholders or directors of the Company or, to the Company’s Knowledge, the Subsidiaries, on the other hand, that is required by the rules of FINRA to be described in the Registration Statement and the Prospectus that is not so described; (iv) there are no material outstanding loans or advances or material guarantees of indebtedness by the Company or the Subsidiaries to or for the benefit of any of their respective officers or directors or any of the members of the families of any of them required by the Securities Act to be described in the Registration Statement and the Prospectus that is not so described; and (v) the Company has not offered, or caused any Placement Agent to offer, Class A Common Stock to any person with the intent to influence unlawfully (A) a customer or supplier of the Company or the Subsidiaries to alter the customer’s or supplier’s level or type of business with the Company or the Subsidiaries or (B) a trade journalist or publication to write or publish favorable information about the Company or the Subsidiaries or any of their respective products or services, and, (vi) neither the Company nor the Subsidiaries nor, to the Company’s Knowledge, any employee or agent of the Company or the Subsidiaries has made any payment of funds of the Company or the Subsidiaries or received or retained any funds in violation of any law, rule or regulation (including, without limitation, the Foreign Corrupt Practices Act of 1977), which payment, receipt or retention of funds is of a character required to be disclosed in the Registration Statement or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3.35 </w:t>
      </w:r>
      <w:r>
        <w:rPr>
          <w:rFonts w:ascii="Times New Roman" w:hAnsi="Times New Roman"/>
          <w:sz w:val="20"/>
          <w:u w:val="single"/>
        </w:rPr>
        <w:t>Status Under the Securities Act</w:t>
      </w:r>
      <w:r>
        <w:rPr>
          <w:rFonts w:ascii="Times New Roman" w:hAnsi="Times New Roman"/>
          <w:sz w:val="20"/>
        </w:rPr>
        <w:t xml:space="preserve">. At the time of filing the Registration Statement, any Rule 462(b) Registration Statement and any post-effective amendments thereto the Company was not, and the Company currently is not, an “ineligible issuer,” as defined in Rule 405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3.37 </w:t>
      </w:r>
      <w:r>
        <w:rPr>
          <w:rFonts w:ascii="Times New Roman" w:hAnsi="Times New Roman"/>
          <w:sz w:val="20"/>
          <w:u w:val="single"/>
        </w:rPr>
        <w:t>Operations</w:t>
      </w:r>
      <w:r>
        <w:rPr>
          <w:rFonts w:ascii="Times New Roman" w:hAnsi="Times New Roman"/>
          <w:sz w:val="20"/>
        </w:rPr>
        <w:t>. The operations of the Company and the Subsidiaries are and have been conducted at all times in material compliance with applicable financial record keeping and reporting requirements of the Currency and Foreign Transactions Reporting Act of 1970, as amended, the applicable anti-money laundering statutes of jurisdictions where the Company and its Subsidiaries conduct business, the rules and regulations thereunder and any related or similar rules, regulations or guidelines, issued, administered or enforced by any governmental agency having jurisdiction over the Company (collectively, the “</w:t>
      </w:r>
      <w:r>
        <w:rPr>
          <w:rFonts w:ascii="Times New Roman" w:hAnsi="Times New Roman"/>
          <w:sz w:val="20"/>
          <w:u w:val="single"/>
        </w:rPr>
        <w:t>Money Laundering Laws</w:t>
      </w:r>
      <w:r>
        <w:rPr>
          <w:rFonts w:ascii="Times New Roman" w:hAnsi="Times New Roman"/>
          <w:sz w:val="20"/>
        </w:rPr>
        <w:t xml:space="preserve">”); and no action, suit or proceeding by or before any court or governmental agency, authority or body with competent jurisdiction or any arbitrator involving the Company or any Subsidiary with respect to the Money Laundering Laws is pending or, to the Company’s Knowledge, threatened. </w:t>
      </w:r>
    </w:p>
    <w:p>
      <w:pPr>
        <w:pStyle w:val="TextBody"/>
        <w:bidi w:val="0"/>
        <w:spacing w:before="240" w:after="0"/>
        <w:jc w:val="left"/>
        <w:rPr>
          <w:rFonts w:ascii="Times New Roman" w:hAnsi="Times New Roman"/>
          <w:sz w:val="20"/>
        </w:rPr>
      </w:pPr>
      <w:r>
        <w:rPr>
          <w:rFonts w:ascii="Times New Roman" w:hAnsi="Times New Roman"/>
          <w:sz w:val="20"/>
        </w:rPr>
        <w:t>3.38</w:t>
      </w:r>
      <w:r>
        <w:rPr>
          <w:rFonts w:ascii="Times New Roman" w:hAnsi="Times New Roman"/>
          <w:sz w:val="20"/>
          <w:u w:val="single"/>
        </w:rPr>
        <w:t xml:space="preserve"> ERISA</w:t>
      </w:r>
      <w:r>
        <w:rPr>
          <w:rFonts w:ascii="Times New Roman" w:hAnsi="Times New Roman"/>
          <w:sz w:val="20"/>
        </w:rPr>
        <w:t>. To the knowledge of the Company, (i) each material employee benefit plan, within the meaning of Section 3(3) of the Employee Retirement Income Security Act of 1974, as amended (“</w:t>
      </w:r>
      <w:r>
        <w:rPr>
          <w:rFonts w:ascii="Times New Roman" w:hAnsi="Times New Roman"/>
          <w:sz w:val="20"/>
          <w:u w:val="single"/>
        </w:rPr>
        <w:t>ERISA</w:t>
      </w:r>
      <w:r>
        <w:rPr>
          <w:rFonts w:ascii="Times New Roman" w:hAnsi="Times New Roman"/>
          <w:sz w:val="20"/>
        </w:rPr>
        <w:t>”) that is maintained, administered or contributed to by the Company or any of its affiliates for employees or former employees of the Company and the Subsidiaries has been maintained in material compliance with its terms and the requirements of any applicable statutes, orders, rules and regulations, including but not limited to ERISA and the Internal Revenue Code of 1986, as amended (the “</w:t>
      </w:r>
      <w:r>
        <w:rPr>
          <w:rFonts w:ascii="Times New Roman" w:hAnsi="Times New Roman"/>
          <w:sz w:val="20"/>
          <w:u w:val="single"/>
        </w:rPr>
        <w:t>Code</w:t>
      </w:r>
      <w:r>
        <w:rPr>
          <w:rFonts w:ascii="Times New Roman" w:hAnsi="Times New Roman"/>
          <w:sz w:val="20"/>
        </w:rPr>
        <w:t xml:space="preserve">”); (ii)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(iii)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equals or exceeds the present value of all benefits accrued under such plan determined using reasonable actuarial assumptions, other than, in the case of (i), (ii) and (iii) above, as would not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3.39 </w:t>
      </w:r>
      <w:r>
        <w:rPr>
          <w:rFonts w:ascii="Times New Roman" w:hAnsi="Times New Roman"/>
          <w:sz w:val="20"/>
          <w:u w:val="single"/>
        </w:rPr>
        <w:t>Registration Statement, Prospectus and Prospectus Supplement</w:t>
      </w:r>
      <w:r>
        <w:rPr>
          <w:rFonts w:ascii="Times New Roman" w:hAnsi="Times New Roman"/>
          <w:sz w:val="20"/>
        </w:rPr>
        <w:t xml:space="preserve">. The Registration Statement in respect of the Securities has been filed with the Commission; the Registration Statement was declared effective by the Commission. No order suspending the effectiveness of the Registration Statement has been issued by the Commission, and no proceeding for that purpose or pursuant to Section 8A of the Securities Act against the Company or related to the offering of the Securities has been, to the Company’s knowledge,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 untrue statement of a material fact or omit to state a material fact required to be stated therein or necessary in order to make the statements therein not misleading; and as of the date of the Prospectus and the Prospectus Supplement, and any amendment or supplement thereto, and as of the Closing Date, the Prospectus and the Prospectus Supplement will comply in all material respects with the Securities Act and will not contain an untrue statement of a material fact or omit to state a material fact necessary in order to make the statements therein, in the light of the circumstances under which they were made, not misleading; provided that the Company makes no representation and warranty with respect to any statements or omissions made in reliance upon and in conformity with information relating to the Placement Agent furnished to the Company in writing by the Placement Agent expressly for use in the Registration Statement and the Prospectus and any amendment or supplement thereto. </w:t>
      </w:r>
    </w:p>
    <w:p>
      <w:pPr>
        <w:pStyle w:val="TextBody"/>
        <w:bidi w:val="0"/>
        <w:spacing w:before="240" w:after="0"/>
        <w:jc w:val="left"/>
        <w:rPr>
          <w:rFonts w:ascii="Times New Roman" w:hAnsi="Times New Roman"/>
          <w:sz w:val="20"/>
        </w:rPr>
      </w:pPr>
      <w:r>
        <w:rPr>
          <w:rFonts w:ascii="Times New Roman" w:hAnsi="Times New Roman"/>
          <w:sz w:val="20"/>
        </w:rPr>
        <w:t xml:space="preserve">3.40 </w:t>
      </w:r>
      <w:r>
        <w:rPr>
          <w:rFonts w:ascii="Times New Roman" w:hAnsi="Times New Roman"/>
          <w:sz w:val="20"/>
          <w:u w:val="single"/>
        </w:rPr>
        <w:t>Incorporated Documents</w:t>
      </w:r>
      <w:r>
        <w:rPr>
          <w:rFonts w:ascii="Times New Roman" w:hAnsi="Times New Roman"/>
          <w:sz w:val="20"/>
        </w:rPr>
        <w:t xml:space="preserve">. The documents incorporated by reference in the Registration Statement, the Prospectus and the Prospectus Supplement, when they were filed with the Commission conformed in all material respects to the requirements of the Exchange Act, and none of such documents contained an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Prospectus Supplement, when such documents are filed with the Commission, will conform in all material respects to the requirements of the Exchange Act and will not contain an untrue statement of a material fact or omit to state a material fact necessary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3.41 </w:t>
      </w:r>
      <w:r>
        <w:rPr>
          <w:rFonts w:ascii="Times New Roman" w:hAnsi="Times New Roman"/>
          <w:sz w:val="20"/>
          <w:u w:val="single"/>
        </w:rPr>
        <w:t>Acknowledgment Regarding Purchaser’s Purchase of the Securities</w:t>
      </w:r>
      <w:r>
        <w:rPr>
          <w:rFonts w:ascii="Times New Roman" w:hAnsi="Times New Roman"/>
          <w:sz w:val="20"/>
        </w:rPr>
        <w:t xml:space="preserve">. Assuming the accuracy of the representations and warranties of the Purchaser set forth in </w:t>
      </w:r>
      <w:r>
        <w:rPr>
          <w:rFonts w:ascii="Times New Roman" w:hAnsi="Times New Roman"/>
          <w:sz w:val="20"/>
          <w:u w:val="single"/>
        </w:rPr>
        <w:t>Section 4</w:t>
      </w:r>
      <w:r>
        <w:rPr>
          <w:rFonts w:ascii="Times New Roman" w:hAnsi="Times New Roman"/>
          <w:sz w:val="20"/>
        </w:rPr>
        <w:t xml:space="preserve">, the Company acknowledges and agrees that the Purchaser is acting solely in the capacity of an arm’s length purchaser with respect to the Transaction Documents and the transactions contemplated thereby and that no Purchaser is, immediately prior to the consummation of the transactions contemplated by the Transaction Documents (i) an officer or director of the Company or any of its Subsidiaries, (ii) an “affiliate” (as defined in Rule 144) of the Company or any of its Subsidiaries or (iii) to the knowledge of the Company, a “beneficial owner” of more than 10% of the Company’s Common Stock (as defined for purposes of Rule 13d-3 of the 1934 Act). </w:t>
      </w:r>
    </w:p>
    <w:p>
      <w:pPr>
        <w:pStyle w:val="TextBody"/>
        <w:bidi w:val="0"/>
        <w:spacing w:before="240" w:after="0"/>
        <w:jc w:val="left"/>
        <w:rPr>
          <w:rFonts w:ascii="Times New Roman" w:hAnsi="Times New Roman"/>
          <w:sz w:val="20"/>
        </w:rPr>
      </w:pPr>
      <w:r>
        <w:rPr>
          <w:rFonts w:ascii="Times New Roman" w:hAnsi="Times New Roman"/>
          <w:sz w:val="20"/>
        </w:rPr>
        <w:t xml:space="preserve">3.42 </w:t>
      </w:r>
      <w:r>
        <w:rPr>
          <w:rFonts w:ascii="Times New Roman" w:hAnsi="Times New Roman"/>
          <w:sz w:val="20"/>
          <w:u w:val="single"/>
        </w:rPr>
        <w:t>Settlement</w:t>
      </w:r>
      <w:r>
        <w:rPr>
          <w:rFonts w:ascii="Times New Roman" w:hAnsi="Times New Roman"/>
          <w:sz w:val="20"/>
        </w:rPr>
        <w:t>. The Shares are eligible for clearing through DTC, through its DWAC system, and the Company is eligible and participating in the Direct Registration System (“</w:t>
      </w:r>
      <w:r>
        <w:rPr>
          <w:rFonts w:ascii="Times New Roman" w:hAnsi="Times New Roman"/>
          <w:sz w:val="20"/>
          <w:u w:val="single"/>
        </w:rPr>
        <w:t>DRS</w:t>
      </w:r>
      <w:r>
        <w:rPr>
          <w:rFonts w:ascii="Times New Roman" w:hAnsi="Times New Roman"/>
          <w:sz w:val="20"/>
        </w:rPr>
        <w:t xml:space="preserve">”) of DTC with respect to the Shares. The Company’s Transfer Agent is a participant in DTC’s Fast Automated Securities Transfer Program. </w:t>
      </w:r>
    </w:p>
    <w:p>
      <w:pPr>
        <w:pStyle w:val="TextBody"/>
        <w:bidi w:val="0"/>
        <w:spacing w:before="240" w:after="0"/>
        <w:jc w:val="left"/>
        <w:rPr>
          <w:rFonts w:ascii="Times New Roman" w:hAnsi="Times New Roman"/>
          <w:sz w:val="20"/>
        </w:rPr>
      </w:pPr>
      <w:r>
        <w:rPr>
          <w:rFonts w:ascii="Times New Roman" w:hAnsi="Times New Roman"/>
          <w:sz w:val="20"/>
        </w:rPr>
        <w:t xml:space="preserve">3.43 </w:t>
      </w:r>
      <w:r>
        <w:rPr>
          <w:rFonts w:ascii="Times New Roman" w:hAnsi="Times New Roman"/>
          <w:sz w:val="20"/>
          <w:u w:val="single"/>
        </w:rPr>
        <w:t>No Implied Representations</w:t>
      </w:r>
      <w:r>
        <w:rPr>
          <w:rFonts w:ascii="Times New Roman" w:hAnsi="Times New Roman"/>
          <w:sz w:val="20"/>
        </w:rPr>
        <w:t xml:space="preserve">. Except for the representations and warranties contained in this </w:t>
      </w:r>
      <w:r>
        <w:rPr>
          <w:rFonts w:ascii="Times New Roman" w:hAnsi="Times New Roman"/>
          <w:sz w:val="20"/>
          <w:u w:val="single"/>
        </w:rPr>
        <w:t>Article 3</w:t>
      </w:r>
      <w:r>
        <w:rPr>
          <w:rFonts w:ascii="Times New Roman" w:hAnsi="Times New Roman"/>
          <w:sz w:val="20"/>
        </w:rPr>
        <w:t xml:space="preserve">, the Company has not made any express or implied representation or warranty, and the Company hereby disclaims any such representation or warranty with respect to, the execution and delivery of this Agreement and the consummation of the transactions contemplated herein.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the Purchaser</w:t>
      </w:r>
      <w:r>
        <w:rPr>
          <w:rFonts w:ascii="Times New Roman" w:hAnsi="Times New Roman"/>
          <w:sz w:val="20"/>
        </w:rPr>
        <w:t xml:space="preserve">. The Purchaser represents and warrants to the Company and the Placement Agent as of the date hereof and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 or Incorporation; Authority</w:t>
      </w:r>
      <w:r>
        <w:rPr>
          <w:rFonts w:ascii="Times New Roman" w:hAnsi="Times New Roman"/>
          <w:sz w:val="20"/>
        </w:rPr>
        <w:t xml:space="preserve">. The Purchaser is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the Purchaser of the transactions contemplated by the Transaction Documents have been duly authorized by all necessary corporate, partnership, limited liability company or similar action, as applicable, on the part of each respective Purchaser. The Transaction Document to which it is a party has been duly executed by the Purchaser, and when delivered by the Purchaser in accordance with the terms hereof, will constitute the valid and legally binding obligation of the Purchaser, enforceable against it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Own Account</w:t>
      </w:r>
      <w:r>
        <w:rPr>
          <w:rFonts w:ascii="Times New Roman" w:hAnsi="Times New Roman"/>
          <w:sz w:val="20"/>
        </w:rPr>
        <w:t xml:space="preserve">. The is acquiring the Securities as principal for its own account and not with a view to or for distributing or reselling the Securities or any part thereof in violation of the Securities Act or any applicable state securities law, has no present intention of distributing any of the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The Purchaser is acquiring the Securities hereunder in the ordinary course of its business.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Purchaser Status</w:t>
      </w:r>
      <w:r>
        <w:rPr>
          <w:rFonts w:ascii="Times New Roman" w:hAnsi="Times New Roman"/>
          <w:sz w:val="20"/>
        </w:rPr>
        <w:t xml:space="preserve">. The Purchaser is acting solely in the capacity of an arm’s length purchaser with respect to the Transaction Documents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Experience of the Purchaser</w:t>
      </w:r>
      <w:r>
        <w:rPr>
          <w:rFonts w:ascii="Times New Roman" w:hAnsi="Times New Roman"/>
          <w:sz w:val="20"/>
        </w:rPr>
        <w:t xml:space="preserve">. The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The Purchaser is able to bear the economic risk of an investment in the Securities and, at the present time, is able to afford a complete loss of such investment.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Access to Information</w:t>
      </w:r>
      <w:r>
        <w:rPr>
          <w:rFonts w:ascii="Times New Roman" w:hAnsi="Times New Roman"/>
          <w:sz w:val="20"/>
        </w:rPr>
        <w:t xml:space="preserve">. The Purchaser acknowledges that it has had the opportunity to review the Transaction Documents (including all exhibits and schedules thereto), the Registration Statement, the Prospectus and the Prospectus Supplement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the opportunity to obtain such additional information that the Company possesses or can acquire without unreasonable effort or expense that is necessary to make an informed investment decision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the investment. The Purchaser also acknowledges that it will, based on such other documents, information, and investigations as it shall deem appropriate at any time, continue to make its own investment decisions as to exercising or not exercising from time to time any rights and privileges available to it under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Not Sanctioned</w:t>
      </w:r>
      <w:r>
        <w:rPr>
          <w:rFonts w:ascii="Times New Roman" w:hAnsi="Times New Roman"/>
          <w:sz w:val="20"/>
        </w:rPr>
        <w:t>. The Purchaser is not, and the Purchaser is not owned or controlled by or acting on behalf of, a Sanctioned Person. The Purchaser is not a non-U.S. shell bank or providing banking services to a non-U.S. shell bank. The Purchaser represents that if it is a financial institution subject to the Bank Secrecy Act (31 U.S.C. Section 5311 et seq.), as amended by the USA PATRIOT Act of 2001 and its implementing regulations (collectively, the “</w:t>
      </w:r>
      <w:r>
        <w:rPr>
          <w:rFonts w:ascii="Times New Roman" w:hAnsi="Times New Roman"/>
          <w:sz w:val="20"/>
          <w:u w:val="single"/>
        </w:rPr>
        <w:t>BSA/PATRIOT Act</w:t>
      </w:r>
      <w:r>
        <w:rPr>
          <w:rFonts w:ascii="Times New Roman" w:hAnsi="Times New Roman"/>
          <w:sz w:val="20"/>
        </w:rPr>
        <w:t>”), that the Purchaser maintains policies and procedures reasonably designed to comply with its obligations under the BSA/PATRIOT Act. The Purchaser also represents that it maintains, to the extent required, either directly or through the use of a third-party administrator, policies and procedures reasonably designed for the screening of any investors against Sanctions-related lists of blocked or restricted persons and to ensure that the funds held by the Purchaser and used to purchase the Securities are derived from lawful activities. For purposes of this Agreement, “</w:t>
      </w:r>
      <w:r>
        <w:rPr>
          <w:rFonts w:ascii="Times New Roman" w:hAnsi="Times New Roman"/>
          <w:sz w:val="20"/>
          <w:u w:val="single"/>
        </w:rPr>
        <w:t>Sanctioned Person</w:t>
      </w:r>
      <w:r>
        <w:rPr>
          <w:rFonts w:ascii="Times New Roman" w:hAnsi="Times New Roman"/>
          <w:sz w:val="20"/>
        </w:rPr>
        <w:t xml:space="preserve">” means at any time any person or entity: (i) listed on any Sanctions- related list of designated or blocked or restricted persons; (ii) that is a national of, the government of, or any agency or instrumentality of the government of, or resident in, or organized or incorporated under the laws of, a country or territory that is the target of comprehensive Sanctions from time to time; or (iii) owned or controlled by or acting on behalf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Certain Transactions and Confidentiality</w:t>
      </w:r>
      <w:r>
        <w:rPr>
          <w:rFonts w:ascii="Times New Roman" w:hAnsi="Times New Roman"/>
          <w:sz w:val="20"/>
        </w:rPr>
        <w:t xml:space="preserve">. Other than consummating the transactions contemplated hereunder, the Purchaser has not, nor has any Person acting on behalf of or pursuant to any understanding with the Purchaser, directly or indirectly, executed any purchases or sales of the securities of the Company during the period commencing as of the time that Purchaser first received a term sheet (written or oral) from the Company or any other Person representing the Company setting forth the material terms of the transactions contemplated hereunder and ending immediately prior to the execution hereof. Notwithstanding the foregoing, if the Purchaser is a multi-managed investment vehicle whereby separate portfolio managers manage separate portions of the Purchaser’s assets and the portfolio managers have no direct knowledge of the investment decisions made by the portfolio managers managing other portions of the Purchaser’s assets, the representation set forth above shall only apply with respect to the portion of assets managed by the portfolio manager that made the investment decision to purchase the Securities covered by this Agreement. Other than to the Purchaser’s Representatives, including its officers, directors, partners, legal and other advisors, employees, agents and Affiliates, the Purchaser has maintained the confidentiality of all disclosures made to it in connection with this transaction (including the existence and terms of this transaction).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No Implied Representations</w:t>
      </w:r>
      <w:r>
        <w:rPr>
          <w:rFonts w:ascii="Times New Roman" w:hAnsi="Times New Roman"/>
          <w:sz w:val="20"/>
        </w:rPr>
        <w:t xml:space="preserve">. Except for the representations and warranties contained in this </w:t>
      </w:r>
      <w:r>
        <w:rPr>
          <w:rFonts w:ascii="Times New Roman" w:hAnsi="Times New Roman"/>
          <w:sz w:val="20"/>
          <w:u w:val="single"/>
        </w:rPr>
        <w:t>Article 4</w:t>
      </w:r>
      <w:r>
        <w:rPr>
          <w:rFonts w:ascii="Times New Roman" w:hAnsi="Times New Roman"/>
          <w:sz w:val="20"/>
        </w:rPr>
        <w:t xml:space="preserve">, the Purchaser makes no express or implied representation or warranty, and the Purchaser hereby disclaims any such representation or warranty with respect to, the execution and delivery of this Agreement and the consummation of the transactions contemplated herein. </w:t>
      </w:r>
    </w:p>
    <w:p>
      <w:pPr>
        <w:pStyle w:val="TextBody"/>
        <w:bidi w:val="0"/>
        <w:spacing w:before="240" w:after="0"/>
        <w:jc w:val="left"/>
        <w:rPr>
          <w:rFonts w:ascii="Times New Roman" w:hAnsi="Times New Roman"/>
          <w:sz w:val="20"/>
        </w:rPr>
      </w:pPr>
      <w:r>
        <w:rPr>
          <w:rFonts w:ascii="Times New Roman" w:hAnsi="Times New Roman"/>
          <w:sz w:val="20"/>
        </w:rPr>
        <w:t xml:space="preserve">The Company acknowledges and agrees that the representations contained in this </w:t>
      </w:r>
      <w:r>
        <w:rPr>
          <w:rFonts w:ascii="Times New Roman" w:hAnsi="Times New Roman"/>
          <w:sz w:val="20"/>
          <w:u w:val="single"/>
        </w:rPr>
        <w:t>Article 4</w:t>
      </w:r>
      <w:r>
        <w:rPr>
          <w:rFonts w:ascii="Times New Roman" w:hAnsi="Times New Roman"/>
          <w:sz w:val="20"/>
        </w:rPr>
        <w:t xml:space="preserve"> shall not modify, amend or affect the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Confidentiality</w:t>
      </w:r>
      <w:r>
        <w:rPr>
          <w:rFonts w:ascii="Times New Roman" w:hAnsi="Times New Roman"/>
          <w:sz w:val="20"/>
        </w:rPr>
        <w:t xml:space="preserve">. The Purchaser covenants that until such time as the transactions contemplated by this Agreement are publicly disclosed by the Company pursuant to a Current Report on Form 8-K, the Purchaser will maintain the confidentiality of the existence and terms of this transaction and the information provided in connection therewith; provided, however, that any disclosure may be made by the Purchaser to the Purchaser’s Representatives or agents, including, but not limited to, the Purchaser’s legal, tax and investment advisors.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NYSE Matters</w:t>
      </w:r>
      <w:r>
        <w:rPr>
          <w:rFonts w:ascii="Times New Roman" w:hAnsi="Times New Roman"/>
          <w:sz w:val="20"/>
        </w:rPr>
        <w:t xml:space="preserve">. Prior to the Closing Date, the Company shall comply in all material respects with all listing, reporting, filing, and other obligations under the rules of the NYSE.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Securities Act Compliance</w:t>
      </w:r>
      <w:r>
        <w:rPr>
          <w:rFonts w:ascii="Times New Roman" w:hAnsi="Times New Roman"/>
          <w:sz w:val="20"/>
        </w:rPr>
        <w:t xml:space="preserve">. The Purchaser shall not transfer, sell, offer for sale, pledge or hypothecate the Securities in violation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Indemnification</w:t>
      </w:r>
      <w:r>
        <w:rPr>
          <w:rFonts w:ascii="Times New Roman" w:hAnsi="Times New Roman"/>
          <w:sz w:val="20"/>
        </w:rPr>
        <w:t xml:space="preserve">. Subject to the provisions of this Section 5.4, the Company will indemnify and hold the Purchaser and its directors, officers, shareholders, members, partners, employees, agents and Affiliates (and any other Persons with a functionally equivalent role of a Person holding such titles notwithstanding a lack of such title or any other title), each Person who controls each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reasonable and documented expenses, including all judgments, amounts paid in settlements, court costs and reasonable and documented out-of-pocket attorneys’ fees and costs of investigation that any such Purchaser Party may suffer or incur as a result of or relating to (a) any material breach of any of the representations, warranties, covenants or agreements made by the Company in this Agreement or in the other Transaction Documents or (b) any action instituted against the Purchaser Parties in any capacity (including a Purchaser Party’s status as an investor), or any of them or their respective Affiliates, by the Company or any stockholder of the Company who is not an Affiliate of such Purchaser Party, with respect to any of the transactions contemplated by the Transaction Documents (unless such action is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a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except with respect to direct claims brought by the Company,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to the applicable Purchaser Party,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5.4 shall be made by periodic payments of the amount thereof during the course of the investigation or defense, as and when bills are received or are incurred; provided, however, that if it is subsequently determined by a final, non-appealable judgment of a court of competent jurisdiction that each Purchaser was not entitled to receive such payments, each Purchaser shall promptly (but in no event later than five (5) Business Days) return such payments to the Company. The indemnity agreements contained herein shall be in addition to any cause of action or similar right of any Purchaser Party against the Company or others and any liabilities the Company may be subject to pursuant to law.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Company Lock-Up</w:t>
      </w:r>
      <w:r>
        <w:rPr>
          <w:rFonts w:ascii="Times New Roman" w:hAnsi="Times New Roman"/>
          <w:sz w:val="20"/>
        </w:rPr>
        <w:t>. During the period commencing on and including the date hereof and ending on and including the (45th) day following the date of this Agreement (the “Lock-Up Period”) the Company will not, without the prior written consent of the Purchaser (which consent may be withheld at the sole discretion of the Purchaser), directly or indirectly offer, sell (including, without limitation, any short sale), assign, transfer, pledge, contract to sell, establish an open “put equivalent position” within the meaning of Rule 16a-1(h) under the Exchange Act, or otherwise dispose of, or announce the offering of, or submit or file any registration statement under the Securities Act in respect of, any shares of Class A Common Stock, options, rights or warrants to acquire Class A Common Stock or securities exchangeable or exercisable for or convertible into shares of Class A Common Stock (collectively, “</w:t>
      </w:r>
      <w:r>
        <w:rPr>
          <w:rFonts w:ascii="Times New Roman" w:hAnsi="Times New Roman"/>
          <w:sz w:val="20"/>
          <w:u w:val="single"/>
        </w:rPr>
        <w:t>Covered Securities</w:t>
      </w:r>
      <w:r>
        <w:rPr>
          <w:rFonts w:ascii="Times New Roman" w:hAnsi="Times New Roman"/>
          <w:sz w:val="20"/>
        </w:rPr>
        <w:t>”) (other than is contemplated by this Agreement with respect to the Securities) or publicly announce any intention to do any of the foregoing; </w:t>
      </w:r>
      <w:r>
        <w:rPr>
          <w:rFonts w:ascii="Times New Roman" w:hAnsi="Times New Roman"/>
          <w:i/>
          <w:sz w:val="20"/>
        </w:rPr>
        <w:t>provided, however</w:t>
      </w:r>
      <w:r>
        <w:rPr>
          <w:rFonts w:ascii="Times New Roman" w:hAnsi="Times New Roman"/>
          <w:sz w:val="20"/>
        </w:rPr>
        <w:t xml:space="preserve">, that the Company may (a) issue Covered Securities pursuant to any director or employee stock option or incentive plan, stock ownership plan or dividend reinvestment plan of the Company in effect on the date hereof and disclosed in the Company’s filings with the Commission; (b) issue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Class A Common Stock pursuant to the conversion, exercise or exchange of any other Covered Securities, which Covered Securities are outstanding on the date hereof and disclosed in the Company’s filings with the Commission; (c) file a registration statement on Form S-8 or any successor form thereto; (d) issue Covered Securities, or enter into an agreement to issue Covered Securities, in connection with any merger, joint venture, strategic alliance, commercial or other collaborative transaction or the acquisition or license of the business, property, technology or other assets of another individual or entity; </w:t>
      </w:r>
      <w:r>
        <w:rPr>
          <w:rFonts w:ascii="Times New Roman" w:hAnsi="Times New Roman"/>
          <w:i/>
          <w:sz w:val="20"/>
        </w:rPr>
        <w:t>provided, however</w:t>
      </w:r>
      <w:r>
        <w:rPr>
          <w:rFonts w:ascii="Times New Roman" w:hAnsi="Times New Roman"/>
          <w:sz w:val="20"/>
        </w:rPr>
        <w:t>, that the Covered Securities (or the aggregate number of Class A Common Stock issuable pursuant to such Covered Securities) that the Company may issue or agree to issue pursuant to this clause (d) shall not exceed 5% of the total outstanding share capital and voting power of the Company immediately following the issuance of such Covered Securities (or full exercise or conversion thereof, as applicable); and </w:t>
      </w:r>
      <w:r>
        <w:rPr>
          <w:rFonts w:ascii="Times New Roman" w:hAnsi="Times New Roman"/>
          <w:i/>
          <w:sz w:val="20"/>
        </w:rPr>
        <w:t>provided further</w:t>
      </w:r>
      <w:r>
        <w:rPr>
          <w:rFonts w:ascii="Times New Roman" w:hAnsi="Times New Roman"/>
          <w:sz w:val="20"/>
        </w:rPr>
        <w:t xml:space="preserve"> that the recipients thereof execute and deliver to the Placement Agent a Lock-up Agreement; and (e) upon exercise of any options disclosed in the Company’s filings with the Commission. The Company will direct its transfer agent to place stop transfer restrictions upon any securities of the Company that are bound by any Lock-Up Agreement. If any persons shall become directors or executive officers of the Company prior to the end of the Lock-Up Period, the Company shall cause each such person, prior to or contemporaneously with their appointment or election as a director or executive officer of the Company, to execute and deliver to the Placement Agent a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Securities Laws Disclosure; Publicity</w:t>
      </w:r>
      <w:r>
        <w:rPr>
          <w:rFonts w:ascii="Times New Roman" w:hAnsi="Times New Roman"/>
          <w:sz w:val="20"/>
        </w:rPr>
        <w:t xml:space="preserve">. The Company shall (a) by 9:30 a.m. (New York City time) on the date following the date hereof, issue a press release or Current Report on Form 8-K disclosing the material terms of the transactions contemplated hereby, and (b) file a Current Report on Form 8-K, including a form of this Agreement as an exhibit thereto, with the Commission within four (4) business days following the Closing Date. From and after the issuance of such press release, the Company represents to Purchaser that it shall have publicly disclosed all material, non-public information delivered to Purchaser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Purchaser or any of its Affiliates on the other hand, shall terminate.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Non-Public Information</w:t>
      </w:r>
      <w:r>
        <w:rPr>
          <w:rFonts w:ascii="Times New Roman" w:hAnsi="Times New Roman"/>
          <w:sz w:val="20"/>
        </w:rPr>
        <w:t xml:space="preserve">. Except with respect to the material terms and conditions of the transactions contemplated by the Transaction Documents, which shall be disclosed pursuant to </w:t>
      </w:r>
      <w:r>
        <w:rPr>
          <w:rFonts w:ascii="Times New Roman" w:hAnsi="Times New Roman"/>
          <w:sz w:val="20"/>
          <w:u w:val="single"/>
        </w:rPr>
        <w:t>Section 5.9</w:t>
      </w:r>
      <w:r>
        <w:rPr>
          <w:rFonts w:ascii="Times New Roman" w:hAnsi="Times New Roman"/>
          <w:sz w:val="20"/>
        </w:rPr>
        <w:t xml:space="preserve">, the Company covenants and agrees that neither it, nor any other Person acting on its behalf will provide Purchaser or its agents or counsel with any information that the Company believes constitutes material non-public information, unless prior thereto Purchaser shall have entered into a written agreement with the Company regarding the confidentiality and use of such information. The Company understands and confirms that Purchaser shall be relying on the foregoing covenant in effecting transactions in securities of the Company. To the extent that the Company delivers any material, non-public information to Purchaser without Purchaser’s consent, the Company hereby covenants and agrees that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Purchaser shall remain subject to applicable law. </w:t>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Precedent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Conditions to the Obligation of the Purchaser to Consummate the Closing</w:t>
      </w:r>
      <w:r>
        <w:rPr>
          <w:rFonts w:ascii="Times New Roman" w:hAnsi="Times New Roman"/>
          <w:sz w:val="20"/>
        </w:rPr>
        <w:t xml:space="preserve">. The obligation of the Purchaser to consummate the transactions contemplated hereby at the Closing is subject to the satisfaction, or due waiver in writing by the Purchaser,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have performed and complied in all material respects with all of the covenants and agreements contained in this Agreement that are required to be performed or complied with by it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the representations and warranties of the Company contained in this Agreement shall be true and correct in all material respects (other than those representations and warranties contained in </w:t>
      </w:r>
      <w:r>
        <w:rPr>
          <w:rFonts w:ascii="Times New Roman" w:hAnsi="Times New Roman"/>
          <w:sz w:val="20"/>
          <w:u w:val="single"/>
        </w:rPr>
        <w:t>Sections 3.1</w:t>
      </w:r>
      <w:r>
        <w:rPr>
          <w:rFonts w:ascii="Times New Roman" w:hAnsi="Times New Roman"/>
          <w:sz w:val="20"/>
        </w:rPr>
        <w:t xml:space="preserve">, </w:t>
      </w:r>
      <w:r>
        <w:rPr>
          <w:rFonts w:ascii="Times New Roman" w:hAnsi="Times New Roman"/>
          <w:sz w:val="20"/>
          <w:u w:val="single"/>
        </w:rPr>
        <w:t>3.2</w:t>
      </w:r>
      <w:r>
        <w:rPr>
          <w:rFonts w:ascii="Times New Roman" w:hAnsi="Times New Roman"/>
          <w:sz w:val="20"/>
        </w:rPr>
        <w:t xml:space="preserve">, </w:t>
      </w:r>
      <w:r>
        <w:rPr>
          <w:rFonts w:ascii="Times New Roman" w:hAnsi="Times New Roman"/>
          <w:sz w:val="20"/>
          <w:u w:val="single"/>
        </w:rPr>
        <w:t>3.5</w:t>
      </w:r>
      <w:r>
        <w:rPr>
          <w:rFonts w:ascii="Times New Roman" w:hAnsi="Times New Roman"/>
          <w:sz w:val="20"/>
        </w:rPr>
        <w:t xml:space="preserve"> and those representations and warranties that are qualified as to materiality or a Material Adverse Effect, which shall be true and correct in all respects) as of the Closing Date (except in the case of representations and warranties that are made as of a specified date, which shall be true and correct in all respects as of such specified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shall have submitted a Supplemental Listing Application to the NYSE for the listing of the Shares and the Pre-Funded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have delivered, or caused to be delivered, to the Purchaser at or prior to the Closing, as applicable, the Company’s closing deliverables described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(e) since the date of this Agreement, no event or series of events shall have occurred that has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no stop order or suspension of trading shall have been imposed by NYSE, the Commission or any other governmental or regulatory body with respect to public trading in the Class A Common Stock. The Class A Common Stock shall be listed on NYSE and shall not have been suspended, as of the Closing Date, by the Commission or the NYSE from trading thereon nor shall suspension by the Commission or NYSE have been threatened, as of the Closing Date, in writing by the Commission or NYSE; and </w:t>
      </w:r>
    </w:p>
    <w:p>
      <w:pPr>
        <w:pStyle w:val="TextBody"/>
        <w:bidi w:val="0"/>
        <w:spacing w:before="240" w:after="0"/>
        <w:jc w:val="left"/>
        <w:rPr>
          <w:rFonts w:ascii="Times New Roman" w:hAnsi="Times New Roman"/>
          <w:sz w:val="20"/>
        </w:rPr>
      </w:pPr>
      <w:r>
        <w:rPr>
          <w:rFonts w:ascii="Times New Roman" w:hAnsi="Times New Roman"/>
          <w:sz w:val="20"/>
        </w:rPr>
        <w:t xml:space="preserve">(g) the conditions set forth in Section 9 of the Placement Agent Agreement shall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Conditions to the Obligation of the Company to Consummate the Closing</w:t>
      </w:r>
      <w:r>
        <w:rPr>
          <w:rFonts w:ascii="Times New Roman" w:hAnsi="Times New Roman"/>
          <w:sz w:val="20"/>
        </w:rPr>
        <w:t xml:space="preserve">. The obligation of the Company to consummate the transactions contemplated hereby and sell and deliver the Securities to the Purchaser at the Closing, is subject to the satisfaction, or due waiver in writing by the Company,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the Purchaser shall have performed and complied in all material respects with all of the covenants and agreements contained in this Agreement that are required to be performed or complied with by it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the representations and warranties of the Purchaser contained in this Agreement shall be true and correct in all material respects (other than those representations and warranties contained in </w:t>
      </w:r>
      <w:r>
        <w:rPr>
          <w:rFonts w:ascii="Times New Roman" w:hAnsi="Times New Roman"/>
          <w:sz w:val="20"/>
          <w:u w:val="single"/>
        </w:rPr>
        <w:t>Section 4.1</w:t>
      </w:r>
      <w:r>
        <w:rPr>
          <w:rFonts w:ascii="Times New Roman" w:hAnsi="Times New Roman"/>
          <w:sz w:val="20"/>
        </w:rPr>
        <w:t xml:space="preserve">, which shall be true and correct in all respects) as of the Closing Date (except in the case of representations and warranties that are made as of a specified date, which shall be true and correct in all respects as of such specified date); and </w:t>
      </w:r>
    </w:p>
    <w:p>
      <w:pPr>
        <w:pStyle w:val="TextBody"/>
        <w:bidi w:val="0"/>
        <w:spacing w:before="240" w:after="0"/>
        <w:jc w:val="left"/>
        <w:rPr>
          <w:rFonts w:ascii="Times New Roman" w:hAnsi="Times New Roman"/>
          <w:sz w:val="20"/>
        </w:rPr>
      </w:pPr>
      <w:r>
        <w:rPr>
          <w:rFonts w:ascii="Times New Roman" w:hAnsi="Times New Roman"/>
          <w:sz w:val="20"/>
        </w:rPr>
        <w:t xml:space="preserve">(c) the Purchaser shall have delivered, or caused to be delivered, to the Company at or prior to the Closing, as applicable, the Purchaser’s closing deliverables described in </w:t>
      </w:r>
      <w:r>
        <w:rPr>
          <w:rFonts w:ascii="Times New Roman" w:hAnsi="Times New Roman"/>
          <w:sz w:val="20"/>
          <w:u w:val="single"/>
        </w:rPr>
        <w:t>Section 2.3</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Conditions of Termination</w:t>
      </w:r>
      <w:r>
        <w:rPr>
          <w:rFonts w:ascii="Times New Roman" w:hAnsi="Times New Roman"/>
          <w:sz w:val="20"/>
        </w:rPr>
        <w:t xml:space="preserve">. Notwithstanding anything to the contrary contained herein, this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(a) at any time before the Closing by mutual written consent of the Company and the Purchaser; </w:t>
      </w:r>
    </w:p>
    <w:p>
      <w:pPr>
        <w:pStyle w:val="TextBody"/>
        <w:bidi w:val="0"/>
        <w:spacing w:before="240" w:after="0"/>
        <w:jc w:val="left"/>
        <w:rPr>
          <w:rFonts w:ascii="Times New Roman" w:hAnsi="Times New Roman"/>
          <w:sz w:val="20"/>
        </w:rPr>
      </w:pPr>
      <w:r>
        <w:rPr>
          <w:rFonts w:ascii="Times New Roman" w:hAnsi="Times New Roman"/>
          <w:sz w:val="20"/>
        </w:rPr>
        <w:t xml:space="preserve">(b) if, on the Closing Date, any of the conditions of Closing set forth in </w:t>
      </w:r>
      <w:r>
        <w:rPr>
          <w:rFonts w:ascii="Times New Roman" w:hAnsi="Times New Roman"/>
          <w:sz w:val="20"/>
          <w:u w:val="single"/>
        </w:rPr>
        <w:t>Article 6</w:t>
      </w:r>
      <w:r>
        <w:rPr>
          <w:rFonts w:ascii="Times New Roman" w:hAnsi="Times New Roman"/>
          <w:sz w:val="20"/>
        </w:rPr>
        <w:t xml:space="preserve"> have not been satisfied as of the time required hereunder to be so satisfied or waived by the party entitled to grant such waiver, or are not capable of being satisfied and, as a result thereof, the transactions contemplated by this Agreement will not be and are not consummated; or </w:t>
      </w:r>
    </w:p>
    <w:p>
      <w:pPr>
        <w:pStyle w:val="TextBody"/>
        <w:bidi w:val="0"/>
        <w:spacing w:before="240" w:after="0"/>
        <w:jc w:val="left"/>
        <w:rPr>
          <w:rFonts w:ascii="Times New Roman" w:hAnsi="Times New Roman"/>
          <w:sz w:val="20"/>
        </w:rPr>
      </w:pPr>
      <w:r>
        <w:rPr>
          <w:rFonts w:ascii="Times New Roman" w:hAnsi="Times New Roman"/>
          <w:sz w:val="20"/>
        </w:rPr>
        <w:t xml:space="preserve">(c) at any time after the date that is five (5) Business Days after the date of this Agreement by either the Company, on the one hand, or the Purchaser, on the other hand, if the Closing shall not have occurred on or before such date,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right to terminate this Agreement pursuant to the preceding sub-paragraphs (b) or (c) of this </w:t>
      </w:r>
      <w:r>
        <w:rPr>
          <w:rFonts w:ascii="Times New Roman" w:hAnsi="Times New Roman"/>
          <w:sz w:val="20"/>
          <w:u w:val="single"/>
        </w:rPr>
        <w:t xml:space="preserve">Section 7.1 </w:t>
      </w:r>
      <w:r>
        <w:rPr>
          <w:rFonts w:ascii="Times New Roman" w:hAnsi="Times New Roman"/>
          <w:sz w:val="20"/>
        </w:rPr>
        <w:t xml:space="preserve">shall not be available to a party if the inability to satisfy any of the conditions to Closing was due primarily to the failure of such party to perform any of its obligations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Effect of Termination</w:t>
      </w:r>
      <w:r>
        <w:rPr>
          <w:rFonts w:ascii="Times New Roman" w:hAnsi="Times New Roman"/>
          <w:sz w:val="20"/>
        </w:rPr>
        <w:t xml:space="preserve">. In the event of any termination pursuant to </w:t>
      </w:r>
      <w:r>
        <w:rPr>
          <w:rFonts w:ascii="Times New Roman" w:hAnsi="Times New Roman"/>
          <w:sz w:val="20"/>
          <w:u w:val="single"/>
        </w:rPr>
        <w:t>Section 7.1</w:t>
      </w:r>
      <w:r>
        <w:rPr>
          <w:rFonts w:ascii="Times New Roman" w:hAnsi="Times New Roman"/>
          <w:sz w:val="20"/>
        </w:rPr>
        <w:t xml:space="preserve">, this Agreement shall become null and void and have no further effect, with no liability on the part of the Company or the Purchaser, or their respective Affiliates or Representatives, with respect to this Agreement, except (a) for the terms of this </w:t>
      </w:r>
      <w:r>
        <w:rPr>
          <w:rFonts w:ascii="Times New Roman" w:hAnsi="Times New Roman"/>
          <w:sz w:val="20"/>
          <w:u w:val="single"/>
        </w:rPr>
        <w:t>Section 7.2</w:t>
      </w:r>
      <w:r>
        <w:rPr>
          <w:rFonts w:ascii="Times New Roman" w:hAnsi="Times New Roman"/>
          <w:sz w:val="20"/>
        </w:rPr>
        <w:t xml:space="preserve">, </w:t>
      </w:r>
      <w:r>
        <w:rPr>
          <w:rFonts w:ascii="Times New Roman" w:hAnsi="Times New Roman"/>
          <w:sz w:val="20"/>
          <w:u w:val="single"/>
        </w:rPr>
        <w:t>Section 5.1</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xml:space="preserve">, which shall survive the termination of this Agreement, and (b) that nothing in this </w:t>
      </w:r>
      <w:r>
        <w:rPr>
          <w:rFonts w:ascii="Times New Roman" w:hAnsi="Times New Roman"/>
          <w:sz w:val="20"/>
          <w:u w:val="single"/>
        </w:rPr>
        <w:t>Section 7.2</w:t>
      </w:r>
      <w:r>
        <w:rPr>
          <w:rFonts w:ascii="Times New Roman" w:hAnsi="Times New Roman"/>
          <w:sz w:val="20"/>
        </w:rPr>
        <w:t xml:space="preserve"> shall relieve any party hereto from liability or damages incurred or suffered by any other party resulting from any intentional (x) breach of any representation or warranty of such first party or (y) failure of such first party to perform a covenant hereof.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Survival</w:t>
      </w:r>
      <w:r>
        <w:rPr>
          <w:rFonts w:ascii="Times New Roman" w:hAnsi="Times New Roman"/>
          <w:sz w:val="20"/>
        </w:rPr>
        <w:t xml:space="preserve">. The representations and warranties set forth in </w:t>
      </w:r>
      <w:r>
        <w:rPr>
          <w:rFonts w:ascii="Times New Roman" w:hAnsi="Times New Roman"/>
          <w:sz w:val="20"/>
          <w:u w:val="single"/>
        </w:rPr>
        <w:t>Sections 3</w:t>
      </w:r>
      <w:r>
        <w:rPr>
          <w:rFonts w:ascii="Times New Roman" w:hAnsi="Times New Roman"/>
          <w:sz w:val="20"/>
        </w:rPr>
        <w:t xml:space="preserve"> and </w:t>
      </w:r>
      <w:r>
        <w:rPr>
          <w:rFonts w:ascii="Times New Roman" w:hAnsi="Times New Roman"/>
          <w:sz w:val="20"/>
          <w:u w:val="single"/>
        </w:rPr>
        <w:t>4</w:t>
      </w:r>
      <w:r>
        <w:rPr>
          <w:rFonts w:ascii="Times New Roman" w:hAnsi="Times New Roman"/>
          <w:sz w:val="20"/>
        </w:rPr>
        <w:t xml:space="preserve"> of this Agreement shall survive the execution and delivery of this Agreement and the Closing. The covenants made in this Agreement shall survive the Closing indefinitely until fully performed in accordance with their terms and remain operative and in full force and effect in accordance with their terms regardless of acceptance of any of the Securities and payment therefor and repayment, conversion or repurchase thereof. The Purchaser shall be responsible only for its own representations, warranties, agreements and covenants hereunder.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Interpretation</w:t>
      </w:r>
      <w:r>
        <w:rPr>
          <w:rFonts w:ascii="Times New Roman" w:hAnsi="Times New Roman"/>
          <w:sz w:val="20"/>
        </w:rPr>
        <w:t xml:space="preserve">. The term “or” when used in this Agreement is not exclusive. The words “hereof,” “herein” and “hereunder” and words of similar import when used in this Agreement will refer to this Agreement as a whole and not to any particular provision of this Agreement, and section and subsection references are to this Agreement unless otherwise specified. The headings in this Agreement are included for convenience of reference only and will not limit or otherwise affect the meaning or interpretation of this Agreement. Whenever the words “include,” “includes” or “including” are used in this Agreement, they will be deemed to be followed by the words “without limitation.” The phrases “the date of this Agreement,” “the date hereof” and terms of similar import, unless the context otherwise requires, will be deemed to refer to the date set forth in the first paragraph of this Agreement. The meanings given to terms defined herein will be equally applicable to both the singular and plural forms of such terms. All matters to be agreed to by any party hereto must be agreed to in writing by such party unless otherwise indicated herein. Except as otherwise specified herein, references to agreements, policies, standards, guidelines or instruments, or to statutes or regulations, are to such agreements, policies, standards, guidelines or instruments, or statutes or regulations, as amended or supplemented from time to time (or to successors thereto). The parties hereto agree that they have been represented by counsel during the negotiation and execution of this Agreement and, therefore, waive the application of any Law, holding or rule of construction providing that ambiguities in an agreement or other document will be construed against the party drafting such agreement or document.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Notices</w:t>
      </w:r>
      <w:r>
        <w:rPr>
          <w:rFonts w:ascii="Times New Roman" w:hAnsi="Times New Roman"/>
          <w:sz w:val="20"/>
        </w:rPr>
        <w:t xml:space="preserve">. All notices, requests, Consents, and other communications under this Agreement shall be in writing and shall be deemed delivered (unless there is evidence that it was delivered earlier): (a) when delivered, if delivered personally; (b) five (5) Business Days after being sent via a reputable international courier service; or (c) at the time of sending if sent by e-mail, provided that receipt shall not occur if the sender receives an automated message that the e-mail has not been delivered to the recipient, in each case to the intended recipient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Bakkt, Inc. </w:t>
      </w:r>
    </w:p>
    <w:p>
      <w:pPr>
        <w:pStyle w:val="TextBody"/>
        <w:bidi w:val="0"/>
        <w:spacing w:before="0" w:after="0"/>
        <w:jc w:val="left"/>
        <w:rPr>
          <w:rFonts w:ascii="Times New Roman" w:hAnsi="Times New Roman"/>
          <w:sz w:val="20"/>
        </w:rPr>
      </w:pPr>
      <w:r>
        <w:rPr>
          <w:rFonts w:ascii="Times New Roman" w:hAnsi="Times New Roman"/>
          <w:sz w:val="20"/>
        </w:rPr>
        <w:t xml:space="preserve">One Liberty Plaza, One Liberty Str. Ste. 305-306 </w:t>
      </w:r>
    </w:p>
    <w:p>
      <w:pPr>
        <w:pStyle w:val="TextBody"/>
        <w:bidi w:val="0"/>
        <w:spacing w:before="0" w:after="0"/>
        <w:jc w:val="left"/>
        <w:rPr>
          <w:rFonts w:ascii="Times New Roman" w:hAnsi="Times New Roman"/>
          <w:sz w:val="20"/>
        </w:rPr>
      </w:pPr>
      <w:r>
        <w:rPr>
          <w:rFonts w:ascii="Times New Roman" w:hAnsi="Times New Roman"/>
          <w:sz w:val="20"/>
        </w:rPr>
        <w:t xml:space="preserve">New York, NY 10006 </w:t>
      </w:r>
    </w:p>
    <w:p>
      <w:pPr>
        <w:pStyle w:val="TextBody"/>
        <w:bidi w:val="0"/>
        <w:spacing w:before="0" w:after="0"/>
        <w:jc w:val="left"/>
        <w:rPr>
          <w:rFonts w:ascii="Times New Roman" w:hAnsi="Times New Roman"/>
          <w:sz w:val="20"/>
        </w:rPr>
      </w:pPr>
      <w:r>
        <w:rPr>
          <w:rFonts w:ascii="Times New Roman" w:hAnsi="Times New Roman"/>
          <w:sz w:val="20"/>
        </w:rPr>
        <w:t xml:space="preserve">Attn: Marc D’Annunzio, General Counsel and Secretary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Sullivan &amp; Cromwell LLP </w:t>
      </w:r>
    </w:p>
    <w:p>
      <w:pPr>
        <w:pStyle w:val="TextBody"/>
        <w:bidi w:val="0"/>
        <w:spacing w:before="0" w:after="0"/>
        <w:jc w:val="left"/>
        <w:rPr>
          <w:rFonts w:ascii="Times New Roman" w:hAnsi="Times New Roman"/>
          <w:sz w:val="20"/>
        </w:rPr>
      </w:pPr>
      <w:r>
        <w:rPr>
          <w:rFonts w:ascii="Times New Roman" w:hAnsi="Times New Roman"/>
          <w:sz w:val="20"/>
        </w:rPr>
        <w:t xml:space="preserve">125 Broad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NY 10004 </w:t>
      </w:r>
    </w:p>
    <w:p>
      <w:pPr>
        <w:pStyle w:val="TextBody"/>
        <w:bidi w:val="0"/>
        <w:spacing w:before="0" w:after="0"/>
        <w:jc w:val="left"/>
        <w:rPr>
          <w:rFonts w:ascii="Times New Roman" w:hAnsi="Times New Roman"/>
          <w:sz w:val="20"/>
        </w:rPr>
      </w:pPr>
      <w:r>
        <w:rPr>
          <w:rFonts w:ascii="Times New Roman" w:hAnsi="Times New Roman"/>
          <w:sz w:val="20"/>
        </w:rPr>
        <w:t xml:space="preserve">Attn: Jared Fishman, Matt Goodman, Mario Schollmeyer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If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to the address set forth on the signature page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Severability</w:t>
      </w:r>
      <w:r>
        <w:rPr>
          <w:rFonts w:ascii="Times New Roman" w:hAnsi="Times New Roman"/>
          <w:sz w:val="20"/>
        </w:rPr>
        <w:t xml:space="preserve">.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Governing Law; Jurisdiction; Waiver of Jury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all matters relating hereto shall be governed by, and construed in accordance with, the laws of the State of New York without regard to choice of laws or conflicts of laws provisions thereof that would require the application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the Purchaser hereby irrevocably and unconditionally: </w:t>
      </w:r>
    </w:p>
    <w:p>
      <w:pPr>
        <w:pStyle w:val="TextBody"/>
        <w:bidi w:val="0"/>
        <w:spacing w:before="240" w:after="0"/>
        <w:jc w:val="left"/>
        <w:rPr>
          <w:rFonts w:ascii="Times New Roman" w:hAnsi="Times New Roman"/>
          <w:sz w:val="20"/>
        </w:rPr>
      </w:pPr>
      <w:r>
        <w:rPr>
          <w:rFonts w:ascii="Times New Roman" w:hAnsi="Times New Roman"/>
          <w:sz w:val="20"/>
        </w:rPr>
        <w:t xml:space="preserve">(i) submits for itself and its property in any Action or Proceeding relating solely to this Agreement or the transactions contemplated hereby, to the general jurisdiction of the any state court or United States Federal court sitting in the City of New York in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hAnsi="Times New Roman"/>
          <w:sz w:val="20"/>
          <w:u w:val="single"/>
        </w:rPr>
        <w:t>Section 8.3</w:t>
      </w:r>
      <w:r>
        <w:rPr>
          <w:rFonts w:ascii="Times New Roman" w:hAnsi="Times New Roman"/>
          <w:sz w:val="20"/>
        </w:rPr>
        <w:t xml:space="preserve"> or at such other address of which the other party shall have been notified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(vi) 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 </w:t>
      </w:r>
    </w:p>
    <w:p>
      <w:pPr>
        <w:pStyle w:val="TextBody"/>
        <w:bidi w:val="0"/>
        <w:spacing w:before="240" w:after="0"/>
        <w:jc w:val="left"/>
        <w:rPr>
          <w:rFonts w:ascii="Times New Roman" w:hAnsi="Times New Roman"/>
          <w:sz w:val="20"/>
        </w:rPr>
      </w:pPr>
      <w:r>
        <w:rPr>
          <w:rFonts w:ascii="Times New Roman" w:hAnsi="Times New Roman"/>
          <w:sz w:val="20"/>
        </w:rPr>
        <w:t xml:space="preserve">(vii) IRREVOCABLY AND UNCONDITIONALLY WAIVES TRIAL BY JURY IN ANY LEGAL ACTION OR PROCEEDING IN RELATION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Delays or Omissions; Waiver</w:t>
      </w:r>
      <w:r>
        <w:rPr>
          <w:rFonts w:ascii="Times New Roman" w:hAnsi="Times New Roman"/>
          <w:sz w:val="20"/>
        </w:rPr>
        <w:t xml:space="preserve">. No delay or omission to exercise any right, power, or remedy accruing to a party upon any breach or default of another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waiver of any other breach or default theretofore or thereafter occurring.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Any agreement on the part of a party or parties hereto to any waiver shall be valid only if set forth in an instrument in writing signed on behalf of such party or parties, as applicable. Any delay in exercising any right under this Agreement shall not constitute a waiver of such right.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Specific Performance</w:t>
      </w:r>
      <w:r>
        <w:rPr>
          <w:rFonts w:ascii="Times New Roman" w:hAnsi="Times New Roman"/>
          <w:sz w:val="20"/>
        </w:rPr>
        <w:t xml:space="preserve">. The parties hereto agree that the obligations imposed on them in this Agreement are special, unique and of an extraordinary character, and that irreparable damages for which money damages, even if available, may not be an adequate remedy, may occur in the event that the parties hereto do not perform the provisions of this Agreement in accordance with its specified terms or otherwise breach such provisions. The parties hereto acknowledge and agree that the parties may be entitled to an injunction, specific performance and other equitable relief to prevent breaches of this Agreement and to enforce specifically the terms and provisions hereof, this being in addition to any other remedy to which they are entitled, at law or in equity; and the parties hereto further agree to waive any requirement for the securing or posting of any bond or other security in connection with the obtaining of any such injunctive or other equitable relief.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Assignment</w:t>
      </w:r>
      <w:r>
        <w:rPr>
          <w:rFonts w:ascii="Times New Roman" w:hAnsi="Times New Roman"/>
          <w:sz w:val="20"/>
        </w:rPr>
        <w:t xml:space="preserve">. The Purchaser may not assign its rights or obligations under this Agreement without the prior written consent of the Company, other than to the following Persons, to whom the Purchaser may, after Closing, assign its rights and/or transfer its obligations under this Agreement without the prior written consent of the Company: any Affiliate or any other investment funds or accounts managed or advised by the investment manager who acts on behalf of the Purchaser. The Company may not assign its rights or obligations under this Agreement without the prior written consent of the Purchaser. Subject to the preceding sentence, this Agreement shall be binding upon, inure to the benefit of and be enforceable by the parties to this Agreement and their respective successors and permitted assigns. Any purported assignment other than in compliance with the terms hereof shall be void </w:t>
      </w:r>
      <w:r>
        <w:rPr>
          <w:rFonts w:ascii="Times New Roman" w:hAnsi="Times New Roman"/>
          <w:i/>
          <w:sz w:val="20"/>
        </w:rPr>
        <w:t>ab initio</w:t>
      </w:r>
      <w:r>
        <w:rPr>
          <w:rFonts w:ascii="Times New Roman" w:hAnsi="Times New Roman"/>
          <w:sz w:val="20"/>
        </w:rPr>
        <w:t xml:space="preserve">. Any assignment and/or transfer of rights by the Purchaser under this Agreement following Closing to any Affiliate of the Purchaser shall enable such Affiliate to exercise such rights (including in respect of representations and warranties) as if such Affiliate were party to this Agreement as of the date hereof and acquired the Securities directly from the Company at Closing. </w:t>
      </w:r>
    </w:p>
    <w:p>
      <w:pPr>
        <w:pStyle w:val="TextBody"/>
        <w:bidi w:val="0"/>
        <w:spacing w:before="24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Reliance by and Exculpation of Placement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Purchaser agrees for the express benefit of the Placement Agent and its affiliates and representatives that (i) the Placement Agent and its affiliates and representatives have not made, and will not make any representations or warranties with respect to the Company or the offer and sale of the Securities, and the Purchaser will not rely on any statements made by the Placement Agent, orally or in writing, to the contrary, (ii) Purchaser will be responsible for conducting its own due diligence investigation with respect to the Company and the offer and sale of the Securities, (iii) Purchaser will be purchasing the Securities based on the results of its own due diligence investigation of the Company and the Placement Agent and each of its respective directors, officers, employees, representatives, and controlling persons have made no independent investigation with respect to the Company, the Securities, or the accuracy, completeness, or adequacy of any information supplied to the Purchaser by the Company, (iv) Purchaser has negotiated the offer and sale of the Securities directly with the Company, and the Placement Agent will not be responsible for the ultimate success of any such investment and (v) the decision to invest in the Company will involve a significant degree of risk, including a risk of total loss of such investment. Purchaser further represents and warrants to the Placement Agent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 w:hAnsi="Times New Roman"/>
          <w:sz w:val="20"/>
          <w:u w:val="single"/>
        </w:rPr>
        <w:t>Section 8.9</w:t>
      </w:r>
      <w:r>
        <w:rPr>
          <w:rFonts w:ascii="Times New Roman" w:hAnsi="Times New Roman"/>
          <w:sz w:val="20"/>
        </w:rPr>
        <w:t xml:space="preserve"> shall survive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Neither the Placement Agent nor any of its affiliates or representatives (i) shall be liable for any improper payment made in accordance with the information provided by the Company; (ii) makes any representation or warranty, or has any responsibilities as to the validity, accuracy, value or genuineness of any information, certificates or documentation delivered by or on behalf of the Company pursuant to the Transaction Documents or in connection with any of the transactions contemplated therein; or (iii) shall be liable (A) for any action taken, suffered or omitted by any of them in good faith and reasonably believed to be authorized or within the discretion or rights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powers conferred upon it by the Transaction Documents or (B) for anything which any of them may do or refrain from doing in connection with the Transaction Documents, except in each case for such party’s own gross negligence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8.10 </w:t>
      </w:r>
      <w:r>
        <w:rPr>
          <w:rFonts w:ascii="Times New Roman" w:hAnsi="Times New Roman"/>
          <w:sz w:val="20"/>
          <w:u w:val="single"/>
        </w:rPr>
        <w:t>No Third-Party Beneficiaries</w:t>
      </w:r>
      <w:r>
        <w:rPr>
          <w:rFonts w:ascii="Times New Roman" w:hAnsi="Times New Roman"/>
          <w:sz w:val="20"/>
        </w:rPr>
        <w:t xml:space="preserve">. Except as expressly described herein with respect to the Placement Agent, this Agreement does not create any rights, claims or benefits inuring to any Person that is not a party hereto nor create or establish any third party beneficiary hereto. The Placement Agent is an intended third-party beneficiary of the Company deliverables in </w:t>
      </w:r>
      <w:r>
        <w:rPr>
          <w:rFonts w:ascii="Times New Roman" w:hAnsi="Times New Roman"/>
          <w:sz w:val="20"/>
          <w:u w:val="single"/>
        </w:rPr>
        <w:t>Section 2.2</w:t>
      </w:r>
      <w:r>
        <w:rPr>
          <w:rFonts w:ascii="Times New Roman" w:hAnsi="Times New Roman"/>
          <w:sz w:val="20"/>
        </w:rPr>
        <w:t xml:space="preserve"> and the representations and warranties in </w:t>
      </w:r>
      <w:r>
        <w:rPr>
          <w:rFonts w:ascii="Times New Roman" w:hAnsi="Times New Roman"/>
          <w:sz w:val="20"/>
          <w:u w:val="single"/>
        </w:rPr>
        <w:t>Articles 3</w:t>
      </w:r>
      <w:r>
        <w:rPr>
          <w:rFonts w:ascii="Times New Roman" w:hAnsi="Times New Roman"/>
          <w:sz w:val="20"/>
        </w:rPr>
        <w:t xml:space="preserve"> and </w:t>
      </w:r>
      <w:r>
        <w:rPr>
          <w:rFonts w:ascii="Times New Roman" w:hAnsi="Times New Roman"/>
          <w:sz w:val="20"/>
          <w:u w:val="single"/>
        </w:rPr>
        <w:t>4</w:t>
      </w:r>
      <w:r>
        <w:rPr>
          <w:rFonts w:ascii="Times New Roman" w:hAnsi="Times New Roman"/>
          <w:sz w:val="20"/>
        </w:rPr>
        <w:t xml:space="preserve">, Sections </w:t>
      </w:r>
      <w:r>
        <w:rPr>
          <w:rFonts w:ascii="Times New Roman" w:hAnsi="Times New Roman"/>
          <w:sz w:val="20"/>
          <w:u w:val="single"/>
        </w:rPr>
        <w:t>8.9</w:t>
      </w:r>
      <w:r>
        <w:rPr>
          <w:rFonts w:ascii="Times New Roman" w:hAnsi="Times New Roman"/>
          <w:sz w:val="20"/>
        </w:rPr>
        <w:t xml:space="preserve"> and </w:t>
      </w:r>
      <w:r>
        <w:rPr>
          <w:rFonts w:ascii="Times New Roman" w:hAnsi="Times New Roman"/>
          <w:sz w:val="20"/>
          <w:u w:val="single"/>
        </w:rPr>
        <w:t>8.12</w:t>
      </w:r>
      <w:r>
        <w:rPr>
          <w:rFonts w:ascii="Times New Roman" w:hAnsi="Times New Roman"/>
          <w:sz w:val="20"/>
        </w:rPr>
        <w:t xml:space="preserve">, and this </w:t>
      </w:r>
      <w:r>
        <w:rPr>
          <w:rFonts w:ascii="Times New Roman" w:hAnsi="Times New Roman"/>
          <w:sz w:val="20"/>
          <w:u w:val="single"/>
        </w:rPr>
        <w:t>Section 8.10</w:t>
      </w:r>
      <w:r>
        <w:rPr>
          <w:rFonts w:ascii="Times New Roman" w:hAnsi="Times New Roman"/>
          <w:sz w:val="20"/>
        </w:rPr>
        <w:t xml:space="preserve">. Without limiting the foregoing, the representations and warranties in this Agreement are the product of negotiations among the parties hereto and are for the sole benefit of the parties hereto and the Placement Agent. In some instances, the representations and warranties in this Agreement may represent an allocation among the parties hereto of risks associated with particular matters regardless of the knowledge of any of the parties hereto. Consequently, Persons other than the parties hereto and the Placement Agent may not rely upon the representations and warranties in this Agreement as characterizations of actual facts or circumstances as of the date of this Agreement or as of any other date. </w:t>
      </w:r>
    </w:p>
    <w:p>
      <w:pPr>
        <w:pStyle w:val="TextBody"/>
        <w:bidi w:val="0"/>
        <w:spacing w:before="240" w:after="0"/>
        <w:jc w:val="left"/>
        <w:rPr>
          <w:rFonts w:ascii="Times New Roman" w:hAnsi="Times New Roman"/>
          <w:sz w:val="20"/>
        </w:rPr>
      </w:pPr>
      <w:r>
        <w:rPr>
          <w:rFonts w:ascii="Times New Roman" w:hAnsi="Times New Roman"/>
          <w:sz w:val="20"/>
        </w:rPr>
        <w:t xml:space="preserve">8.11 </w:t>
      </w:r>
      <w:r>
        <w:rPr>
          <w:rFonts w:ascii="Times New Roman" w:hAnsi="Times New Roman"/>
          <w:sz w:val="20"/>
          <w:u w:val="single"/>
        </w:rPr>
        <w:t>Counterparts</w:t>
      </w:r>
      <w:r>
        <w:rPr>
          <w:rFonts w:ascii="Times New Roman" w:hAnsi="Times New Roman"/>
          <w:sz w:val="20"/>
        </w:rPr>
        <w:t xml:space="preserve">. This Agreement may be executed and delivered (including by facsimile or electronic transmission) in any number of counterparts, and by the different parties hereto in separate counterparts, each of which when executed shall be deemed an original, but all of which taken together shall constitute a single instrument. </w:t>
      </w:r>
    </w:p>
    <w:p>
      <w:pPr>
        <w:pStyle w:val="TextBody"/>
        <w:bidi w:val="0"/>
        <w:spacing w:before="240" w:after="0"/>
        <w:jc w:val="left"/>
        <w:rPr>
          <w:rFonts w:ascii="Times New Roman" w:hAnsi="Times New Roman"/>
          <w:sz w:val="20"/>
        </w:rPr>
      </w:pPr>
      <w:r>
        <w:rPr>
          <w:rFonts w:ascii="Times New Roman" w:hAnsi="Times New Roman"/>
          <w:sz w:val="20"/>
        </w:rPr>
        <w:t xml:space="preserve">8.12 </w:t>
      </w:r>
      <w:r>
        <w:rPr>
          <w:rFonts w:ascii="Times New Roman" w:hAnsi="Times New Roman"/>
          <w:sz w:val="20"/>
          <w:u w:val="single"/>
        </w:rPr>
        <w:t>Nature of Relationship</w:t>
      </w:r>
      <w:r>
        <w:rPr>
          <w:rFonts w:ascii="Times New Roman" w:hAnsi="Times New Roman"/>
          <w:sz w:val="20"/>
        </w:rPr>
        <w:t xml:space="preserve">. The Purchaser acknowledges and agrees that its relationship under this Agreement is purely contractual. Therefore, (i) this Agreement does not create a fiduciary relationship of any kind (partnership, agency, trust, employment or otherwise), nor (save as expressly provided herein) restrict or limit the activities of the parties in any way, (ii) no party is a representative or agent of any other party for any purpose whatsoever, and (iii) no party shall have any right, power or authority to make or enter into any commitments for or on behalf of any other party. Purchaser understands and acknowledges that the Placement Agent has acted solely as the agent of the Company in this placement of the Securities, and Purchaser has not relied on the business or legal advice of the Placement Agent or any of its agents, counsel or affiliates in making its investment decision hereunder. </w:t>
      </w:r>
    </w:p>
    <w:p>
      <w:pPr>
        <w:pStyle w:val="TextBody"/>
        <w:bidi w:val="0"/>
        <w:spacing w:before="240" w:after="0"/>
        <w:jc w:val="left"/>
        <w:rPr>
          <w:rFonts w:ascii="Times New Roman" w:hAnsi="Times New Roman"/>
          <w:sz w:val="20"/>
        </w:rPr>
      </w:pPr>
      <w:r>
        <w:rPr>
          <w:rFonts w:ascii="Times New Roman" w:hAnsi="Times New Roman"/>
          <w:sz w:val="20"/>
        </w:rPr>
        <w:t xml:space="preserve">8.13 </w:t>
      </w:r>
      <w:r>
        <w:rPr>
          <w:rFonts w:ascii="Times New Roman" w:hAnsi="Times New Roman"/>
          <w:sz w:val="20"/>
          <w:u w:val="single"/>
        </w:rPr>
        <w:t>Entire Agreement; Amendments</w:t>
      </w:r>
      <w:r>
        <w:rPr>
          <w:rFonts w:ascii="Times New Roman" w:hAnsi="Times New Roman"/>
          <w:sz w:val="20"/>
        </w:rPr>
        <w:t xml:space="preserve">. This Agreement and the documents and instruments and other agreements among the parties hereto as contemplated by or referred to herein, including the Exhibits hereto, constitute the entire agreement between the parties hereto respecting the subject matter hereof and supersede all prior agreements, negotiations, understandings, representations and statements respecting the subject matter hereof, whether written or oral. No modification, alteration or change in any of the terms of this Agreement shall be valid or binding upon the parties hereto unless made in writing and duly executed by the Company and the Purchaser. </w:t>
      </w:r>
    </w:p>
    <w:p>
      <w:pPr>
        <w:pStyle w:val="TextBody"/>
        <w:bidi w:val="0"/>
        <w:spacing w:before="240" w:after="0"/>
        <w:jc w:val="left"/>
        <w:rPr>
          <w:rFonts w:ascii="Times New Roman" w:hAnsi="Times New Roman"/>
          <w:sz w:val="20"/>
        </w:rPr>
      </w:pPr>
      <w:r>
        <w:rPr>
          <w:rFonts w:ascii="Times New Roman" w:hAnsi="Times New Roman"/>
          <w:sz w:val="20"/>
        </w:rPr>
        <w:t xml:space="preserve">8.14 </w:t>
      </w:r>
      <w:r>
        <w:rPr>
          <w:rFonts w:ascii="Times New Roman" w:hAnsi="Times New Roman"/>
          <w:sz w:val="20"/>
          <w:u w:val="single"/>
        </w:rPr>
        <w:t>No Personal Liability of Directors, Officers, Owners, Etc</w:t>
      </w:r>
      <w:r>
        <w:rPr>
          <w:rFonts w:ascii="Times New Roman" w:hAnsi="Times New Roman"/>
          <w:sz w:val="20"/>
        </w:rPr>
        <w:t xml:space="preserve">. No director, officer, employee, incorporator, equity holder, managing member, member, general partner, limited partner, principal or other agent of the Purchaser or the Company shall have any liability for any obligations of the Purchaser or the Company, as applicable, under this Agreement or for any claim based on, in respect of, or by reason of, the respective obligations of the Purchaser or the Company, as applicable, under this Agreement. Each party hereby waives and releases all such liability. This waiver and release are a material inducement to each party’s entry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8.15 </w:t>
      </w:r>
      <w:r>
        <w:rPr>
          <w:rFonts w:ascii="Times New Roman" w:hAnsi="Times New Roman"/>
          <w:sz w:val="20"/>
          <w:u w:val="single"/>
        </w:rPr>
        <w:t>Mutual Drafting.</w:t>
      </w:r>
      <w:r>
        <w:rPr>
          <w:rFonts w:ascii="Times New Roman" w:hAnsi="Times New Roman"/>
          <w:sz w:val="20"/>
        </w:rPr>
        <w:t xml:space="preserve"> This Agreement is the joint product of the Purchaser and the Company, and each provision hereof has been subject to the mutual consultation, negotiation and agreement of such parties and shall not be construed for or against any party hereto.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executed by their duly appointed officers as of the date first above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COMPANY: </w:t>
      </w:r>
    </w:p>
    <w:p>
      <w:pPr>
        <w:pStyle w:val="TextBody"/>
        <w:bidi w:val="0"/>
        <w:spacing w:before="120" w:after="0"/>
        <w:jc w:val="left"/>
        <w:rPr>
          <w:rFonts w:ascii="Times New Roman" w:hAnsi="Times New Roman"/>
          <w:b/>
          <w:sz w:val="20"/>
        </w:rPr>
      </w:pPr>
      <w:r>
        <w:rPr>
          <w:rFonts w:ascii="Times New Roman" w:hAnsi="Times New Roman"/>
          <w:b/>
          <w:sz w:val="20"/>
        </w:rPr>
        <w:t xml:space="preserve">BAKKT, INC. </w:t>
      </w:r>
    </w:p>
    <w:p>
      <w:pPr>
        <w:pStyle w:val="TextBody"/>
        <w:bidi w:val="0"/>
        <w:spacing w:before="12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Marc D’Annunzio</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Name: Marc D’Annunzio </w:t>
      </w:r>
    </w:p>
    <w:p>
      <w:pPr>
        <w:pStyle w:val="TextBody"/>
        <w:bidi w:val="0"/>
        <w:spacing w:before="0" w:after="0"/>
        <w:jc w:val="left"/>
        <w:rPr>
          <w:rFonts w:ascii="Times New Roman" w:hAnsi="Times New Roman"/>
          <w:sz w:val="20"/>
        </w:rPr>
      </w:pPr>
      <w:r>
        <w:rPr>
          <w:rFonts w:ascii="Times New Roman" w:hAnsi="Times New Roman"/>
          <w:sz w:val="20"/>
        </w:rPr>
        <w:t xml:space="preserve">Title: General Counsel and Secretary </w:t>
      </w:r>
    </w:p>
    <w:p>
      <w:pPr>
        <w:pStyle w:val="TextBody"/>
        <w:bidi w:val="0"/>
        <w:spacing w:before="360" w:after="0"/>
        <w:jc w:val="left"/>
        <w:rPr>
          <w:rFonts w:ascii="Times New Roman" w:hAnsi="Times New Roman"/>
          <w:b/>
          <w:sz w:val="20"/>
        </w:rPr>
      </w:pPr>
      <w:r>
        <w:rPr>
          <w:rFonts w:ascii="Times New Roman" w:hAnsi="Times New Roman"/>
          <w:b/>
          <w:sz w:val="20"/>
        </w:rPr>
        <w:t>PURCHASER:</w:t>
      </w:r>
    </w:p>
    <w:p>
      <w:pPr>
        <w:pStyle w:val="TextBody"/>
        <w:bidi w:val="0"/>
        <w:spacing w:before="120" w:after="0"/>
        <w:jc w:val="left"/>
        <w:rPr>
          <w:rFonts w:ascii="Times New Roman" w:hAnsi="Times New Roman"/>
          <w:b/>
          <w:sz w:val="20"/>
        </w:rPr>
      </w:pPr>
      <w:r>
        <w:rPr>
          <w:rFonts w:ascii="Times New Roman" w:hAnsi="Times New Roman"/>
          <w:b/>
          <w:sz w:val="20"/>
        </w:rPr>
        <w:t xml:space="preserve">ALYESKA MASTER FUND, L.P. </w:t>
      </w:r>
    </w:p>
    <w:p>
      <w:pPr>
        <w:pStyle w:val="TextBody"/>
        <w:bidi w:val="0"/>
        <w:spacing w:before="12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Jason A. Bragg</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Name: Jason A. Bragg </w:t>
      </w:r>
    </w:p>
    <w:p>
      <w:pPr>
        <w:pStyle w:val="TextBody"/>
        <w:bidi w:val="0"/>
        <w:spacing w:before="0" w:after="0"/>
        <w:jc w:val="left"/>
        <w:rPr>
          <w:rFonts w:ascii="Times New Roman" w:hAnsi="Times New Roman"/>
          <w:sz w:val="20"/>
        </w:rPr>
      </w:pPr>
      <w:r>
        <w:rPr>
          <w:rFonts w:ascii="Times New Roman" w:hAnsi="Times New Roman"/>
          <w:sz w:val="20"/>
        </w:rPr>
        <w:t xml:space="preserve">Title: CFO, Alyeska Investment Group, L.P. </w:t>
      </w:r>
    </w:p>
    <w:p>
      <w:pPr>
        <w:pStyle w:val="TextBody"/>
        <w:bidi w:val="0"/>
        <w:spacing w:before="240" w:after="0"/>
        <w:jc w:val="left"/>
        <w:rPr>
          <w:rFonts w:ascii="Times New Roman" w:hAnsi="Times New Roman"/>
          <w:b/>
          <w:sz w:val="20"/>
        </w:rPr>
      </w:pPr>
      <w:r>
        <w:rPr>
          <w:rFonts w:ascii="Times New Roman" w:hAnsi="Times New Roman"/>
          <w:b/>
          <w:sz w:val="20"/>
        </w:rPr>
        <w:t xml:space="preserve">Subscription Amount: $48,125,000 </w:t>
      </w:r>
    </w:p>
    <w:p>
      <w:pPr>
        <w:pStyle w:val="TextBody"/>
        <w:bidi w:val="0"/>
        <w:spacing w:before="240" w:after="0"/>
        <w:jc w:val="left"/>
        <w:rPr>
          <w:rFonts w:ascii="Times New Roman" w:hAnsi="Times New Roman"/>
          <w:b/>
          <w:sz w:val="20"/>
        </w:rPr>
      </w:pPr>
      <w:r>
        <w:rPr>
          <w:rFonts w:ascii="Times New Roman" w:hAnsi="Times New Roman"/>
          <w:b/>
          <w:sz w:val="20"/>
        </w:rPr>
        <w:t xml:space="preserve">Subscribed Shares: 3,024,799 </w:t>
      </w:r>
    </w:p>
    <w:p>
      <w:pPr>
        <w:pStyle w:val="TextBody"/>
        <w:bidi w:val="0"/>
        <w:spacing w:before="240" w:after="0"/>
        <w:jc w:val="left"/>
        <w:rPr>
          <w:rFonts w:ascii="Times New Roman" w:hAnsi="Times New Roman"/>
          <w:b/>
          <w:sz w:val="20"/>
        </w:rPr>
      </w:pPr>
      <w:r>
        <w:rPr>
          <w:rFonts w:ascii="Times New Roman" w:hAnsi="Times New Roman"/>
          <w:b/>
          <w:sz w:val="20"/>
        </w:rPr>
        <w:t xml:space="preserve">Subscribed Pre-Funded Warrants: 2,475,201 </w:t>
      </w:r>
    </w:p>
    <w:p>
      <w:pPr>
        <w:pStyle w:val="TextBody"/>
        <w:bidi w:val="0"/>
        <w:spacing w:before="240" w:after="0"/>
        <w:jc w:val="left"/>
        <w:rPr>
          <w:rFonts w:ascii="Times New Roman" w:hAnsi="Times New Roman"/>
          <w:sz w:val="20"/>
        </w:rPr>
      </w:pPr>
      <w:r>
        <w:rPr>
          <w:rFonts w:ascii="Times New Roman" w:hAnsi="Times New Roman"/>
          <w:b/>
          <w:sz w:val="20"/>
        </w:rPr>
        <w:t xml:space="preserve">Beneficial Ownership Blocker </w:t>
      </w:r>
      <w:r>
        <w:rPr>
          <w:rFonts w:ascii="Times New Roman" w:hAnsi="Times New Roman"/>
          <w:sz w:val="20"/>
        </w:rPr>
        <w:t xml:space="preserve">☐ </w:t>
      </w:r>
      <w:r>
        <w:rPr>
          <w:rFonts w:ascii="Times New Roman" w:hAnsi="Times New Roman"/>
          <w:b/>
          <w:sz w:val="20"/>
        </w:rPr>
        <w:t xml:space="preserve">4.99% or </w:t>
      </w:r>
      <w:r>
        <w:rPr>
          <w:rFonts w:ascii="Times New Roman" w:hAnsi="Times New Roman"/>
          <w:sz w:val="20"/>
        </w:rPr>
        <w:t xml:space="preserve">☐ </w:t>
      </w:r>
      <w:r>
        <w:rPr>
          <w:rFonts w:ascii="Times New Roman" w:hAnsi="Times New Roman"/>
          <w:b/>
          <w:sz w:val="20"/>
        </w:rPr>
        <w:t xml:space="preserve">9.99% </w:t>
      </w:r>
    </w:p>
    <w:p>
      <w:pPr>
        <w:pStyle w:val="TextBody"/>
        <w:bidi w:val="0"/>
        <w:spacing w:before="240" w:after="0"/>
        <w:jc w:val="left"/>
        <w:rPr>
          <w:rFonts w:ascii="Times New Roman" w:hAnsi="Times New Roman"/>
          <w:b/>
          <w:sz w:val="20"/>
        </w:rPr>
      </w:pPr>
      <w:r>
        <w:rPr>
          <w:rFonts w:ascii="Times New Roman" w:hAnsi="Times New Roman"/>
          <w:b/>
          <w:sz w:val="20"/>
        </w:rPr>
        <w:t xml:space="preserve">Email Address of Authorized Signatory: </w:t>
      </w:r>
    </w:p>
    <w:p>
      <w:pPr>
        <w:pStyle w:val="TextBody"/>
        <w:bidi w:val="0"/>
        <w:spacing w:before="240" w:after="0"/>
        <w:jc w:val="left"/>
        <w:rPr>
          <w:rFonts w:ascii="Times New Roman" w:hAnsi="Times New Roman"/>
          <w:b/>
          <w:sz w:val="20"/>
        </w:rPr>
      </w:pPr>
      <w:r>
        <w:rPr>
          <w:rFonts w:ascii="Times New Roman" w:hAnsi="Times New Roman"/>
          <w:b/>
          <w:sz w:val="20"/>
        </w:rPr>
        <w:t xml:space="preserve">Address for Notice to Purchaser: </w:t>
      </w:r>
    </w:p>
    <w:p>
      <w:pPr>
        <w:pStyle w:val="TextBody"/>
        <w:bidi w:val="0"/>
        <w:spacing w:before="240" w:after="0"/>
        <w:jc w:val="left"/>
        <w:rPr>
          <w:rFonts w:ascii="Times New Roman" w:hAnsi="Times New Roman"/>
          <w:sz w:val="20"/>
        </w:rPr>
      </w:pPr>
      <w:r>
        <w:rPr>
          <w:rFonts w:ascii="Times New Roman" w:hAnsi="Times New Roman"/>
          <w:sz w:val="20"/>
        </w:rPr>
        <w:t xml:space="preserve">Alyeska Master Fund, L.P. </w:t>
      </w:r>
    </w:p>
    <w:p>
      <w:pPr>
        <w:pStyle w:val="TextBody"/>
        <w:bidi w:val="0"/>
        <w:spacing w:before="0" w:after="0"/>
        <w:jc w:val="left"/>
        <w:rPr>
          <w:rFonts w:ascii="Times New Roman" w:hAnsi="Times New Roman"/>
          <w:sz w:val="20"/>
        </w:rPr>
      </w:pPr>
      <w:r>
        <w:rPr>
          <w:rFonts w:ascii="Times New Roman" w:hAnsi="Times New Roman"/>
          <w:sz w:val="20"/>
        </w:rPr>
        <w:t xml:space="preserve">c/o Maples Corporate Services Limited </w:t>
      </w:r>
    </w:p>
    <w:p>
      <w:pPr>
        <w:pStyle w:val="TextBody"/>
        <w:bidi w:val="0"/>
        <w:spacing w:before="0" w:after="0"/>
        <w:jc w:val="left"/>
        <w:rPr>
          <w:rFonts w:ascii="Times New Roman" w:hAnsi="Times New Roman"/>
          <w:sz w:val="20"/>
        </w:rPr>
      </w:pPr>
      <w:r>
        <w:rPr>
          <w:rFonts w:ascii="Times New Roman" w:hAnsi="Times New Roman"/>
          <w:sz w:val="20"/>
        </w:rPr>
        <w:t xml:space="preserve">P.O. Box 309 </w:t>
      </w:r>
    </w:p>
    <w:p>
      <w:pPr>
        <w:pStyle w:val="TextBody"/>
        <w:bidi w:val="0"/>
        <w:spacing w:before="0" w:after="0"/>
        <w:jc w:val="left"/>
        <w:rPr>
          <w:rFonts w:ascii="Times New Roman" w:hAnsi="Times New Roman"/>
          <w:sz w:val="20"/>
        </w:rPr>
      </w:pPr>
      <w:r>
        <w:rPr>
          <w:rFonts w:ascii="Times New Roman" w:hAnsi="Times New Roman"/>
          <w:sz w:val="20"/>
        </w:rPr>
        <w:t xml:space="preserve">Ugland House </w:t>
      </w:r>
    </w:p>
    <w:p>
      <w:pPr>
        <w:pStyle w:val="TextBody"/>
        <w:bidi w:val="0"/>
        <w:spacing w:before="0" w:after="0"/>
        <w:jc w:val="left"/>
        <w:rPr>
          <w:rFonts w:ascii="Times New Roman" w:hAnsi="Times New Roman"/>
          <w:sz w:val="20"/>
        </w:rPr>
      </w:pPr>
      <w:r>
        <w:rPr>
          <w:rFonts w:ascii="Times New Roman" w:hAnsi="Times New Roman"/>
          <w:sz w:val="20"/>
        </w:rPr>
        <w:t xml:space="preserve">South Church Street </w:t>
      </w:r>
    </w:p>
    <w:p>
      <w:pPr>
        <w:pStyle w:val="TextBody"/>
        <w:bidi w:val="0"/>
        <w:spacing w:before="0" w:after="0"/>
        <w:jc w:val="left"/>
        <w:rPr>
          <w:rFonts w:ascii="Times New Roman" w:hAnsi="Times New Roman"/>
          <w:sz w:val="20"/>
        </w:rPr>
      </w:pPr>
      <w:r>
        <w:rPr>
          <w:rFonts w:ascii="Times New Roman" w:hAnsi="Times New Roman"/>
          <w:sz w:val="20"/>
        </w:rPr>
        <w:t xml:space="preserve">George Town, Grand Cayman, KY1-1104 </w:t>
      </w:r>
    </w:p>
    <w:p>
      <w:pPr>
        <w:pStyle w:val="TextBody"/>
        <w:bidi w:val="0"/>
        <w:spacing w:before="0" w:after="0"/>
        <w:jc w:val="left"/>
        <w:rPr>
          <w:rFonts w:ascii="Times New Roman" w:hAnsi="Times New Roman"/>
          <w:sz w:val="20"/>
        </w:rPr>
      </w:pPr>
      <w:r>
        <w:rPr>
          <w:rFonts w:ascii="Times New Roman" w:hAnsi="Times New Roman"/>
          <w:sz w:val="20"/>
        </w:rPr>
        <w:t xml:space="preserve">Cayman Islands, British West Indies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360" w:after="0"/>
        <w:jc w:val="left"/>
        <w:rPr>
          <w:rFonts w:ascii="Times New Roman" w:hAnsi="Times New Roman"/>
          <w:b/>
          <w:sz w:val="20"/>
        </w:rPr>
      </w:pPr>
      <w:r>
        <w:rPr>
          <w:rFonts w:ascii="Times New Roman" w:hAnsi="Times New Roman"/>
          <w:b/>
          <w:sz w:val="20"/>
        </w:rPr>
        <w:t xml:space="preserve">Address for Delivery of Pre-Funded Warrants to Purchaser (if not same as address for notice): </w:t>
      </w:r>
    </w:p>
    <w:p>
      <w:pPr>
        <w:pStyle w:val="TextBody"/>
        <w:bidi w:val="0"/>
        <w:spacing w:before="0" w:after="0"/>
        <w:jc w:val="left"/>
        <w:rPr>
          <w:rFonts w:ascii="Times New Roman" w:hAnsi="Times New Roman"/>
          <w:b/>
          <w:sz w:val="20"/>
        </w:rPr>
      </w:pPr>
      <w:r>
        <w:rPr>
          <w:rFonts w:ascii="Times New Roman" w:hAnsi="Times New Roman"/>
          <w:b/>
          <w:sz w:val="20"/>
        </w:rPr>
        <w:t xml:space="preserve">DTC Participant Information: </w:t>
      </w:r>
    </w:p>
    <w:p>
      <w:pPr>
        <w:pStyle w:val="TextBody"/>
        <w:bidi w:val="0"/>
        <w:spacing w:before="0" w:after="0"/>
        <w:jc w:val="left"/>
        <w:rPr>
          <w:rFonts w:ascii="Times New Roman" w:hAnsi="Times New Roman"/>
          <w:b/>
          <w:sz w:val="20"/>
        </w:rPr>
      </w:pPr>
      <w:r>
        <w:rPr>
          <w:rFonts w:ascii="Times New Roman" w:hAnsi="Times New Roman"/>
          <w:b/>
          <w:sz w:val="20"/>
        </w:rPr>
        <w:t xml:space="preserve">DTC Participant Number: </w:t>
      </w:r>
    </w:p>
    <w:p>
      <w:pPr>
        <w:pStyle w:val="TextBody"/>
        <w:bidi w:val="0"/>
        <w:spacing w:before="0" w:after="0"/>
        <w:jc w:val="left"/>
        <w:rPr>
          <w:rFonts w:ascii="Times New Roman" w:hAnsi="Times New Roman"/>
          <w:b/>
          <w:sz w:val="20"/>
        </w:rPr>
      </w:pPr>
      <w:r>
        <w:rPr>
          <w:rFonts w:ascii="Times New Roman" w:hAnsi="Times New Roman"/>
          <w:b/>
          <w:sz w:val="20"/>
        </w:rPr>
        <w:t xml:space="preserve">DTC Participant Name: </w:t>
      </w:r>
    </w:p>
    <w:p>
      <w:pPr>
        <w:pStyle w:val="TextBody"/>
        <w:bidi w:val="0"/>
        <w:spacing w:before="0" w:after="0"/>
        <w:jc w:val="left"/>
        <w:rPr>
          <w:rFonts w:ascii="Times New Roman" w:hAnsi="Times New Roman"/>
          <w:b/>
          <w:sz w:val="20"/>
        </w:rPr>
      </w:pPr>
      <w:r>
        <w:rPr>
          <w:rFonts w:ascii="Times New Roman" w:hAnsi="Times New Roman"/>
          <w:b/>
          <w:sz w:val="20"/>
        </w:rPr>
        <w:t xml:space="preserve">DTC Participant Phone Number: </w:t>
      </w:r>
    </w:p>
    <w:p>
      <w:pPr>
        <w:pStyle w:val="TextBody"/>
        <w:bidi w:val="0"/>
        <w:spacing w:before="0" w:after="0"/>
        <w:jc w:val="left"/>
        <w:rPr>
          <w:rFonts w:ascii="Times New Roman" w:hAnsi="Times New Roman"/>
          <w:b/>
          <w:sz w:val="20"/>
        </w:rPr>
      </w:pPr>
      <w:r>
        <w:rPr>
          <w:rFonts w:ascii="Times New Roman" w:hAnsi="Times New Roman"/>
          <w:b/>
          <w:sz w:val="20"/>
        </w:rPr>
        <w:t xml:space="preserve">DTC Participant Email: </w:t>
      </w:r>
    </w:p>
    <w:p>
      <w:pPr>
        <w:pStyle w:val="TextBody"/>
        <w:bidi w:val="0"/>
        <w:spacing w:before="0" w:after="0"/>
        <w:jc w:val="left"/>
        <w:rPr>
          <w:rFonts w:ascii="Times New Roman" w:hAnsi="Times New Roman"/>
          <w:b/>
          <w:sz w:val="20"/>
        </w:rPr>
      </w:pPr>
      <w:r>
        <w:rPr>
          <w:rFonts w:ascii="Times New Roman" w:hAnsi="Times New Roman"/>
          <w:b/>
          <w:sz w:val="20"/>
        </w:rPr>
        <w:t xml:space="preserve">FFC Account #: </w:t>
      </w:r>
    </w:p>
    <w:p>
      <w:pPr>
        <w:pStyle w:val="TextBody"/>
        <w:bidi w:val="0"/>
        <w:spacing w:before="120" w:after="0"/>
        <w:jc w:val="left"/>
        <w:rPr>
          <w:rFonts w:ascii="Times New Roman" w:hAnsi="Times New Roman"/>
          <w:b/>
          <w:sz w:val="20"/>
        </w:rPr>
      </w:pPr>
      <w:r>
        <w:rPr>
          <w:rFonts w:ascii="Times New Roman" w:hAnsi="Times New Roman"/>
          <w:b/>
          <w:sz w:val="20"/>
        </w:rPr>
        <w:t xml:space="preserve">Account # at Bank/Broker: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Lock-up Parties </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Pre-Funded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p>
    <w:p>
      <w:pPr>
        <w:pStyle w:val="TextBody"/>
        <w:bidi w:val="0"/>
        <w:spacing w:before="0" w:after="0"/>
        <w:jc w:val="right"/>
        <w:rPr>
          <w:rFonts w:ascii="Times New Roman" w:hAnsi="Times New Roman"/>
          <w:b/>
          <w:sz w:val="20"/>
        </w:rPr>
      </w:pPr>
      <w:bookmarkStart w:id="8" w:name="d42586dex991.htm"/>
      <w:bookmarkStart w:id="9" w:name="ksd42586dex991"/>
      <w:bookmarkEnd w:id="8"/>
      <w:bookmarkEnd w:id="9"/>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085850" cy="3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85850" cy="3048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Bakkt Announces Pricing of $48.125 Million Registered Direct Offering </w:t>
      </w:r>
    </w:p>
    <w:p>
      <w:pPr>
        <w:pStyle w:val="TextBody"/>
        <w:bidi w:val="0"/>
        <w:spacing w:before="240" w:after="0"/>
        <w:jc w:val="left"/>
        <w:rPr>
          <w:rFonts w:ascii="Times New Roman" w:hAnsi="Times New Roman"/>
          <w:sz w:val="20"/>
        </w:rPr>
      </w:pPr>
      <w:r>
        <w:rPr>
          <w:rFonts w:ascii="Times New Roman" w:hAnsi="Times New Roman"/>
          <w:sz w:val="20"/>
        </w:rPr>
        <w:t xml:space="preserve">February 27, 2026 </w:t>
      </w:r>
    </w:p>
    <w:p>
      <w:pPr>
        <w:pStyle w:val="TextBody"/>
        <w:bidi w:val="0"/>
        <w:spacing w:before="240" w:after="0"/>
        <w:jc w:val="left"/>
        <w:rPr>
          <w:rFonts w:ascii="Times New Roman" w:hAnsi="Times New Roman"/>
          <w:sz w:val="20"/>
        </w:rPr>
      </w:pPr>
      <w:r>
        <w:rPr>
          <w:rFonts w:ascii="Times New Roman" w:hAnsi="Times New Roman"/>
          <w:sz w:val="20"/>
        </w:rPr>
        <w:t xml:space="preserve">NEW YORK, NY--(BUSINESS WIRE)— Bakkt, Inc. (“Bakkt” or the “Company”) (NYSE: BKKT) today announced the pricing of a registered direct offering of 3,024,799 shares of Class A common stock and pre-funded warrants to purchase up to 2,475,201 shares of Class A common stock at a price of $8.75 per share and $8.7499 per pre-funded warrant, which represents the per share price of each share of Class A common stock less the $0.0001 per share exercise price for each pre-funded warrant. The offering to a single institutional investor is expected to close on or around March 2, 2026, subject to customary closing conditions. The gross proceeds from the offering, before deducting placement agent fees and other estimated offering expenses, are expected to be $48.125 million. Bakkt intends to use the net proceeds from the offering for working capital, general corporate purposes and strategic initiatives. </w:t>
      </w:r>
    </w:p>
    <w:p>
      <w:pPr>
        <w:pStyle w:val="TextBody"/>
        <w:bidi w:val="0"/>
        <w:spacing w:before="240" w:after="0"/>
        <w:jc w:val="left"/>
        <w:rPr>
          <w:rFonts w:ascii="Times New Roman" w:hAnsi="Times New Roman"/>
          <w:sz w:val="20"/>
        </w:rPr>
      </w:pPr>
      <w:r>
        <w:rPr>
          <w:rFonts w:ascii="Times New Roman" w:hAnsi="Times New Roman"/>
          <w:sz w:val="20"/>
        </w:rPr>
        <w:t xml:space="preserve">Cohen &amp; Company Capital Markets, a division of Cohen &amp; Company Securities, LLC, is acting as sole placement agent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offering is being made pursuant to a shelf registration statement on Form S-3 (File No. 333-288361) declared effective by the Securities and Exchange Commission (the “SEC”) on July 3, 2025. A final prospectus supplement relating to the offering will be filed with the Securities and Exchange Commission, together with an accompanying base prospectus. The securities have been offered only by means of a written prospectus forming a part of the effective registration statement. Copies of the final prospectus supplement relating to the offering, together with the accompanying base prospectus, may be obtained, when available, from the SEC’s website at </w:t>
      </w:r>
      <w:r>
        <w:rPr>
          <w:rFonts w:ascii="Times New Roman" w:hAnsi="Times New Roman"/>
          <w:sz w:val="20"/>
          <w:u w:val="single"/>
        </w:rPr>
        <w:t>http://www.sec.gov</w:t>
      </w:r>
      <w:r>
        <w:rPr>
          <w:rFonts w:ascii="Times New Roman" w:hAnsi="Times New Roman"/>
          <w:sz w:val="20"/>
        </w:rPr>
        <w:t xml:space="preserve"> and from Cohen &amp; Company Capital Markets, a division of Cohen &amp; Company Securities, LLC, Attention: Prospectus Department, 3 Columbus Circle, 24th Floor, New York, NY 10019, or by email at </w:t>
      </w:r>
      <w:r>
        <w:rPr>
          <w:rFonts w:ascii="Times New Roman" w:hAnsi="Times New Roman"/>
          <w:sz w:val="20"/>
          <w:u w:val="single"/>
        </w:rPr>
        <w:t>capitalmarkets@cohencm.com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any of the securities described herein. Bakkt will not, and has been advised by the placement agent that they and their affiliates will not, sell any of these securities in any state or other jurisdiction in which such offer, solicitation, or sale would be unlawful prior to the registration or qualification under the securities laws of any such state or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Bakkt </w:t>
      </w:r>
    </w:p>
    <w:p>
      <w:pPr>
        <w:pStyle w:val="TextBody"/>
        <w:bidi w:val="0"/>
        <w:spacing w:before="120" w:after="0"/>
        <w:jc w:val="left"/>
        <w:rPr>
          <w:rFonts w:ascii="Times New Roman" w:hAnsi="Times New Roman"/>
          <w:sz w:val="20"/>
        </w:rPr>
      </w:pPr>
      <w:r>
        <w:rPr>
          <w:rFonts w:ascii="Times New Roman" w:hAnsi="Times New Roman"/>
          <w:sz w:val="20"/>
        </w:rPr>
        <w:t xml:space="preserve">Founded in 2018, Bakkt is building the backbone of next-generation financial infrastructure. The Company provides solutions that enable institutional participation in the digital asset economy — spanning Bitcoin, tokenization, stablecoin payments, and AI-driven finance. With the scale, security, and regulatory compliance demanded by global institutions, Bakkt is positioned at the center of a generational transformation in what money is, how it moves, and how markets operate. </w:t>
      </w:r>
    </w:p>
    <w:p>
      <w:pPr>
        <w:pStyle w:val="TextBody"/>
        <w:bidi w:val="0"/>
        <w:spacing w:before="240" w:after="0"/>
        <w:jc w:val="left"/>
        <w:rPr>
          <w:rFonts w:ascii="Times New Roman" w:hAnsi="Times New Roman"/>
          <w:sz w:val="20"/>
        </w:rPr>
      </w:pPr>
      <w:r>
        <w:rPr>
          <w:rFonts w:ascii="Times New Roman" w:hAnsi="Times New Roman"/>
          <w:sz w:val="20"/>
        </w:rPr>
        <w:t xml:space="preserve">Bakkt is headquartered in New York, NY. </w:t>
      </w:r>
    </w:p>
    <w:p>
      <w:pPr>
        <w:pStyle w:val="TextBody"/>
        <w:bidi w:val="0"/>
        <w:spacing w:before="360" w:after="0"/>
        <w:jc w:val="left"/>
        <w:rPr>
          <w:rFonts w:ascii="Times New Roman" w:hAnsi="Times New Roman"/>
          <w:b/>
          <w:sz w:val="20"/>
        </w:rPr>
      </w:pPr>
      <w:r>
        <w:rPr>
          <w:rFonts w:ascii="Times New Roman" w:hAnsi="Times New Roman"/>
          <w:b/>
          <w:sz w:val="20"/>
        </w:rPr>
        <w:t>For investor and media inquiries, please contact:</w:t>
      </w:r>
    </w:p>
    <w:p>
      <w:pPr>
        <w:pStyle w:val="TextBody"/>
        <w:bidi w:val="0"/>
        <w:spacing w:before="120" w:after="0"/>
        <w:jc w:val="left"/>
        <w:rPr>
          <w:rFonts w:ascii="Times New Roman" w:hAnsi="Times New Roman"/>
          <w:b/>
          <w:sz w:val="20"/>
        </w:rPr>
      </w:pPr>
      <w:r>
        <w:rPr>
          <w:rFonts w:ascii="Times New Roman" w:hAnsi="Times New Roman"/>
          <w:b/>
          <w:sz w:val="20"/>
        </w:rPr>
        <w:t>Investor Relations</w:t>
      </w:r>
    </w:p>
    <w:p>
      <w:pPr>
        <w:pStyle w:val="TextBody"/>
        <w:bidi w:val="0"/>
        <w:spacing w:before="120" w:after="0"/>
        <w:jc w:val="left"/>
        <w:rPr>
          <w:rFonts w:ascii="Times New Roman" w:hAnsi="Times New Roman"/>
          <w:sz w:val="20"/>
        </w:rPr>
      </w:pPr>
      <w:r>
        <w:rPr>
          <w:rFonts w:ascii="Times New Roman" w:hAnsi="Times New Roman"/>
          <w:sz w:val="20"/>
        </w:rPr>
        <w:t>Yujia Zhai</w:t>
      </w:r>
    </w:p>
    <w:p>
      <w:pPr>
        <w:pStyle w:val="TextBody"/>
        <w:bidi w:val="0"/>
        <w:spacing w:before="0" w:after="0"/>
        <w:jc w:val="left"/>
        <w:rPr>
          <w:rFonts w:ascii="Times New Roman" w:hAnsi="Times New Roman"/>
          <w:sz w:val="20"/>
        </w:rPr>
      </w:pPr>
      <w:r>
        <w:rPr>
          <w:rFonts w:ascii="Times New Roman" w:hAnsi="Times New Roman"/>
          <w:sz w:val="20"/>
        </w:rPr>
        <w:t>Orange Group</w:t>
      </w:r>
    </w:p>
    <w:p>
      <w:pPr>
        <w:pStyle w:val="TextBody"/>
        <w:bidi w:val="0"/>
        <w:spacing w:before="0" w:after="0"/>
        <w:jc w:val="left"/>
        <w:rPr>
          <w:rFonts w:ascii="Times New Roman" w:hAnsi="Times New Roman"/>
          <w:sz w:val="20"/>
          <w:u w:val="single"/>
        </w:rPr>
      </w:pPr>
      <w:r>
        <w:rPr>
          <w:rFonts w:ascii="Times New Roman" w:hAnsi="Times New Roman"/>
          <w:sz w:val="20"/>
          <w:u w:val="single"/>
        </w:rPr>
        <w:t>yujia@orangegroupadvisors.com</w:t>
      </w:r>
    </w:p>
    <w:p>
      <w:pPr>
        <w:pStyle w:val="TextBody"/>
        <w:bidi w:val="0"/>
        <w:spacing w:before="360" w:after="0"/>
        <w:jc w:val="left"/>
        <w:rPr>
          <w:rFonts w:ascii="Times New Roman" w:hAnsi="Times New Roman"/>
          <w:b/>
          <w:sz w:val="20"/>
        </w:rPr>
      </w:pPr>
      <w:r>
        <w:rPr>
          <w:rFonts w:ascii="Times New Roman" w:hAnsi="Times New Roman"/>
          <w:b/>
          <w:sz w:val="20"/>
        </w:rPr>
        <w:t>Media</w:t>
      </w:r>
    </w:p>
    <w:p>
      <w:pPr>
        <w:pStyle w:val="TextBody"/>
        <w:bidi w:val="0"/>
        <w:spacing w:before="120" w:after="0"/>
        <w:jc w:val="left"/>
        <w:rPr>
          <w:rFonts w:ascii="Times New Roman" w:hAnsi="Times New Roman"/>
          <w:sz w:val="20"/>
        </w:rPr>
      </w:pPr>
      <w:r>
        <w:rPr>
          <w:rFonts w:ascii="Times New Roman" w:hAnsi="Times New Roman"/>
          <w:sz w:val="20"/>
        </w:rPr>
        <w:t>Luna PR</w:t>
      </w:r>
    </w:p>
    <w:p>
      <w:pPr>
        <w:pStyle w:val="TextBody"/>
        <w:bidi w:val="0"/>
        <w:spacing w:before="0" w:after="0"/>
        <w:jc w:val="left"/>
        <w:rPr>
          <w:rFonts w:ascii="Times New Roman" w:hAnsi="Times New Roman"/>
          <w:sz w:val="20"/>
          <w:u w:val="single"/>
        </w:rPr>
      </w:pPr>
      <w:r>
        <w:rPr>
          <w:rFonts w:ascii="Times New Roman" w:hAnsi="Times New Roman"/>
          <w:sz w:val="20"/>
          <w:u w:val="single"/>
        </w:rPr>
        <w:t>bakkt@lunapr.io</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release contains “forward-looking statements” within the meaning of Section 27A of the U.S. Securities Act of 1933, as amended, and Section 21E of the U.S. Securities and Exchange Act of 1934, as amended. Such statements include, but are not limited to, statements regarding the offering. Forward-looking statements can be identified by words such as “will,” “likely,” “expect,” “continue,” “anticipate,” “estimate,” “believe,” “intend,” “plan,” “projection,” “outlook,” “grow,” “progress,” “potential”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101725" cy="3098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01725" cy="3098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Actual results and the timing of events may differ materially from the results anticipated in such forward-looking statements as a result of the following factors, among others: the Company’s ability to complete this offering; its ability to grow and manage growth profitably; the Company’s ability to complete its acquisition of Distributed Technologies Research Global Ltd. (“DTR”); whether the Company will be able to successfully integrate its operations with those of DTR, including its infrastructure, and achieve the expected benefits therefrom; the regulatory environment for digital assets and digital stablecoin payments; changes in the Company’s business strategy; the Company’s adoption of the updated investment policy (“Investment Policy”) as described in the Company’s Current Report on Form 8-K, filed with the U.S. Securities and Exchange Commission (the “SEC”) on June 10, 2025 (the “June 10, 2025 8-K”), including its ability to successfully consummate acquisitions, integrate or manage investments in potential acquisition targets and investees; the price of digital assets, including Bitcoin; 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Investment Policy and related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Investment Policy and related treasury strategy; the Company’s future capital requirements and sources and uses of cash, including funds to satisfy its liquidity needs; the Company’s ability to raise capital and investments in it, including by its Chief Executive Officer; changes in the market in which the Company competes, including with respect to its competitive landscape, technology evolution or changes in applicable laws or regulations; changes in the markets that the Company targets; volatility and disruptions in the digital asset, digital payments and stablecoin markets that subject the Company to additional risks, including the risk that banks may not provide banking services to the Company and market sentiments regarding digital assets,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failure to comply with extensive government regulations, oversight, licensure and appraisals; uncertain and evolving regulatory regime governing blockchain technologies, stablecoins, digital payments and digital assets;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possibility, as a result of the Company’s lack of control over DTR, that DTR will not continue to make available, support or develop technology currently licensed pursuant to the existing commercial agreement with DTR; the Company’s ability to maintain the listing of its securities on the New York Stock Exchange; and other risks and uncertainties indicated in the Company’s filings with the SEC, including its most recent Annual Report on Form 10-K for the year ended December 31, 2024 and its quarterly reports on Form 10-Q for the quarter ended March 31, 2025, the quarter ended June 30, 2025 and the quarter ended September 30, 2025, and the risks regarding the Company’s adoption of its Investment Policy set forth in Exhibit 99.1 to the June 10, 2025 8-K. </w:t>
      </w:r>
    </w:p>
    <w:p>
      <w:pPr>
        <w:pStyle w:val="TextBody"/>
        <w:bidi w:val="0"/>
        <w:spacing w:before="240" w:after="0"/>
        <w:jc w:val="left"/>
        <w:rPr>
          <w:rFonts w:ascii="Times New Roman" w:hAnsi="Times New Roman"/>
          <w:sz w:val="20"/>
        </w:rPr>
      </w:pPr>
      <w:r>
        <w:rPr>
          <w:rFonts w:ascii="Times New Roman" w:hAnsi="Times New Roman"/>
          <w:sz w:val="20"/>
        </w:rPr>
        <w:t xml:space="preserve">You are cautioned not to place undue reliance on such forward-looking statements. Such forward-looking statements relate only to events as of the date on which such statements are made and are based on information available to us as of the date of this release. </w:t>
      </w:r>
    </w:p>
    <w:p>
      <w:pPr>
        <w:pStyle w:val="TextBody"/>
        <w:bidi w:val="0"/>
        <w:spacing w:before="0" w:after="0"/>
        <w:jc w:val="right"/>
        <w:rPr>
          <w:rFonts w:ascii="Times New Roman" w:hAnsi="Times New Roman"/>
          <w:b/>
          <w:sz w:val="20"/>
        </w:rPr>
      </w:pPr>
      <w:bookmarkStart w:id="10" w:name="d42586dex992.htm"/>
      <w:bookmarkStart w:id="11" w:name="ksd42586dex992"/>
      <w:bookmarkEnd w:id="10"/>
      <w:bookmarkEnd w:id="11"/>
      <w:r>
        <w:rPr>
          <w:rFonts w:ascii="Times New Roman" w:hAnsi="Times New Roman"/>
          <w:b/>
          <w:sz w:val="20"/>
        </w:rPr>
        <w:t xml:space="preserve">Exhibit 99.2 </w:t>
      </w:r>
      <w:r>
        <w:br w:type="page"/>
      </w:r>
    </w:p>
    <w:p>
      <w:pPr>
        <w:pStyle w:val="TextBody"/>
        <w:bidi w:val="0"/>
        <w:spacing w:before="120" w:after="0"/>
        <w:jc w:val="right"/>
        <w:rPr>
          <w:rFonts w:ascii="Times New Roman" w:hAnsi="Times New Roman"/>
          <w:sz w:val="20"/>
        </w:rPr>
      </w:pPr>
      <w:r>
        <w:rPr>
          <w:rFonts w:ascii="Times New Roman" w:hAnsi="Times New Roman"/>
          <w:sz w:val="20"/>
        </w:rPr>
        <w:t xml:space="preserve">February 27, 2026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PERSONAL AND CONFIDENTIAL </w:t>
      </w:r>
    </w:p>
    <w:p>
      <w:pPr>
        <w:pStyle w:val="TextBody"/>
        <w:bidi w:val="0"/>
        <w:spacing w:before="120" w:after="0"/>
        <w:jc w:val="left"/>
        <w:rPr>
          <w:rFonts w:ascii="Times New Roman" w:hAnsi="Times New Roman"/>
          <w:sz w:val="20"/>
        </w:rPr>
      </w:pPr>
      <w:r>
        <w:rPr>
          <w:rFonts w:ascii="Times New Roman" w:hAnsi="Times New Roman"/>
          <w:sz w:val="20"/>
        </w:rPr>
        <w:t xml:space="preserve">Bakkt, Inc. </w:t>
      </w:r>
    </w:p>
    <w:p>
      <w:pPr>
        <w:pStyle w:val="TextBody"/>
        <w:bidi w:val="0"/>
        <w:spacing w:before="0" w:after="0"/>
        <w:jc w:val="left"/>
        <w:rPr>
          <w:rFonts w:ascii="Times New Roman" w:hAnsi="Times New Roman"/>
          <w:sz w:val="20"/>
        </w:rPr>
      </w:pPr>
      <w:r>
        <w:rPr>
          <w:rFonts w:ascii="Times New Roman" w:hAnsi="Times New Roman"/>
          <w:sz w:val="20"/>
        </w:rPr>
        <w:t xml:space="preserve">One Liberty Plaza, One Liberty St. </w:t>
      </w:r>
    </w:p>
    <w:p>
      <w:pPr>
        <w:pStyle w:val="TextBody"/>
        <w:bidi w:val="0"/>
        <w:spacing w:before="0" w:after="0"/>
        <w:jc w:val="left"/>
        <w:rPr>
          <w:rFonts w:ascii="Times New Roman" w:hAnsi="Times New Roman"/>
          <w:sz w:val="20"/>
        </w:rPr>
      </w:pPr>
      <w:r>
        <w:rPr>
          <w:rFonts w:ascii="Times New Roman" w:hAnsi="Times New Roman"/>
          <w:sz w:val="20"/>
        </w:rPr>
        <w:t xml:space="preserve">Ste 305-306 </w:t>
      </w:r>
    </w:p>
    <w:p>
      <w:pPr>
        <w:pStyle w:val="TextBody"/>
        <w:bidi w:val="0"/>
        <w:spacing w:before="0" w:after="0"/>
        <w:jc w:val="left"/>
        <w:rPr>
          <w:rFonts w:ascii="Times New Roman" w:hAnsi="Times New Roman"/>
          <w:sz w:val="20"/>
        </w:rPr>
      </w:pPr>
      <w:r>
        <w:rPr>
          <w:rFonts w:ascii="Times New Roman" w:hAnsi="Times New Roman"/>
          <w:sz w:val="20"/>
        </w:rPr>
        <w:t>New York</w:t>
      </w:r>
      <w:r>
        <w:rPr>
          <w:rFonts w:ascii="Times New Roman" w:hAnsi="Times New Roman"/>
          <w:b/>
          <w:sz w:val="20"/>
        </w:rPr>
        <w:t>,</w:t>
      </w:r>
      <w:r>
        <w:rPr>
          <w:rFonts w:ascii="Times New Roman" w:hAnsi="Times New Roman"/>
          <w:sz w:val="20"/>
        </w:rPr>
        <w:t xml:space="preserve"> New York 10006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
        <w:gridCol w:w="120"/>
        <w:gridCol w:w="9736"/>
      </w:tblGrid>
      <w:tr>
        <w:trPr/>
        <w:tc>
          <w:tcPr>
            <w:tcW w:w="3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736" w:type="dxa"/>
            <w:tcBorders/>
            <w:vAlign w:val="center"/>
          </w:tcPr>
          <w:p>
            <w:pPr>
              <w:pStyle w:val="TableContents"/>
              <w:bidi w:val="0"/>
              <w:spacing w:before="0" w:after="283"/>
              <w:jc w:val="left"/>
              <w:rPr>
                <w:sz w:val="4"/>
                <w:szCs w:val="4"/>
              </w:rPr>
            </w:pPr>
            <w:r>
              <w:rPr>
                <w:sz w:val="4"/>
                <w:szCs w:val="4"/>
              </w:rPr>
            </w:r>
          </w:p>
        </w:tc>
      </w:tr>
      <w:tr>
        <w:trPr/>
        <w:tc>
          <w:tcPr>
            <w:tcW w:w="349" w:type="dxa"/>
            <w:tcBorders/>
          </w:tcPr>
          <w:p>
            <w:pPr>
              <w:pStyle w:val="TableContents"/>
              <w:bidi w:val="0"/>
              <w:spacing w:before="0" w:after="283"/>
              <w:jc w:val="left"/>
              <w:rPr/>
            </w:pPr>
            <w:r>
              <w:rPr/>
              <w:t>Re:</w:t>
            </w:r>
          </w:p>
        </w:tc>
        <w:tc>
          <w:tcPr>
            <w:tcW w:w="120" w:type="dxa"/>
            <w:tcBorders/>
            <w:vAlign w:val="bottom"/>
          </w:tcPr>
          <w:p>
            <w:pPr>
              <w:pStyle w:val="TableContents"/>
              <w:bidi w:val="0"/>
              <w:spacing w:before="0" w:after="283"/>
              <w:jc w:val="left"/>
              <w:rPr/>
            </w:pPr>
            <w:r>
              <w:rPr/>
              <w:t>  </w:t>
            </w:r>
          </w:p>
        </w:tc>
        <w:tc>
          <w:tcPr>
            <w:tcW w:w="9736" w:type="dxa"/>
            <w:tcBorders/>
          </w:tcPr>
          <w:p>
            <w:pPr>
              <w:pStyle w:val="TableContents"/>
              <w:bidi w:val="0"/>
              <w:spacing w:before="0" w:after="283"/>
              <w:jc w:val="left"/>
              <w:rPr>
                <w:u w:val="single"/>
              </w:rPr>
            </w:pPr>
            <w:r>
              <w:rPr>
                <w:u w:val="single"/>
              </w:rPr>
              <w:t>BKKT | Registered Direct | Agreement</w:t>
            </w:r>
          </w:p>
        </w:tc>
      </w:tr>
    </w:tbl>
    <w:p>
      <w:pPr>
        <w:pStyle w:val="TextBody"/>
        <w:bidi w:val="0"/>
        <w:spacing w:before="240" w:after="0"/>
        <w:jc w:val="left"/>
        <w:rPr>
          <w:rFonts w:ascii="Times New Roman" w:hAnsi="Times New Roman"/>
          <w:sz w:val="20"/>
        </w:rPr>
      </w:pPr>
      <w:r>
        <w:rPr>
          <w:rFonts w:ascii="Times New Roman" w:hAnsi="Times New Roman"/>
          <w:sz w:val="20"/>
        </w:rPr>
        <w:t>The purpose of this Agreement (the “</w:t>
      </w:r>
      <w:r>
        <w:rPr>
          <w:rFonts w:ascii="Times New Roman" w:hAnsi="Times New Roman"/>
          <w:b/>
          <w:sz w:val="20"/>
          <w:u w:val="single"/>
        </w:rPr>
        <w:t>Agreement</w:t>
      </w:r>
      <w:r>
        <w:rPr>
          <w:rFonts w:ascii="Times New Roman" w:hAnsi="Times New Roman"/>
          <w:sz w:val="20"/>
        </w:rPr>
        <w:t>”) is to outline our agreement pursuant to which Cohen &amp; Company Capital Markets, a division of Cohen &amp; Company Securities, LLC (“</w:t>
      </w:r>
      <w:r>
        <w:rPr>
          <w:rFonts w:ascii="Times New Roman" w:hAnsi="Times New Roman"/>
          <w:b/>
          <w:sz w:val="20"/>
          <w:u w:val="single"/>
        </w:rPr>
        <w:t>CCM</w:t>
      </w:r>
      <w:r>
        <w:rPr>
          <w:rFonts w:ascii="Times New Roman" w:hAnsi="Times New Roman"/>
          <w:sz w:val="20"/>
        </w:rPr>
        <w:t>” or the “</w:t>
      </w:r>
      <w:r>
        <w:rPr>
          <w:rFonts w:ascii="Times New Roman" w:hAnsi="Times New Roman"/>
          <w:b/>
          <w:sz w:val="20"/>
          <w:u w:val="single"/>
        </w:rPr>
        <w:t>Placement Agent</w:t>
      </w:r>
      <w:r>
        <w:rPr>
          <w:rFonts w:ascii="Times New Roman" w:hAnsi="Times New Roman"/>
          <w:sz w:val="20"/>
        </w:rPr>
        <w:t>”) will act as the placement agent on a “best efforts” basis in connection with the proposed Registered Direct offering (the “</w:t>
      </w:r>
      <w:r>
        <w:rPr>
          <w:rFonts w:ascii="Times New Roman" w:hAnsi="Times New Roman"/>
          <w:b/>
          <w:sz w:val="20"/>
          <w:u w:val="single"/>
        </w:rPr>
        <w:t>Placement</w:t>
      </w:r>
      <w:r>
        <w:rPr>
          <w:rFonts w:ascii="Times New Roman" w:hAnsi="Times New Roman"/>
          <w:sz w:val="20"/>
        </w:rPr>
        <w:t>”) by Bakkt, Inc. (collectively, with its subsidiaries and affiliates, the “</w:t>
      </w:r>
      <w:r>
        <w:rPr>
          <w:rFonts w:ascii="Times New Roman" w:hAnsi="Times New Roman"/>
          <w:b/>
          <w:sz w:val="20"/>
          <w:u w:val="single"/>
        </w:rPr>
        <w:t>Company</w:t>
      </w:r>
      <w:r>
        <w:rPr>
          <w:rFonts w:ascii="Times New Roman" w:hAnsi="Times New Roman"/>
          <w:sz w:val="20"/>
        </w:rPr>
        <w:t>”) of shares (the “</w:t>
      </w:r>
      <w:r>
        <w:rPr>
          <w:rFonts w:ascii="Times New Roman" w:hAnsi="Times New Roman"/>
          <w:b/>
          <w:sz w:val="20"/>
          <w:u w:val="single"/>
        </w:rPr>
        <w:t>Shares</w:t>
      </w:r>
      <w:r>
        <w:rPr>
          <w:rFonts w:ascii="Times New Roman" w:hAnsi="Times New Roman"/>
          <w:sz w:val="20"/>
        </w:rPr>
        <w:t>”) of the Company’s Class A common stock, par value $0.0001 per share (the “</w:t>
      </w:r>
      <w:r>
        <w:rPr>
          <w:rFonts w:ascii="Times New Roman" w:hAnsi="Times New Roman"/>
          <w:b/>
          <w:sz w:val="20"/>
          <w:u w:val="single"/>
        </w:rPr>
        <w:t>Class</w:t>
      </w:r>
      <w:r>
        <w:rPr>
          <w:rFonts w:ascii="Times New Roman" w:hAnsi="Times New Roman"/>
          <w:sz w:val="20"/>
          <w:u w:val="single"/>
        </w:rPr>
        <w:t> </w:t>
      </w:r>
      <w:r>
        <w:rPr>
          <w:rFonts w:ascii="Times New Roman" w:hAnsi="Times New Roman"/>
          <w:b/>
          <w:sz w:val="20"/>
          <w:u w:val="single"/>
        </w:rPr>
        <w:t>A</w:t>
      </w:r>
      <w:r>
        <w:rPr>
          <w:rFonts w:ascii="Times New Roman" w:hAnsi="Times New Roman"/>
          <w:sz w:val="20"/>
          <w:u w:val="single"/>
        </w:rPr>
        <w:t xml:space="preserve"> </w:t>
      </w:r>
      <w:r>
        <w:rPr>
          <w:rFonts w:ascii="Times New Roman" w:hAnsi="Times New Roman"/>
          <w:b/>
          <w:sz w:val="20"/>
          <w:u w:val="single"/>
        </w:rPr>
        <w:t>Common Stock</w:t>
      </w:r>
      <w:r>
        <w:rPr>
          <w:rFonts w:ascii="Times New Roman" w:hAnsi="Times New Roman"/>
          <w:sz w:val="20"/>
        </w:rPr>
        <w:t>”) and/or pre-funded warrants to purchase shares of Class A Common Stock (the “Pre-Funded Warrants” and together with the Shares and shares of Class A Common Stock underlying the Pre-Funded Warrants, the “</w:t>
      </w:r>
      <w:r>
        <w:rPr>
          <w:rFonts w:ascii="Times New Roman" w:hAnsi="Times New Roman"/>
          <w:b/>
          <w:sz w:val="20"/>
          <w:u w:val="single"/>
        </w:rPr>
        <w:t>Securities</w:t>
      </w:r>
      <w:r>
        <w:rPr>
          <w:rFonts w:ascii="Times New Roman" w:hAnsi="Times New Roman"/>
          <w:sz w:val="20"/>
        </w:rPr>
        <w:t>”). This Agreement sets forth certain conditions and assumptions upon which the Placement is premised. The Company expressly acknowledges and agrees that CCM’s obligations hereunder are on a reasonable “best efforts” basis only and that the execution of this Agreement does not constitute a commitment by CCM to purchase the Securities and does not ensure the successful placement of the Securities or any portion thereof or the success of CCM with respect to securing any other financing on behalf of the Company. The Company confirms that entry into this Agreement and completion of the Placement with CCM will not breach or otherwise violate the Company’s obligations to any other party or require any payments to such other party. For the sake of clarity, such obligations may include but not be limited to obligations under a purchase agreement, a right of first refusal or other agreement. Capitalized terms used herein and not otherwise defined herein shall have the meanings ascribed to them in the securities purchase agreement (the “</w:t>
      </w:r>
      <w:r>
        <w:rPr>
          <w:rFonts w:ascii="Times New Roman" w:hAnsi="Times New Roman"/>
          <w:b/>
          <w:sz w:val="20"/>
          <w:u w:val="single"/>
        </w:rPr>
        <w:t>Purchase Agreement</w:t>
      </w:r>
      <w:r>
        <w:rPr>
          <w:rFonts w:ascii="Times New Roman" w:hAnsi="Times New Roman"/>
          <w:sz w:val="20"/>
        </w:rPr>
        <w:t>”), entered into as of February 27, 2026, by and between the Company and the purchaser identified on the signature page thereto (the “</w:t>
      </w:r>
      <w:r>
        <w:rPr>
          <w:rFonts w:ascii="Times New Roman" w:hAnsi="Times New Roman"/>
          <w:b/>
          <w:sz w:val="20"/>
          <w:u w:val="single"/>
        </w:rPr>
        <w:t>Purchaser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terms of our agreement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b/>
          <w:sz w:val="20"/>
          <w:u w:val="single"/>
        </w:rPr>
        <w:t>Engagement</w:t>
      </w:r>
      <w:r>
        <w:rPr>
          <w:rFonts w:ascii="Times New Roman" w:hAnsi="Times New Roman"/>
          <w:sz w:val="20"/>
        </w:rPr>
        <w:t>. The Company hereby engages CCM, for the period beginning on the date hereof and ending thirty (30) days thereafter or upon the completion of the Placement, whichever is sooner (the “</w:t>
      </w:r>
      <w:r>
        <w:rPr>
          <w:rFonts w:ascii="Times New Roman" w:hAnsi="Times New Roman"/>
          <w:b/>
          <w:sz w:val="20"/>
          <w:u w:val="single"/>
        </w:rPr>
        <w:t>Engagement Period</w:t>
      </w:r>
      <w:r>
        <w:rPr>
          <w:rFonts w:ascii="Times New Roman" w:hAnsi="Times New Roman"/>
          <w:sz w:val="20"/>
        </w:rPr>
        <w:t xml:space="preserve">”), to act as the Company’s exclusive investment bank in connection with the proposed Placement. During the Engagement Period or until the consummation of the Placement, and as long as CCM is proceeding in good faith with preparations for the Placement, the Company agrees not to solicit, negotiate with or enter into any agreement with any other source of financing (whether equity, debt or otherwise), any underwriter, potential underwriter, placement agent, financial advisor, investment banking firm or any other person or entity in connection with an offering of the Company’s debt or equity securities or any other financing by the Company. CCM will use its reasonable “best efforts” to solicit offers to purchase the Securities from the Company on the terms, and subject to the conditions, set forth in the Prospectus (as defined below). CCM shall use commercially reasonable efforts to assist the Company in obtaining performance by each Purchaser (as defined below) whose offer to purchase Securities has been solicited by CCM, but CCM shall not, except as otherwise provided in this Agreement, be obligated to disclose the identity of any potential purchaser or have any liability to the Company in the event any such purchase is not consummated for any reason. The Company acknowledges that under no circumstances will CCM be obligated to underwrite or purchase any Securities for its own account and, in soliciting purchases of the Securities, CCM shall act solely as an agent of the Company. The services provided pursuant to this Agreement shall be on an “agency” basis and not on a “principal” basis.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b/>
          <w:sz w:val="20"/>
          <w:u w:val="single"/>
        </w:rPr>
        <w:t>The Placement</w:t>
      </w:r>
      <w:r>
        <w:rPr>
          <w:rFonts w:ascii="Times New Roman" w:hAnsi="Times New Roman"/>
          <w:sz w:val="20"/>
        </w:rPr>
        <w:t>. The Placement is expected to consist of a sale of approximately $50.0 million of the Company’s Securities. CCM will act as placement agent for the Placement subject to, among other matters referred to herein and additional customary conditions, completion of CCM’s due diligence examination of the Company and its affiliates, continued listing by the New York Stock Exchange (“</w:t>
      </w:r>
      <w:r>
        <w:rPr>
          <w:rFonts w:ascii="Times New Roman" w:hAnsi="Times New Roman"/>
          <w:b/>
          <w:sz w:val="20"/>
          <w:u w:val="single"/>
        </w:rPr>
        <w:t>Exchange</w:t>
      </w:r>
      <w:r>
        <w:rPr>
          <w:rFonts w:ascii="Times New Roman" w:hAnsi="Times New Roman"/>
          <w:sz w:val="20"/>
        </w:rPr>
        <w:t xml:space="preserve">”) of the Securities to be issued, and the execution of the Purchase Agreement in connection with the Placement. The actual size of the Placement, the precise number of Securities to be offered by the Company and the offering price will be the subject of continuing negotiations between the Company and the investors thereto. In connection with the entry into the Purchase Agreement, the Company (i) will meet with CCM and its representatives to discuss such due diligence matters and to provide such documents as CCM may require; (ii) will not file with the Commission any document regarding the Placement without the prior approval of CCM and its counsel, which may not be unreasonably withheld, conditioned or delayed; and (iii) will deliver to CCM such legal and accounting opinions and specified in Section 8.1 .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u w:val="single"/>
        </w:rPr>
        <w:t>Placement Compensation</w:t>
      </w:r>
      <w:r>
        <w:rPr>
          <w:rFonts w:ascii="Times New Roman" w:hAnsi="Times New Roman"/>
          <w:sz w:val="20"/>
        </w:rPr>
        <w:t xml:space="preserve">. The placement commission will be 3.0% for the Placement.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u w:val="single"/>
        </w:rPr>
        <w:t>Registration Statement</w:t>
      </w:r>
      <w:r>
        <w:rPr>
          <w:rFonts w:ascii="Times New Roman" w:hAnsi="Times New Roman"/>
          <w:sz w:val="20"/>
        </w:rPr>
        <w:t>. Following the signing of the Purchase Agreement, the Company will, as soon as practicable, prepare and file with the Securities and Exchange Commission (the “</w:t>
      </w:r>
      <w:r>
        <w:rPr>
          <w:rFonts w:ascii="Times New Roman" w:hAnsi="Times New Roman"/>
          <w:b/>
          <w:sz w:val="20"/>
          <w:u w:val="single"/>
        </w:rPr>
        <w:t>Commission</w:t>
      </w:r>
      <w:r>
        <w:rPr>
          <w:rFonts w:ascii="Times New Roman" w:hAnsi="Times New Roman"/>
          <w:sz w:val="20"/>
        </w:rPr>
        <w:t>”) a prospectus supplement to the effective Form S-3 Registration statement (File No. 333-288361) (the “</w:t>
      </w:r>
      <w:r>
        <w:rPr>
          <w:rFonts w:ascii="Times New Roman" w:hAnsi="Times New Roman"/>
          <w:b/>
          <w:sz w:val="20"/>
          <w:u w:val="single"/>
        </w:rPr>
        <w:t>Registration Statement</w:t>
      </w:r>
      <w:r>
        <w:rPr>
          <w:rFonts w:ascii="Times New Roman" w:hAnsi="Times New Roman"/>
          <w:sz w:val="20"/>
        </w:rPr>
        <w:t>”) under the Securities Act of 1933, as amended (the “</w:t>
      </w:r>
      <w:r>
        <w:rPr>
          <w:rFonts w:ascii="Times New Roman" w:hAnsi="Times New Roman"/>
          <w:b/>
          <w:sz w:val="20"/>
          <w:u w:val="single"/>
        </w:rPr>
        <w:t>Securities Act</w:t>
      </w:r>
      <w:r>
        <w:rPr>
          <w:rFonts w:ascii="Times New Roman" w:hAnsi="Times New Roman"/>
          <w:sz w:val="20"/>
        </w:rPr>
        <w:t>”) (the “</w:t>
      </w:r>
      <w:r>
        <w:rPr>
          <w:rFonts w:ascii="Times New Roman" w:hAnsi="Times New Roman"/>
          <w:b/>
          <w:sz w:val="20"/>
          <w:u w:val="single"/>
        </w:rPr>
        <w:t>Prospectus Supplement</w:t>
      </w:r>
      <w:r>
        <w:rPr>
          <w:rFonts w:ascii="Times New Roman" w:hAnsi="Times New Roman"/>
          <w:sz w:val="20"/>
        </w:rPr>
        <w:t>” and together, with the prospectus included therein, the “</w:t>
      </w:r>
      <w:r>
        <w:rPr>
          <w:rFonts w:ascii="Times New Roman" w:hAnsi="Times New Roman"/>
          <w:b/>
          <w:sz w:val="20"/>
          <w:u w:val="single"/>
        </w:rPr>
        <w:t>Prospectus</w:t>
      </w:r>
      <w:r>
        <w:rPr>
          <w:rFonts w:ascii="Times New Roman" w:hAnsi="Times New Roman"/>
          <w:sz w:val="20"/>
        </w:rPr>
        <w:t xml:space="preserve">”), covering the sale of the Securities to be offered and sold in the Placement. The Prospectus Supplement, and all amendments and supplements thereto, will be in form reasonably satisfactory to the investors, CCM and counsel to the investors and CCM. Other than any information provided by the investors or CCM in writing specifically for inclusion in the Prospectus Supplement, the Company will be solely responsible for the contents of the Prospectus Supplement and any and all other written or oral communications provided by or on behalf of the Company to any actual or prospective investor of the Securities, and the Company represents and warrants that such materials and such other communications will not, as of the date of the offer or sale of the Securities, contain any untrue statement of a material fact or omit to state a material fact required to be stated therein or necessary in order to make the statements therein, in light of the circumstances under which they were made, not misleading. If at any time prior to the completion of the offer and sale of the Securities an event occurs that would cause the Registration Statement or Prospectus (as supplemented or amended) to contain an untrue statement of a material fact or to omit to state a material fact necessary in order to make the statements therein, in light of the circumstances under which they were made, not misleading, the Company will notify CCM immediately of such event and CCM will suspend solicitations of the prospective purchasers of the Securities until such time as the Company shall prepare a supplement or amendment to the Registration Statement or Prospectus that corrects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sz w:val="20"/>
          <w:u w:val="single"/>
        </w:rPr>
        <w:t>Lock-Ups</w:t>
      </w:r>
      <w:r>
        <w:rPr>
          <w:rFonts w:ascii="Times New Roman" w:hAnsi="Times New Roman"/>
          <w:sz w:val="20"/>
        </w:rPr>
        <w:t>. In connection with the Placement, the Company’s directors and executive officers set forth on Schedule A to the Purchase Agreement will enter into customary “lock-up” agreements in favor of the Placement Agent for a period of forty-five (45) days after the date of the Purchase Agreement (the “</w:t>
      </w:r>
      <w:r>
        <w:rPr>
          <w:rFonts w:ascii="Times New Roman" w:hAnsi="Times New Roman"/>
          <w:b/>
          <w:sz w:val="20"/>
          <w:u w:val="single"/>
        </w:rPr>
        <w:t>Lock-Up Period</w:t>
      </w:r>
      <w:r>
        <w:rPr>
          <w:rFonts w:ascii="Times New Roman" w:hAnsi="Times New Roman"/>
          <w:sz w:val="20"/>
        </w:rPr>
        <w:t xml:space="preserve">”), subject to customary exemptions.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b/>
          <w:sz w:val="20"/>
          <w:u w:val="single"/>
        </w:rPr>
        <w:t>Expenses</w:t>
      </w:r>
      <w:r>
        <w:rPr>
          <w:rFonts w:ascii="Times New Roman" w:hAnsi="Times New Roman"/>
          <w:sz w:val="20"/>
        </w:rPr>
        <w:t xml:space="preserve">. The Company will be responsible for and will pay all expenses relating to the Placement, including, without limitation, (a) all filing fees and expenses relating to the registration of the Securities with the Commission; (b) all fees and expenses relating to the listing of the Company’s equity or equity-linked securities on an Exchange; (c) all fees, expenses and disbursements relating to the registration or qualification of the Securities under the “blue sky” securities laws of such states and other jurisdictions as CCM may reasonably designate (including, without limitation, all filing and registration fees, and the reasonable fees and disbursements of the Company’s “blue sky” counsel, which will be CCM’s counsel) unless such filings are not required in connection with the Company’s proposed Exchange listing; (d) the fees and expenses of the Company’s accountants; and (e) up to $125,000 for reasonable and documented legal fees and disbursements for CCM’s counsel.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u w:val="single"/>
        </w:rPr>
        <w:t>Closing; Closing Deliverables</w:t>
      </w:r>
      <w:r>
        <w:rPr>
          <w:rFonts w:ascii="Times New Roman" w:hAnsi="Times New Roman"/>
          <w:sz w:val="20"/>
        </w:rPr>
        <w:t>. Unless otherwise directed by CCM, the settlement of the Securities shall occur via the Depository Trust Company (“</w:t>
      </w:r>
      <w:r>
        <w:rPr>
          <w:rFonts w:ascii="Times New Roman" w:hAnsi="Times New Roman"/>
          <w:b/>
          <w:sz w:val="20"/>
        </w:rPr>
        <w:t>DTC</w:t>
      </w:r>
      <w:r>
        <w:rPr>
          <w:rFonts w:ascii="Times New Roman" w:hAnsi="Times New Roman"/>
          <w:sz w:val="20"/>
        </w:rPr>
        <w:t>”) Deposit or Withdrawal at Custodian (“</w:t>
      </w:r>
      <w:r>
        <w:rPr>
          <w:rFonts w:ascii="Times New Roman" w:hAnsi="Times New Roman"/>
          <w:b/>
          <w:sz w:val="20"/>
        </w:rPr>
        <w:t>DWAC</w:t>
      </w:r>
      <w:r>
        <w:rPr>
          <w:rFonts w:ascii="Times New Roman" w:hAnsi="Times New Roman"/>
          <w:sz w:val="20"/>
        </w:rPr>
        <w:t xml:space="preserve">”) i.e., on the Closing Date, the Company shall cause DTC to issue the Securities directly to the Purchaser; upon receipt of such Securities, payment shall be made by the purchase (or its clearing firm) by wire transfer to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 </w:t>
      </w:r>
      <w:r>
        <w:rPr>
          <w:rFonts w:ascii="Times New Roman" w:hAnsi="Times New Roman"/>
          <w:b/>
          <w:sz w:val="20"/>
          <w:u w:val="single"/>
        </w:rPr>
        <w:t>Company Deliveries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8.1.1. On the date hereof, the Company shall deliver each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8.1.1.1 This Agreement duly executed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8.1.1.2 A certificate executed by the Chief Financial Officer of the Company in customary form reasonably satisfactory to the Placement Agent and its counsel; </w:t>
      </w:r>
    </w:p>
    <w:p>
      <w:pPr>
        <w:pStyle w:val="TextBody"/>
        <w:bidi w:val="0"/>
        <w:spacing w:before="240" w:after="0"/>
        <w:jc w:val="left"/>
        <w:rPr>
          <w:rFonts w:ascii="Times New Roman" w:hAnsi="Times New Roman"/>
          <w:sz w:val="20"/>
        </w:rPr>
      </w:pPr>
      <w:r>
        <w:rPr>
          <w:rFonts w:ascii="Times New Roman" w:hAnsi="Times New Roman"/>
          <w:sz w:val="20"/>
        </w:rPr>
        <w:t xml:space="preserve">8.1.1.3 The Lock-Up Agreements; </w:t>
      </w:r>
    </w:p>
    <w:p>
      <w:pPr>
        <w:pStyle w:val="TextBody"/>
        <w:bidi w:val="0"/>
        <w:spacing w:before="240" w:after="0"/>
        <w:jc w:val="left"/>
        <w:rPr>
          <w:rFonts w:ascii="Times New Roman" w:hAnsi="Times New Roman"/>
          <w:sz w:val="20"/>
        </w:rPr>
      </w:pPr>
      <w:r>
        <w:rPr>
          <w:rFonts w:ascii="Times New Roman" w:hAnsi="Times New Roman"/>
          <w:sz w:val="20"/>
        </w:rPr>
        <w:t xml:space="preserve">8.1.1.4 A comfort letter from the Company’s auditor, addressed to the Placement Agent in form and substance reasonably satisfactory in all material respects; and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8.2.1 On or prior to the Closing, the Company shall deliver each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8.2.1.1 A copy of the irrevocable instructions to the Transfer Agent instructing the Transfer Agent to deliver on an expedited basis via the DTC Deposit or Withdrawal at Custodian system shares of Class A Common Stock equal to the portion of such Purchaser’s subscription amount as indicated on its signature page to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8.2.1.2 For each Purchaser of Pre-Funded Warrants, a Pre-Funded Warrant registered in the name of such Purchaser to purchase up to a number of shares of Class A Common Stock equal to the portion of such Purchaser’s subscription amount applicable to Pre-Funded Warrants divided by the Per Share Price, with an exercise price equal to $0.0001, subject to adjustment as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8.2.1.3 The Company shall have provided CCM the signed flow of funds executed by the Chief Executive Officer or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8.2.1.4 A duly executed and delivered Officers’ Certificate, in customary form reasonably satisfactory to the Placement Agent and its counsel (i) evidencing that the Company has performed and complied in all material respects with the covenants and agreements contained in the Purchase Agreement that are required to be performed and complied with by the Company on or prior to the Closing Date and (ii) certifying that the conditions set forth in Section 6.2(b) of the Purchase Agreement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8.2.1.5 The Prospectus Supplement complying with Rule 424(b) of the Securities Act, filed with the Commission; and </w:t>
      </w:r>
    </w:p>
    <w:p>
      <w:pPr>
        <w:pStyle w:val="TextBody"/>
        <w:bidi w:val="0"/>
        <w:spacing w:before="240" w:after="0"/>
        <w:jc w:val="left"/>
        <w:rPr>
          <w:rFonts w:ascii="Times New Roman" w:hAnsi="Times New Roman"/>
          <w:sz w:val="20"/>
        </w:rPr>
      </w:pPr>
      <w:r>
        <w:rPr>
          <w:rFonts w:ascii="Times New Roman" w:hAnsi="Times New Roman"/>
          <w:sz w:val="20"/>
        </w:rPr>
        <w:t xml:space="preserve">8.2.1.6 A legal opinion of and disclosure letter of Sullivan &amp; Cromwell LLP addressed to the Placement Agent, in form and substance reasonably acceptable to the Placement Agent.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b/>
          <w:sz w:val="20"/>
          <w:u w:val="single"/>
        </w:rPr>
        <w:t>Conditions of the Obligations of the Placement Agent</w:t>
      </w:r>
      <w:r>
        <w:rPr>
          <w:rFonts w:ascii="Times New Roman" w:hAnsi="Times New Roman"/>
          <w:sz w:val="20"/>
        </w:rPr>
        <w:t xml:space="preserve">. The obligations of the Placement Agent hereunder shall be subject to the accuracy of the representations and warranties on the part of the Company set forth in the Purchase Agreement (on which the Company authorizes the Placement Agent to rely), in each case as of the date hereof and as of the Closing Date as though then made, to the timely performance by each of the Company of its covenants and other obligations hereunder on and as of such dates, and to each of the following additional conditions: </w:t>
      </w:r>
    </w:p>
    <w:p>
      <w:pPr>
        <w:pStyle w:val="TextBody"/>
        <w:bidi w:val="0"/>
        <w:spacing w:before="360" w:after="0"/>
        <w:jc w:val="left"/>
        <w:rPr>
          <w:rFonts w:ascii="Times New Roman" w:hAnsi="Times New Roman"/>
          <w:sz w:val="20"/>
        </w:rPr>
      </w:pPr>
      <w:r>
        <w:rPr>
          <w:rFonts w:ascii="Times New Roman" w:hAnsi="Times New Roman"/>
          <w:sz w:val="20"/>
        </w:rPr>
        <w:t xml:space="preserve">9.1 </w:t>
      </w:r>
      <w:r>
        <w:rPr>
          <w:rFonts w:ascii="Times New Roman" w:hAnsi="Times New Roman"/>
          <w:b/>
          <w:sz w:val="20"/>
          <w:u w:val="single"/>
        </w:rPr>
        <w:t>Regulatory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9.1.1. </w:t>
      </w:r>
      <w:r>
        <w:rPr>
          <w:rFonts w:ascii="Times New Roman" w:hAnsi="Times New Roman"/>
          <w:b/>
          <w:sz w:val="20"/>
          <w:u w:val="single"/>
        </w:rPr>
        <w:t>Effectiveness of Registration Statement; Rule 424 Information</w:t>
      </w:r>
      <w:r>
        <w:rPr>
          <w:rFonts w:ascii="Times New Roman" w:hAnsi="Times New Roman"/>
          <w:sz w:val="20"/>
        </w:rPr>
        <w:t xml:space="preserve">. The Registration Statement is effective on the date of this Agreement, and, on the Closing Date no stop order suspending the effectiveness of the Registration Statement or any post-effective amendment thereto has been issued under the Securities Act, no order preventing or suspending the use of any Prospectus Supplement or the Prospectus has been issued and no proceedings for any of those purposes have been instituted or are pending or, to the Company’s knowledge, contemplated by the Commission. The Company has complied with each request (if any) from the Commission for additional information. All filings with the Commission required by Rule 424 under the Securities Act to have been filed by the Closing Date shall have been made within the applicable time period prescribed for such filing by Rule 424.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9.1.3. </w:t>
      </w:r>
      <w:r>
        <w:rPr>
          <w:rFonts w:ascii="Times New Roman" w:hAnsi="Times New Roman"/>
          <w:b/>
          <w:sz w:val="20"/>
          <w:u w:val="single"/>
        </w:rPr>
        <w:t>Supplemental Listing Application</w:t>
      </w:r>
      <w:r>
        <w:rPr>
          <w:rFonts w:ascii="Times New Roman" w:hAnsi="Times New Roman"/>
          <w:sz w:val="20"/>
        </w:rPr>
        <w:t xml:space="preserve">. On or before the Closing Date, the Company shall have filed a supplemental listing application with the Exchange with respect to the Securities sold in the Offering. </w:t>
      </w:r>
    </w:p>
    <w:p>
      <w:pPr>
        <w:pStyle w:val="TextBody"/>
        <w:bidi w:val="0"/>
        <w:spacing w:before="120" w:after="0"/>
        <w:jc w:val="left"/>
        <w:rPr>
          <w:rFonts w:ascii="Times New Roman" w:hAnsi="Times New Roman"/>
          <w:sz w:val="20"/>
        </w:rPr>
      </w:pPr>
      <w:r>
        <w:rPr>
          <w:rFonts w:ascii="Times New Roman" w:hAnsi="Times New Roman"/>
          <w:sz w:val="20"/>
        </w:rPr>
        <w:t xml:space="preserve">9.2. </w:t>
      </w:r>
      <w:r>
        <w:rPr>
          <w:rFonts w:ascii="Times New Roman" w:hAnsi="Times New Roman"/>
          <w:b/>
          <w:sz w:val="20"/>
          <w:u w:val="single"/>
        </w:rPr>
        <w:t>Closing Deliverables</w:t>
      </w:r>
      <w:r>
        <w:rPr>
          <w:rFonts w:ascii="Times New Roman" w:hAnsi="Times New Roman"/>
          <w:sz w:val="20"/>
        </w:rPr>
        <w:t xml:space="preserve">. The Company shall have delivered all closing deliverables to the Placement Agent as set forth in Section 8.1 as of the time required and in form reasonably satisfactory to the Placement Agent. </w:t>
      </w:r>
    </w:p>
    <w:p>
      <w:pPr>
        <w:pStyle w:val="TextBody"/>
        <w:bidi w:val="0"/>
        <w:spacing w:before="120" w:after="0"/>
        <w:jc w:val="left"/>
        <w:rPr>
          <w:rFonts w:ascii="Times New Roman" w:hAnsi="Times New Roman"/>
          <w:sz w:val="20"/>
        </w:rPr>
      </w:pPr>
      <w:r>
        <w:rPr>
          <w:rFonts w:ascii="Times New Roman" w:hAnsi="Times New Roman"/>
          <w:sz w:val="20"/>
        </w:rPr>
        <w:t xml:space="preserve">9.2.1. </w:t>
      </w:r>
      <w:r>
        <w:rPr>
          <w:rFonts w:ascii="Times New Roman" w:hAnsi="Times New Roman"/>
          <w:b/>
          <w:sz w:val="20"/>
          <w:u w:val="single"/>
        </w:rPr>
        <w:t>No Material Changes</w:t>
      </w:r>
      <w:r>
        <w:rPr>
          <w:rFonts w:ascii="Times New Roman" w:hAnsi="Times New Roman"/>
          <w:sz w:val="20"/>
        </w:rPr>
        <w:t xml:space="preserve">. Prior to and on the Closing Date: (i) there shall have been no Material Adverse Effect or development involving a prospective Material Adverse Effect in the condition or prospects or the business activities, financial or otherwise, of the Company from the latest dates as of which such condition is set forth in the Registration Statement and the Prospectus; (ii) no action, suit or proceeding, at law or in equity, shall have been pending or threatened against the Company or any affiliates of the Company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and the Prospectus; (iii) no stop order shall have been issued under the Securities Act and no proceedings therefor shall have been initiated or threatened by the Commission; and (iv) the Registration Statement and the Prospectus and any amendments or supplements thereto shall contain all material statements which are required to be stated therein in accordance with the Securities Act and the Securities Act Regulations and shall conform in all material respects to the requirements of the Securities Act and the Securities Act Regulations, and neither the Registration Statement nor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9.2.2. </w:t>
      </w:r>
      <w:r>
        <w:rPr>
          <w:rFonts w:ascii="Times New Roman" w:hAnsi="Times New Roman"/>
          <w:b/>
          <w:sz w:val="20"/>
          <w:u w:val="single"/>
        </w:rPr>
        <w:t>Additional Documents</w:t>
      </w:r>
      <w:r>
        <w:rPr>
          <w:rFonts w:ascii="Times New Roman" w:hAnsi="Times New Roman"/>
          <w:sz w:val="20"/>
        </w:rPr>
        <w:t xml:space="preserve">. At the Closing Date, Placement Agent’s counsel shall have been furnished with such documents and opinions as they may require in order to 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the Placement Agent and Placement Agent’s counsel.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u w:val="single"/>
        </w:rPr>
        <w:t>Termination</w:t>
      </w:r>
      <w:r>
        <w:rPr>
          <w:rFonts w:ascii="Times New Roman" w:hAnsi="Times New Roman"/>
          <w:sz w:val="20"/>
        </w:rPr>
        <w:t xml:space="preserve">. Notwithstanding anything to the contrary contained herein, the Company agrees that the provisions relating to the payment of fees, reimbursement of expenses, indemnification and contribution, confidentiality, conflicts, independent contractor and waiver of the right to trial by jury will survive any termination or expiration of this Agreement. Notwithstanding anything to the contrary contained herein, the Company has the right to terminate the Agreement for cause in compliance with FINRA Rule 5110(g)(5)(B)(i). Notwithstanding anything to the contrary contained in this Agreement, in the event that no Placement is completed for any reason whatsoever during the Engagement Period, the Company shall be obligated to pay to CCM its actual and accountable out-of-pocket expenses related to the Placement (including the fees and disbursements of Placement Agent’s legal counsel) and if applicable, for electronic road show service used in connection with the Placement. During the engagement hereunder: (i) the Company will not, and will not permit its representatives to, other than in coordination with CCM, contact or solicit institutions, corporations or other entities or individuals as potential purchasers of the Securities and (ii) the Company will not pursue any financing transaction which would be in lieu of the Placement. Furthermore, the Company agrees that during CCM’s engagement hereunder, all inquiries from prospective investors will be referred to CCM. Regardless of termination and except as stated in this Section 10, Section 7 of this Agreement will still remain in full effect if an offering is consummated.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Publicity</w:t>
      </w:r>
      <w:r>
        <w:rPr>
          <w:rFonts w:ascii="Times New Roman" w:hAnsi="Times New Roman"/>
          <w:sz w:val="20"/>
        </w:rPr>
        <w:t xml:space="preserve">. The Company agrees that it will not issue press releases or engage in any other publicity, without CCM’s prior written consent, commencing on the date hereof and continuing until the final Closing of the Placement. The Company agrees that CCM may, following the announcement or disclosure of a transaction, describe such transaction in any form of media or in CCM’s marketing materials, stating CCM’s role and other material terms of any transaction and using Company’s name and logo in connection therewith with prior consent from the Company (which such consent shall not be unreasonably withheld, conditioned or delayed) solely to the extent CCM wishes to disclose any terms of such transaction that have not otherwise been previously disclosed publicly. The Company agrees that any press release it may issue announcing a transaction will contain a reference to CCM’s role as advisor to the Company in connection with the transaction in form and substance reasonably satisfactory to CCM. In addition, the Company will use its best efforts to include a reference to CCM’s role as an advisor to Company in connection with a transaction in form and substance reasonably satisfactory to CCM in any press release issued by any counterparty to a transaction.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Information</w:t>
      </w:r>
      <w:r>
        <w:rPr>
          <w:rFonts w:ascii="Times New Roman" w:hAnsi="Times New Roman"/>
          <w:sz w:val="20"/>
        </w:rPr>
        <w:t>. During the Engagement Period or until the Closing, the Company agrees to furnish or cause cooperate with CCM and to furnish, or cause to be furnished, to CCM, any and all information and data concerning the Company, and the Placement that CCM deems appropriate to permit CCM to provide the services contemplated by this Agreement and the Purchase Agreement (the “</w:t>
      </w:r>
      <w:r>
        <w:rPr>
          <w:rFonts w:ascii="Times New Roman" w:hAnsi="Times New Roman"/>
          <w:b/>
          <w:sz w:val="20"/>
          <w:u w:val="single"/>
        </w:rPr>
        <w:t>Information</w:t>
      </w:r>
      <w:r>
        <w:rPr>
          <w:rFonts w:ascii="Times New Roman" w:hAnsi="Times New Roman"/>
          <w:sz w:val="20"/>
        </w:rPr>
        <w:t xml:space="preserve">”). The Company represents and covenants that all Information furnished by the Company or its agents will be complete and correct in all material respects, and that the Company will advise CCM immediately of the occurrence of any event or any other change known by the Company or its agents which results in the Information ceasing to be complete and correct in all material respects. The Company also represents and warrants that any projections or forecasts that it provides to CCM will be prepared in good faith and will be based upon assumptions which, in light of the circumstances in which they are made, are reasonable. The Company recognizes and confirms that CCM (a) will use and rely primarily on the Information and on information available from generally recognized public sources in performing the services contemplated hereby without having independently verified any of the same, (b) does not assume responsibility for the accuracy or completeness of the Information and such other information, and (c) will not make any appraisal of any of the assets or liabilities of the Company. The Company will be solely responsible for the contents of any and all documents used in connection with the marketing and offering of the Securities, and if any information contained in any such materials becomes inaccurate, incomplete or misleading in any material respect during CCM’s engagement hereunder, the Company shall so advise CCM as promptly as possible; </w:t>
      </w:r>
      <w:r>
        <w:rPr>
          <w:rFonts w:ascii="Times New Roman" w:hAnsi="Times New Roman"/>
          <w:i/>
          <w:sz w:val="20"/>
        </w:rPr>
        <w:t>provided</w:t>
      </w:r>
      <w:r>
        <w:rPr>
          <w:rFonts w:ascii="Times New Roman" w:hAnsi="Times New Roman"/>
          <w:sz w:val="20"/>
        </w:rPr>
        <w:t xml:space="preserve"> that the Company makes no representation and warranty with respect to any statements or omissions made in reliance upon and in conformity with information relating to the Placement Agent furnished to the Company in writing by the Placement Agent expressly for use in the Registration Statement and the Prospectus and any amendment or supplement thereto. The Company hereby acknowledges that the only information that the Placement Agent has furnished to the Company expressly for use in the Registration Statement or the Prospectus (or any amendment or supplement thereto) are the statements set forth in the third paragraph under the caption “Plan of Distribution-Fees and Expenses” and the statements under the caption “Plan of Distribution-Other Activities and Relationships” in the Prospectus (the “</w:t>
      </w:r>
      <w:r>
        <w:rPr>
          <w:rFonts w:ascii="Times New Roman" w:hAnsi="Times New Roman"/>
          <w:sz w:val="20"/>
          <w:u w:val="single"/>
        </w:rPr>
        <w:t>Placement Agent’s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contemplated by the terms hereof or as required by applicable law, CCM will keep strictly confidential all non-public Information concerning the Company provided to CCM. No obligation of confidentiality will apply to Information that: (a) is in the public domain as of the date hereof or hereafter enters the public domain without a breach by CCM, (b) was known or became known by CCM prior to the Company’s disclosure thereof to CCM as demonstrated by the existence of its written records, (c) becomes known to CCM from a source other than the Company which information is not provided by the breach of an obligation of confidentiality owed to the Company, (d) is disclosed by the Company to a third party without restrictions on its disclosure or (e) is independently developed by CCM as demonstrated by its written records. For the avoidance of doubt, except as otherwise provided herein, all information which is not publicly available relating to the Company’s proprietary technology is proprietary and confidential. </w:t>
      </w:r>
    </w:p>
    <w:p>
      <w:pPr>
        <w:pStyle w:val="TextBody"/>
        <w:bidi w:val="0"/>
        <w:spacing w:before="240" w:after="0"/>
        <w:jc w:val="left"/>
        <w:rPr>
          <w:rFonts w:ascii="Times New Roman" w:hAnsi="Times New Roman"/>
          <w:sz w:val="20"/>
        </w:rPr>
      </w:pPr>
      <w:r>
        <w:rPr>
          <w:rFonts w:ascii="Times New Roman" w:hAnsi="Times New Roman"/>
          <w:sz w:val="20"/>
        </w:rPr>
        <w:t>13.</w:t>
      </w:r>
      <w:r>
        <w:rPr>
          <w:rFonts w:ascii="Times New Roman" w:hAnsi="Times New Roman"/>
          <w:sz w:val="20"/>
          <w:u w:val="single"/>
        </w:rPr>
        <w:t xml:space="preserve"> </w:t>
      </w:r>
      <w:r>
        <w:rPr>
          <w:rFonts w:ascii="Times New Roman" w:hAnsi="Times New Roman"/>
          <w:b/>
          <w:sz w:val="20"/>
          <w:u w:val="single"/>
        </w:rPr>
        <w:t>No Third Party Beneficiaries; No Fiduciary Obligations</w:t>
      </w:r>
      <w:r>
        <w:rPr>
          <w:rFonts w:ascii="Times New Roman" w:hAnsi="Times New Roman"/>
          <w:sz w:val="20"/>
        </w:rPr>
        <w:t xml:space="preserve">. This Agreement does not create, and shall not be construed as creating, rights enforceable by any person or entity not a party hereto, except those entitled hereto by virtue of the indemnification provisions hereof. The Company acknowledges and agrees that: (i) CCM is not and shall not be construed as a fiduciary of the Company and shall have no duties or liabilities to the equity holders or the creditors of the Company or any other person or entity by virtue of this Agreement or the retention of CCM hereunder, all of which are hereby expressly waived; and (ii) CCM is a full service securities firm engaged in a wide range of businesses and from time to time, in the ordinary course of its business, CCM or its affiliates may hold long or short positions and trade or otherwise effect transactions for its own account or the account of its customers in debt or equity securities or loans of the companies which may be the subject of the transactions contemplated by this Agreement. During the course of CCM’s engagement with the Company, CCM may have in its possession material, non-public information regarding other companies that could potentially be relevant to the Company or the transactions contemplated herein but which cannot be shared due to an obligation of confidence to such other companies.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u w:val="single"/>
        </w:rPr>
        <w:t>Indemnification, Advancement</w:t>
      </w:r>
      <w:r>
        <w:rPr>
          <w:rFonts w:ascii="Times New Roman" w:hAnsi="Times New Roman"/>
          <w:sz w:val="20"/>
          <w:u w:val="single"/>
        </w:rPr>
        <w:t> </w:t>
      </w:r>
      <w:r>
        <w:rPr>
          <w:rFonts w:ascii="Times New Roman" w:hAnsi="Times New Roman"/>
          <w:b/>
          <w:sz w:val="20"/>
          <w:u w:val="single"/>
        </w:rPr>
        <w:t>&amp; Contribution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14.1. </w:t>
      </w:r>
      <w:r>
        <w:rPr>
          <w:rFonts w:ascii="Times New Roman" w:hAnsi="Times New Roman"/>
          <w:b/>
          <w:sz w:val="20"/>
          <w:u w:val="single"/>
        </w:rPr>
        <w:t>Indemnification</w:t>
      </w:r>
      <w:r>
        <w:rPr>
          <w:rFonts w:ascii="Times New Roman" w:hAnsi="Times New Roman"/>
          <w:sz w:val="20"/>
        </w:rPr>
        <w:t>. The Company agrees to indemnify and hold harmless CCM, its affiliates and each person controlling CCM (within the meaning of Section 14 of the Securities Act), and the directors, officers, agents and employees of CCM, its affiliates and each such controlling person (CCM, and each such entity or person hereafter is referred to as an “</w:t>
      </w:r>
      <w:r>
        <w:rPr>
          <w:rFonts w:ascii="Times New Roman" w:hAnsi="Times New Roman"/>
          <w:b/>
          <w:sz w:val="20"/>
          <w:u w:val="single"/>
        </w:rPr>
        <w:t>Indemnified Person</w:t>
      </w:r>
      <w:r>
        <w:rPr>
          <w:rFonts w:ascii="Times New Roman" w:hAnsi="Times New Roman"/>
          <w:sz w:val="20"/>
        </w:rPr>
        <w:t>”) to the fullest extent permitted by law from and against any losses, claims, damages, judgments, assessments, costs and other liabilities (collectively, the “</w:t>
      </w:r>
      <w:r>
        <w:rPr>
          <w:rFonts w:ascii="Times New Roman" w:hAnsi="Times New Roman"/>
          <w:b/>
          <w:sz w:val="20"/>
          <w:u w:val="single"/>
        </w:rPr>
        <w:t>Liabilities</w:t>
      </w:r>
      <w:r>
        <w:rPr>
          <w:rFonts w:ascii="Times New Roman" w:hAnsi="Times New Roman"/>
          <w:sz w:val="20"/>
        </w:rPr>
        <w:t>”), and shall reimburse each Indemnified Person for all reasonable and documented fees and expenses (including the reasonable and documented out-of-pocket fees and expenses of counsel for the Indemnified Persons) (collectively, the “</w:t>
      </w:r>
      <w:r>
        <w:rPr>
          <w:rFonts w:ascii="Times New Roman" w:hAnsi="Times New Roman"/>
          <w:b/>
          <w:sz w:val="20"/>
          <w:u w:val="single"/>
        </w:rPr>
        <w:t>Expenses</w:t>
      </w:r>
      <w:r>
        <w:rPr>
          <w:rFonts w:ascii="Times New Roman" w:hAnsi="Times New Roman"/>
          <w:sz w:val="20"/>
        </w:rPr>
        <w:t xml:space="preserve">”) reasonably incurred by an Indemnified Person, arising out of or based upon any untrue statement or alleged untrue statement of a material fact contained in the Registration Statement, Prospectus or any other offering documents (as from time to time each may be amended and supplemented),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information provided to the Company by CCM in writing specifically for use in the Registration Statement, Prospectus, or any other offering documents with respect which or resulting from conduct by CCM or another Indemnified Party, as to which CCM shall indemnify and hold harmless the Company, its officers, directors and controlling parties in the manner set forth in this Section 14.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advance Expenses as incurred; provided that such Indemnified Person undertakes to repay such amounts if it is finally judicially determined (or pursuant to a settlement tantamount thereto) that such Indemnified Person is not entitled to indemnification hereunder. </w:t>
      </w:r>
    </w:p>
    <w:p>
      <w:pPr>
        <w:pStyle w:val="TextBody"/>
        <w:bidi w:val="0"/>
        <w:spacing w:before="120" w:after="0"/>
        <w:jc w:val="left"/>
        <w:rPr>
          <w:rFonts w:ascii="Times New Roman" w:hAnsi="Times New Roman"/>
          <w:sz w:val="20"/>
        </w:rPr>
      </w:pPr>
      <w:r>
        <w:rPr>
          <w:rFonts w:ascii="Times New Roman" w:hAnsi="Times New Roman"/>
          <w:sz w:val="20"/>
        </w:rPr>
        <w:t xml:space="preserve">The Company agrees to advance payment of such Expenses as they are incurred by an Indemnified Person in investigating, preparing, pursuing or defending any actions, whether or not any Indemnified Person is a party thereto, arising out of or based upon (i) any untrue statement or alleged untrue statement of a material fact contained in (A) the Registration Statement, Prospectus or any other offering documents (as from time to time each may be amended and supplemented), (B) any materials or information provided to investors by, or with the approval of, the Company in connection with the marketing of the Placement, including any “road show” or investor presentations made to investors by the Company (whether in person or electronically), or (C) any application or other document or written communication (collectively called “application”) executed by the Company or based upon written information furnished by the Company in any jurisdiction in order to qualify the Securities under the securities laws thereof or to file for an exemption from such requirement or filed with the Commission, any state securities commission or agency, any national securities exchange; or (ii)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the Placement Agent’s Information, as to which CCM shall indemnify and hold harmless the Company, its officers, directors and controlling parties in the manner set forth in this Section 14. The Company also agrees to reimburse and advance each Indemnified Person for all Expenses as they are incurred in connection with such Indemnified Person’s enforcement of his or her rights under this Section 14. </w:t>
      </w:r>
    </w:p>
    <w:p>
      <w:pPr>
        <w:pStyle w:val="TextBody"/>
        <w:bidi w:val="0"/>
        <w:spacing w:before="120" w:after="0"/>
        <w:jc w:val="left"/>
        <w:rPr>
          <w:rFonts w:ascii="Times New Roman" w:hAnsi="Times New Roman"/>
          <w:sz w:val="20"/>
        </w:rPr>
      </w:pPr>
      <w:r>
        <w:rPr>
          <w:rFonts w:ascii="Times New Roman" w:hAnsi="Times New Roman"/>
          <w:sz w:val="20"/>
        </w:rPr>
        <w:t xml:space="preserve">14.2. </w:t>
      </w:r>
      <w:r>
        <w:rPr>
          <w:rFonts w:ascii="Times New Roman" w:hAnsi="Times New Roman"/>
          <w:b/>
          <w:sz w:val="20"/>
          <w:u w:val="single"/>
        </w:rPr>
        <w:t>Procedure</w:t>
      </w:r>
      <w:r>
        <w:rPr>
          <w:rFonts w:ascii="Times New Roman" w:hAnsi="Times New Roman"/>
          <w:sz w:val="20"/>
        </w:rPr>
        <w:t>. The Company shall notify CCM in writing of any action, suit, investigation or proceeding (an “</w:t>
      </w:r>
      <w:r>
        <w:rPr>
          <w:rFonts w:ascii="Times New Roman" w:hAnsi="Times New Roman"/>
          <w:b/>
          <w:sz w:val="20"/>
          <w:u w:val="single"/>
        </w:rPr>
        <w:t>Action</w:t>
      </w:r>
      <w:r>
        <w:rPr>
          <w:rFonts w:ascii="Times New Roman" w:hAnsi="Times New Roman"/>
          <w:sz w:val="20"/>
        </w:rPr>
        <w:t xml:space="preserve">”) relating to the Engagement or any transaction contemplated thereby within five (5) days after the Company receives written notice thereof or is served with a summons or other first legal process; provided, however, that failure by the Company so to notify CCM shall not relieve the Company of any obligation or liability it may have hereunder except to the extent that such failure materially prejudices CCM’s rights. </w:t>
      </w:r>
    </w:p>
    <w:p>
      <w:pPr>
        <w:pStyle w:val="TextBody"/>
        <w:bidi w:val="0"/>
        <w:spacing w:before="120" w:after="0"/>
        <w:jc w:val="left"/>
        <w:rPr>
          <w:rFonts w:ascii="Times New Roman" w:hAnsi="Times New Roman"/>
          <w:sz w:val="20"/>
        </w:rPr>
      </w:pPr>
      <w:r>
        <w:rPr>
          <w:rFonts w:ascii="Times New Roman" w:hAnsi="Times New Roman"/>
          <w:sz w:val="20"/>
        </w:rPr>
        <w:t xml:space="preserve">Upon receipt by an Indemnified Person of any Action against such Indemnified Person with respect to which indemnity may reasonably be expected to be sought under this Section 14, such Indemnified Person shall promptly notify the Company in writing; provided that failure by any Indemnified Person so to notify the Company shall not relieve the Company from any obligation or liability which the Company may have on account of this Section 14 or otherwise to such Indemnified Person. The Company shall, if requested by CCM, assume the defense of any such action (including the employment of counsel designated by CCM and reasonably satisfactory to the Company). Any Indemnified Person shall have the right to employ separate counsel in any such action and participate in the defense thereof, but the fees and expenses of such counsel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at the expense of such Indemnified Person provided, however, that if in the reasonable opinion of counsel to the Indemnified Person there exists a conflict of interest between the Company and the Indemnified Person that cannot be waived, the Company shall be liable for the reasonable fees and expenses of one (1) counsel to the Indemnified Person in each applicable jurisdiction.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elects not to defend such Action, fails to timely notify the Indemnified Person of its election to defend, or fails to diligently prosecute the defense (and such failure is judicially determined), the Indemnified Person may defend, compromise or settle such Action and seek indemnification for all resulting Liabilities and Expenses. The parties shall cooperate with each other in all reasonable respects in connection with the defense of any Action.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enter into any settlement of any Action without the prior written consent of the Indemnified Person, which consent shall not be unreasonably withheld or delayed. If a firm offer is made to settle an Action that provides for the unconditional release of each Indemnified Person from all Liabilities and obligations in connection with such Action and does not impose any financial or other obligation on the Indemnified Person, and the Company desires to accept such offer, the Company shall give written notice thereof to the Indemnified Person. If the Indemnified Person fails to consent within ten (10) days after receipt of such notice, the Indemnified Person may continue to contest such Action and the maximum liability of the Company shall not exceed the amount of such settlement offer plus the Indemnified Person’s Expenses through the end of such ten (10) day period. </w:t>
      </w:r>
    </w:p>
    <w:p>
      <w:pPr>
        <w:pStyle w:val="TextBody"/>
        <w:bidi w:val="0"/>
        <w:spacing w:before="120" w:after="0"/>
        <w:jc w:val="left"/>
        <w:rPr>
          <w:rFonts w:ascii="Times New Roman" w:hAnsi="Times New Roman"/>
          <w:sz w:val="20"/>
        </w:rPr>
      </w:pPr>
      <w:r>
        <w:rPr>
          <w:rFonts w:ascii="Times New Roman" w:hAnsi="Times New Roman"/>
          <w:sz w:val="20"/>
        </w:rPr>
        <w:t xml:space="preserve">The advancement, reimbursement and indemnification obligations of the Company required hereby shall be made by periodic payments of the amount thereof during the course of the investigation or defense, as each Liability and Expense is incurred and is due and payable, and in no event later than thirty (30) calendar days following receipt of invoice therefor. </w:t>
      </w:r>
    </w:p>
    <w:p>
      <w:pPr>
        <w:pStyle w:val="TextBody"/>
        <w:bidi w:val="0"/>
        <w:spacing w:before="120" w:after="0"/>
        <w:jc w:val="left"/>
        <w:rPr>
          <w:rFonts w:ascii="Times New Roman" w:hAnsi="Times New Roman"/>
          <w:sz w:val="20"/>
        </w:rPr>
      </w:pPr>
      <w:r>
        <w:rPr>
          <w:rFonts w:ascii="Times New Roman" w:hAnsi="Times New Roman"/>
          <w:sz w:val="20"/>
        </w:rPr>
        <w:t xml:space="preserve">14.3. </w:t>
      </w:r>
      <w:r>
        <w:rPr>
          <w:rFonts w:ascii="Times New Roman" w:hAnsi="Times New Roman"/>
          <w:b/>
          <w:sz w:val="20"/>
          <w:u w:val="single"/>
        </w:rPr>
        <w:t>Contribution</w:t>
      </w:r>
      <w:r>
        <w:rPr>
          <w:rFonts w:ascii="Times New Roman" w:hAnsi="Times New Roman"/>
          <w:sz w:val="20"/>
        </w:rPr>
        <w:t xml:space="preserve">. If the foregoing indemnification is unavailable or insufficient to hold any Indemnified Person harmless, then the Company shall contribute to the amounts paid or payable by such Indemnified Person in respect of such Liabilities and Expenses in such proportion as appropriately reflects the relative benefits received by, and the relative fault of, the Company and such Indemnified Person in connection with the matters to which such Liabilities and Expenses relate, as well as any other relevant equitable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14.4. </w:t>
      </w:r>
      <w:r>
        <w:rPr>
          <w:rFonts w:ascii="Times New Roman" w:hAnsi="Times New Roman"/>
          <w:b/>
          <w:sz w:val="20"/>
          <w:u w:val="single"/>
        </w:rPr>
        <w:t>Limitation</w:t>
      </w:r>
      <w:r>
        <w:rPr>
          <w:rFonts w:ascii="Times New Roman" w:hAnsi="Times New Roman"/>
          <w:sz w:val="20"/>
        </w:rPr>
        <w:t xml:space="preserve">. The Company also agrees that no Indemnified Person shall have any liability (whether direct or indirect, in contract or tort or otherwise) to the Company for or in connection with advice or services rendered or to be rendered by any Indemnified Person pursuant to this Agreement, the transactions contemplated thereby or any Indemnified Person’s actions or inactions in connection with any such advice, services or transactions, except to the extent that such liability is finally judicially determined (or pursuant to a settlement tantamount thereto) to have resulted from such Indemnified Person’s bad faith, willful misconduct or gross negligence in connection with any such advice, actions, inactions or services.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u w:val="single"/>
        </w:rPr>
        <w:t>Equitable Remedies</w:t>
      </w:r>
      <w:r>
        <w:rPr>
          <w:rFonts w:ascii="Times New Roman" w:hAnsi="Times New Roman"/>
          <w:sz w:val="20"/>
        </w:rPr>
        <w:t xml:space="preserve">. Each party to this Agreement acknowledges and agrees that (a) a breach or threatened breach by the Company of any of its obligations under the exclusivity provisions of Section 1 would give rise to irreparable harm to CCM for which monetary damages would not be an adequate remedy and (b) if a breach or a threatened breach by the Company of any such obligations occurs, CCM will, in addition to any and all other rights and remedies that may be available to such party at law, at equity, or otherwise in respect of such breach, be entitled to equitable relief, including a temporary restraining order, an injunction, specific performance of the terms of the exclusivity provisions of Section 1, as applicable, and any other relief that may be available from a court of competent jurisdiction, without any requirement to (i) post a bond or other security, or (ii) prove actual damages or that monetary damages will not afford an adequate remedy. Each party to this Agreement agrees that such party shall not oppose or otherwise challenge the existence of irreparable harm, the appropriateness of equitable relief or the entry by a court of competent jurisdiction of an order granting equitable relief, in either case, consistent with the terms of this Section 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u w:val="single"/>
        </w:rPr>
        <w:t>Governing Law; Venue</w:t>
      </w:r>
      <w:r>
        <w:rPr>
          <w:rFonts w:ascii="Times New Roman" w:hAnsi="Times New Roman"/>
          <w:sz w:val="20"/>
        </w:rPr>
        <w:t xml:space="preserve">. This Agreement will be deemed to have been made and delivered in the State of New York, and both the binding provisions of this Agreement and the transactions contemplated hereby will be governed as to validity, interpretation, construction, effect and in all other respects by the internal laws of the State of New York, without regard to the conflict of laws principles thereof. Each of CCM and the Company: (i) agrees that any legal suit, action or proceeding arising out of or relating to this Agreement and/or the transactions contemplated hereby will be instituted exclusively in the courts located in the Borough of Manhattan, City of New York, County of New York, State of New York (ii) waives any objection which it may have or hereafter to the venue of any such suit, action or proceeding, and (iii) irrevocably consents to the jurisdiction of the courts located in the City of New York, County of New York and State of New York, in any such suit, action or proceeding. Each of CCM and the Company further agrees to accept and acknowledge service of any and all process which may be served in any such suit, action or proceeding in such courts and agrees that service of process upon the Company mailed by certified mail to the Company’s address will be deemed in every respect effective service of process upon the Company, in any such suit, action or proceeding, and service of process upon CCM mailed by certified mail to CCM’s address will be deemed in every respect effective service process upon CCM, in any such suit, action or proceeding. Notwithstanding any provision of this Agreement to the contrary, the Company agrees that neither CCM nor its affiliates, and the respective officers, directors, employees, agents and representatives of CCM, its affiliates and each other person, if any, controlling CCM or any of its affiliates, will have any liability (whether direct or indirect, in contract or tort or otherwise) to the Company for or in connection with the engagement and transaction described herein except for any such liability for losses, claims, damages or liabilities incurred by the Company that are finally judicially determined to have resulted from the bad faith or gross negligence of such individuals or entities. CCM will act under this Agreement as an independent contractor with duties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u w:val="single"/>
        </w:rPr>
        <w:t>Miscellaneous</w:t>
      </w:r>
      <w:r>
        <w:rPr>
          <w:rFonts w:ascii="Times New Roman" w:hAnsi="Times New Roman"/>
          <w:sz w:val="20"/>
        </w:rPr>
        <w:t xml:space="preserve">. The Company represents and warrants that it has all required power and authority to enter into and carry out the terms and provisions of this Agreement and the execution, delivery and performance of this Agreement does not breach or conflict with any agreement, document or instrument to which it is a party or bound. The binding provisions of this Agreement are legally binding upon and inure to the benefit of both the Company and CCM and their respective assigns, successors, and legal representatives. If any provision of this Agreement is determined to be invalid or unenforceable in any respect, such determination will not affect such provision in any other respect, and the remainder of the Agreement shall remain in full force and effect. This Agreement may be executed in counterparts (including electronic counterparts), each of which shall be deemed an original but all of which together shall constitute one and the same instrument. The undersigned hereby consents to receipt of this Agreement in electronic form and understands and agrees that this Agreement may be signed electronically. Signatures to this Agreement transmitted in electronic form will have the same effect as physical delivery of a paper document bearing the original signature, and if any signature is delivered electronically evidencing an intent to sign this Agreement, such electronic mail or other electronic transmission shall create a valid and binding obligation of the undersigned with the same force and effect as if such signature were an original. Execution and delivery of this Agreement by electronic mail or other electronic transmission is legal, valid and binding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If you are in agreement with the foregoing, please sign and return to us one copy of this Agreement. This Agreement may be executed in counterparts (including facsimile or .pdf counterparts), each of which shall be deemed an original but all of which together shall constitute one and the same instrument.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of Placement Agent Agreement Follows]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Cohen &amp; Company Securities,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Jerry Serowik</w:t>
            </w:r>
          </w:p>
        </w:tc>
      </w:tr>
      <w:tr>
        <w:trPr/>
        <w:tc>
          <w:tcPr>
            <w:tcW w:w="4082" w:type="dxa"/>
            <w:gridSpan w:val="3"/>
            <w:tcBorders/>
          </w:tcPr>
          <w:p>
            <w:pPr>
              <w:pStyle w:val="TableContents"/>
              <w:bidi w:val="0"/>
              <w:spacing w:before="0" w:after="283"/>
              <w:jc w:val="left"/>
              <w:rPr/>
            </w:pPr>
            <w:r>
              <w:rPr/>
              <w:t>Name: Jerry Serowik</w:t>
            </w:r>
          </w:p>
        </w:tc>
      </w:tr>
      <w:tr>
        <w:trPr/>
        <w:tc>
          <w:tcPr>
            <w:tcW w:w="4082" w:type="dxa"/>
            <w:gridSpan w:val="3"/>
            <w:tcBorders/>
          </w:tcPr>
          <w:p>
            <w:pPr>
              <w:pStyle w:val="TableContents"/>
              <w:bidi w:val="0"/>
              <w:spacing w:before="0" w:after="283"/>
              <w:jc w:val="left"/>
              <w:rPr/>
            </w:pPr>
            <w:r>
              <w:rPr/>
              <w:t>Title: Senior Managing Director, Head of CCM</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AGREED AND ACCEPTED:</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accurately sets forth our understanding and agreement with respect to the matters set forth herein. </w:t>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Bakkt, Inc.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Marc D’Annunzio</w:t>
            </w:r>
          </w:p>
        </w:tc>
      </w:tr>
      <w:tr>
        <w:trPr/>
        <w:tc>
          <w:tcPr>
            <w:tcW w:w="4082" w:type="dxa"/>
            <w:gridSpan w:val="3"/>
            <w:tcBorders/>
          </w:tcPr>
          <w:p>
            <w:pPr>
              <w:pStyle w:val="TableContents"/>
              <w:bidi w:val="0"/>
              <w:spacing w:before="0" w:after="283"/>
              <w:jc w:val="left"/>
              <w:rPr/>
            </w:pPr>
            <w:r>
              <w:rPr/>
              <w:t>Name: Marc D’Annunzio</w:t>
            </w:r>
          </w:p>
        </w:tc>
      </w:tr>
      <w:tr>
        <w:trPr/>
        <w:tc>
          <w:tcPr>
            <w:tcW w:w="4082" w:type="dxa"/>
            <w:gridSpan w:val="3"/>
            <w:tcBorders/>
          </w:tcPr>
          <w:p>
            <w:pPr>
              <w:pStyle w:val="TableContents"/>
              <w:bidi w:val="0"/>
              <w:spacing w:before="0" w:after="283"/>
              <w:jc w:val="left"/>
              <w:rPr/>
            </w:pPr>
            <w:r>
              <w:rPr/>
              <w:t>Title: General Counsel and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33129</Words>
  <Characters>176104</Characters>
  <CharactersWithSpaces>209336</CharactersWithSpaces>
  <Paragraphs>897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