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5"/>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5"/>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040" w:type="dxa"/>
            <w:vAlign w:val="bottom"/>
            <w:gridSpan w:val="3"/>
            <w:vMerge w:val="restart"/>
          </w:tcPr>
          <w:p>
            <w:pPr>
              <w:spacing w:after="0" w:line="256" w:lineRule="exact"/>
              <w:rPr>
                <w:rFonts w:ascii="Arial" w:cs="Arial" w:eastAsia="Arial" w:hAnsi="Arial"/>
                <w:sz w:val="24"/>
                <w:szCs w:val="24"/>
                <w:color w:val="0000EE"/>
                <w:w w:val="89"/>
              </w:rPr>
            </w:pPr>
            <w:hyperlink r:id="rId10">
              <w:r>
                <w:rPr>
                  <w:rFonts w:ascii="Arial" w:cs="Arial" w:eastAsia="Arial" w:hAnsi="Arial"/>
                  <w:sz w:val="24"/>
                  <w:szCs w:val="24"/>
                  <w:color w:val="0000EE"/>
                  <w:w w:val="89"/>
                </w:rPr>
                <w:t>Collins Sean Roberts</w:t>
              </w:r>
            </w:hyperlink>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040" w:type="dxa"/>
            <w:vAlign w:val="bottom"/>
            <w:gridSpan w:val="3"/>
            <w:vMerge w:val="continue"/>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700" w:type="dxa"/>
            <w:vAlign w:val="bottom"/>
            <w:tcBorders>
              <w:top w:val="single" w:sz="8" w:color="0000EE"/>
              <w:bottom w:val="single" w:sz="8" w:color="9A9A9A"/>
            </w:tcBorders>
          </w:tcPr>
          <w:p>
            <w:pPr>
              <w:spacing w:after="0"/>
              <w:rPr>
                <w:sz w:val="17"/>
                <w:szCs w:val="17"/>
                <w:color w:val="auto"/>
              </w:rPr>
            </w:pPr>
          </w:p>
        </w:tc>
        <w:tc>
          <w:tcPr>
            <w:tcW w:w="1320" w:type="dxa"/>
            <w:vAlign w:val="bottom"/>
            <w:tcBorders>
              <w:top w:val="single" w:sz="8" w:color="0000EE"/>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74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10/15/2021</w:t>
            </w:r>
          </w:p>
        </w:tc>
        <w:tc>
          <w:tcPr>
            <w:tcW w:w="0" w:type="dxa"/>
            <w:vAlign w:val="bottom"/>
          </w:tcPr>
          <w:p>
            <w:pPr>
              <w:spacing w:after="0"/>
              <w:rPr>
                <w:sz w:val="1"/>
                <w:szCs w:val="1"/>
                <w:color w:val="auto"/>
              </w:rPr>
            </w:pPr>
          </w:p>
        </w:tc>
      </w:tr>
      <w:tr>
        <w:trPr>
          <w:trHeight w:val="344"/>
        </w:trPr>
        <w:tc>
          <w:tcPr>
            <w:tcW w:w="4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5"/>
                <w:szCs w:val="15"/>
                <w:color w:val="auto"/>
              </w:rPr>
              <w:t>(Last)</w:t>
            </w:r>
          </w:p>
        </w:tc>
        <w:tc>
          <w:tcPr>
            <w:tcW w:w="1340" w:type="dxa"/>
            <w:vAlign w:val="bottom"/>
            <w:gridSpan w:val="2"/>
          </w:tcPr>
          <w:p>
            <w:pPr>
              <w:ind w:left="320"/>
              <w:spacing w:after="0"/>
              <w:rPr>
                <w:sz w:val="20"/>
                <w:szCs w:val="20"/>
                <w:color w:val="auto"/>
              </w:rPr>
            </w:pPr>
            <w:r>
              <w:rPr>
                <w:rFonts w:ascii="Arial" w:cs="Arial" w:eastAsia="Arial" w:hAnsi="Arial"/>
                <w:sz w:val="15"/>
                <w:szCs w:val="15"/>
                <w:color w:val="auto"/>
              </w:rPr>
              <w:t>(First)</w:t>
            </w:r>
          </w:p>
        </w:tc>
        <w:tc>
          <w:tcPr>
            <w:tcW w:w="740" w:type="dxa"/>
            <w:vAlign w:val="bottom"/>
          </w:tcPr>
          <w:p>
            <w:pPr>
              <w:ind w:left="20"/>
              <w:spacing w:after="0"/>
              <w:rPr>
                <w:sz w:val="20"/>
                <w:szCs w:val="20"/>
                <w:color w:val="auto"/>
              </w:rPr>
            </w:pPr>
            <w:r>
              <w:rPr>
                <w:rFonts w:ascii="Arial" w:cs="Arial" w:eastAsia="Arial" w:hAnsi="Arial"/>
                <w:sz w:val="15"/>
                <w:szCs w:val="15"/>
                <w:color w:val="auto"/>
              </w:rPr>
              <w:t>(Middle)</w:t>
            </w: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40" w:type="dxa"/>
            <w:vAlign w:val="bottom"/>
          </w:tcPr>
          <w:p>
            <w:pPr>
              <w:spacing w:after="0"/>
              <w:rPr>
                <w:sz w:val="24"/>
                <w:szCs w:val="24"/>
                <w:color w:val="auto"/>
              </w:rPr>
            </w:pPr>
          </w:p>
        </w:tc>
        <w:tc>
          <w:tcPr>
            <w:tcW w:w="2780" w:type="dxa"/>
            <w:vAlign w:val="bottom"/>
            <w:gridSpan w:val="4"/>
          </w:tcPr>
          <w:p>
            <w:pPr>
              <w:spacing w:after="0"/>
              <w:rPr>
                <w:sz w:val="20"/>
                <w:szCs w:val="20"/>
                <w:color w:val="auto"/>
              </w:rPr>
            </w:pPr>
            <w:r>
              <w:rPr>
                <w:rFonts w:ascii="Arial" w:cs="Arial" w:eastAsia="Arial" w:hAnsi="Arial"/>
                <w:sz w:val="20"/>
                <w:szCs w:val="20"/>
                <w:color w:val="0000FF"/>
              </w:rPr>
              <w:t>C/O BAKKT HOLDINGS, INC.</w:t>
            </w: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2" w:lineRule="exact"/>
        <w:rPr>
          <w:sz w:val="24"/>
          <w:szCs w:val="24"/>
          <w:color w:val="auto"/>
        </w:rPr>
      </w:pPr>
    </w:p>
    <w:p>
      <w:pPr>
        <w:ind w:left="140" w:right="2040"/>
        <w:spacing w:after="0" w:line="269" w:lineRule="auto"/>
        <w:rPr>
          <w:sz w:val="20"/>
          <w:szCs w:val="20"/>
          <w:color w:val="auto"/>
        </w:rPr>
      </w:pPr>
      <w:r>
        <w:rPr>
          <w:rFonts w:ascii="Arial" w:cs="Arial" w:eastAsia="Arial" w:hAnsi="Arial"/>
          <w:sz w:val="20"/>
          <w:szCs w:val="20"/>
          <w:color w:val="0000FF"/>
        </w:rPr>
        <w:t>5900 WINDWARD PARKWAY, SUITE 450</w:t>
      </w:r>
    </w:p>
    <w:p>
      <w:pPr>
        <w:spacing w:after="0" w:line="289"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940" w:type="dxa"/>
            <w:vAlign w:val="bottom"/>
          </w:tcPr>
          <w:p>
            <w:pPr>
              <w:spacing w:after="0"/>
              <w:rPr>
                <w:sz w:val="20"/>
                <w:szCs w:val="20"/>
                <w:color w:val="auto"/>
              </w:rPr>
            </w:pPr>
            <w:r>
              <w:rPr>
                <w:rFonts w:ascii="Arial" w:cs="Arial" w:eastAsia="Arial" w:hAnsi="Arial"/>
                <w:sz w:val="15"/>
                <w:szCs w:val="15"/>
                <w:color w:val="auto"/>
              </w:rPr>
              <w:t>(Street)</w:t>
            </w:r>
          </w:p>
        </w:tc>
        <w:tc>
          <w:tcPr>
            <w:tcW w:w="760" w:type="dxa"/>
            <w:vAlign w:val="bottom"/>
          </w:tcPr>
          <w:p>
            <w:pPr>
              <w:spacing w:after="0"/>
              <w:rPr>
                <w:sz w:val="15"/>
                <w:szCs w:val="15"/>
                <w:color w:val="auto"/>
              </w:rPr>
            </w:pPr>
          </w:p>
        </w:tc>
      </w:tr>
      <w:tr>
        <w:trPr>
          <w:trHeight w:val="269"/>
        </w:trPr>
        <w:tc>
          <w:tcPr>
            <w:tcW w:w="1940" w:type="dxa"/>
            <w:vAlign w:val="bottom"/>
          </w:tcPr>
          <w:p>
            <w:pPr>
              <w:ind w:left="40"/>
              <w:spacing w:after="0"/>
              <w:rPr>
                <w:sz w:val="20"/>
                <w:szCs w:val="20"/>
                <w:color w:val="auto"/>
              </w:rPr>
            </w:pPr>
            <w:r>
              <w:rPr>
                <w:rFonts w:ascii="Arial" w:cs="Arial" w:eastAsia="Arial" w:hAnsi="Arial"/>
                <w:sz w:val="20"/>
                <w:szCs w:val="20"/>
                <w:color w:val="0000FF"/>
              </w:rPr>
              <w:t>ALPHARETTA GA</w:t>
            </w:r>
          </w:p>
        </w:tc>
        <w:tc>
          <w:tcPr>
            <w:tcW w:w="760" w:type="dxa"/>
            <w:vAlign w:val="bottom"/>
          </w:tcPr>
          <w:p>
            <w:pPr>
              <w:jc w:val="right"/>
              <w:spacing w:after="0"/>
              <w:rPr>
                <w:sz w:val="20"/>
                <w:szCs w:val="20"/>
                <w:color w:val="auto"/>
              </w:rPr>
            </w:pPr>
            <w:r>
              <w:rPr>
                <w:rFonts w:ascii="Arial" w:cs="Arial" w:eastAsia="Arial" w:hAnsi="Arial"/>
                <w:sz w:val="20"/>
                <w:szCs w:val="20"/>
                <w:color w:val="0000FF"/>
              </w:rPr>
              <w:t>30005</w:t>
            </w: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Bakkt Holdings,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BKKT</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95"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2"/>
          </w:tcPr>
          <w:p>
            <w:pPr>
              <w:spacing w:after="0"/>
              <w:rPr>
                <w:sz w:val="20"/>
                <w:szCs w:val="20"/>
                <w:color w:val="auto"/>
              </w:rPr>
            </w:pPr>
            <w:r>
              <w:rPr>
                <w:rFonts w:ascii="Arial" w:cs="Arial" w:eastAsia="Arial" w:hAnsi="Arial"/>
                <w:sz w:val="15"/>
                <w:szCs w:val="15"/>
                <w:color w:val="auto"/>
              </w:rPr>
              <w:t>4. Relationship of Reporting Person(s) to</w:t>
            </w:r>
          </w:p>
        </w:tc>
        <w:tc>
          <w:tcPr>
            <w:tcW w:w="200" w:type="dxa"/>
            <w:vAlign w:val="bottom"/>
          </w:tcPr>
          <w:p>
            <w:pPr>
              <w:ind w:left="60"/>
              <w:spacing w:after="0"/>
              <w:rPr>
                <w:sz w:val="20"/>
                <w:szCs w:val="20"/>
                <w:color w:val="auto"/>
              </w:rPr>
            </w:pPr>
            <w:r>
              <w:rPr>
                <w:rFonts w:ascii="Arial" w:cs="Arial" w:eastAsia="Arial" w:hAnsi="Arial"/>
                <w:sz w:val="15"/>
                <w:szCs w:val="15"/>
                <w:color w:val="auto"/>
                <w:w w:val="95"/>
              </w:rPr>
              <w:t>5.</w:t>
            </w:r>
          </w:p>
        </w:tc>
        <w:tc>
          <w:tcPr>
            <w:tcW w:w="2520" w:type="dxa"/>
            <w:vAlign w:val="bottom"/>
            <w:gridSpan w:val="2"/>
          </w:tcPr>
          <w:p>
            <w:pPr>
              <w:ind w:left="40"/>
              <w:spacing w:after="0"/>
              <w:rPr>
                <w:sz w:val="20"/>
                <w:szCs w:val="20"/>
                <w:color w:val="auto"/>
              </w:rPr>
            </w:pPr>
            <w:r>
              <w:rPr>
                <w:rFonts w:ascii="Arial" w:cs="Arial" w:eastAsia="Arial" w:hAnsi="Arial"/>
                <w:sz w:val="15"/>
                <w:szCs w:val="15"/>
                <w:color w:val="auto"/>
              </w:rPr>
              <w:t>If Amendment, Date of Original</w:t>
            </w:r>
          </w:p>
        </w:tc>
        <w:tc>
          <w:tcPr>
            <w:tcW w:w="0" w:type="dxa"/>
            <w:vAlign w:val="bottom"/>
          </w:tcPr>
          <w:p>
            <w:pPr>
              <w:spacing w:after="0"/>
              <w:rPr>
                <w:sz w:val="1"/>
                <w:szCs w:val="1"/>
                <w:color w:val="auto"/>
              </w:rPr>
            </w:pPr>
          </w:p>
        </w:tc>
      </w:tr>
      <w:tr>
        <w:trPr>
          <w:trHeight w:val="165"/>
        </w:trPr>
        <w:tc>
          <w:tcPr>
            <w:tcW w:w="174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460" w:type="dxa"/>
            <w:vAlign w:val="bottom"/>
          </w:tcPr>
          <w:p>
            <w:pPr>
              <w:spacing w:after="0"/>
              <w:rPr>
                <w:sz w:val="14"/>
                <w:szCs w:val="14"/>
                <w:color w:val="auto"/>
              </w:rPr>
            </w:pPr>
          </w:p>
        </w:tc>
        <w:tc>
          <w:tcPr>
            <w:tcW w:w="2720" w:type="dxa"/>
            <w:vAlign w:val="bottom"/>
            <w:gridSpan w:val="3"/>
          </w:tcPr>
          <w:p>
            <w:pPr>
              <w:ind w:left="6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180"/>
        </w:trPr>
        <w:tc>
          <w:tcPr>
            <w:tcW w:w="1740" w:type="dxa"/>
            <w:vAlign w:val="bottom"/>
          </w:tcPr>
          <w:p>
            <w:pPr>
              <w:spacing w:after="0"/>
              <w:rPr>
                <w:sz w:val="20"/>
                <w:szCs w:val="20"/>
                <w:color w:val="auto"/>
              </w:rPr>
            </w:pPr>
            <w:r>
              <w:rPr>
                <w:rFonts w:ascii="Arial" w:cs="Arial" w:eastAsia="Arial" w:hAnsi="Arial"/>
                <w:sz w:val="15"/>
                <w:szCs w:val="15"/>
                <w:color w:val="auto"/>
              </w:rPr>
              <w:t>(Check all applicable)</w:t>
            </w: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1740" w:type="dxa"/>
            <w:vAlign w:val="bottom"/>
            <w:vMerge w:val="restart"/>
          </w:tcPr>
          <w:p>
            <w:pPr>
              <w:ind w:left="180"/>
              <w:spacing w:after="0"/>
              <w:rPr>
                <w:sz w:val="20"/>
                <w:szCs w:val="20"/>
                <w:color w:val="auto"/>
              </w:rPr>
            </w:pPr>
            <w:r>
              <w:rPr>
                <w:rFonts w:ascii="Arial" w:cs="Arial" w:eastAsia="Arial" w:hAnsi="Arial"/>
                <w:sz w:val="20"/>
                <w:szCs w:val="20"/>
                <w:color w:val="0000FF"/>
              </w:rPr>
              <w:t xml:space="preserve">X  </w:t>
            </w:r>
            <w:r>
              <w:rPr>
                <w:rFonts w:ascii="Arial" w:cs="Arial" w:eastAsia="Arial" w:hAnsi="Arial"/>
                <w:sz w:val="15"/>
                <w:szCs w:val="15"/>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10% Owner</w:t>
            </w: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7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5"/>
                <w:szCs w:val="15"/>
                <w:color w:val="auto"/>
                <w:w w:val="95"/>
              </w:rPr>
              <w:t>6.</w:t>
            </w:r>
          </w:p>
        </w:tc>
        <w:tc>
          <w:tcPr>
            <w:tcW w:w="2520" w:type="dxa"/>
            <w:vAlign w:val="bottom"/>
            <w:gridSpan w:val="2"/>
            <w:vMerge w:val="restart"/>
          </w:tcPr>
          <w:p>
            <w:pPr>
              <w:ind w:left="40"/>
              <w:spacing w:after="0"/>
              <w:rPr>
                <w:sz w:val="20"/>
                <w:szCs w:val="20"/>
                <w:color w:val="auto"/>
              </w:rPr>
            </w:pPr>
            <w:r>
              <w:rPr>
                <w:rFonts w:ascii="Arial" w:cs="Arial" w:eastAsia="Arial" w:hAnsi="Arial"/>
                <w:sz w:val="15"/>
                <w:szCs w:val="15"/>
                <w:color w:val="auto"/>
              </w:rPr>
              <w:t>Individual or Joint/Group Filing</w:t>
            </w:r>
          </w:p>
        </w:tc>
        <w:tc>
          <w:tcPr>
            <w:tcW w:w="0" w:type="dxa"/>
            <w:vAlign w:val="bottom"/>
          </w:tcPr>
          <w:p>
            <w:pPr>
              <w:spacing w:after="0"/>
              <w:rPr>
                <w:sz w:val="1"/>
                <w:szCs w:val="1"/>
                <w:color w:val="auto"/>
              </w:rPr>
            </w:pPr>
          </w:p>
        </w:tc>
      </w:tr>
      <w:tr>
        <w:trPr>
          <w:trHeight w:val="76"/>
        </w:trPr>
        <w:tc>
          <w:tcPr>
            <w:tcW w:w="1740" w:type="dxa"/>
            <w:vAlign w:val="bottom"/>
            <w:vMerge w:val="restart"/>
          </w:tcPr>
          <w:p>
            <w:pPr>
              <w:ind w:left="520"/>
              <w:spacing w:after="0"/>
              <w:rPr>
                <w:sz w:val="20"/>
                <w:szCs w:val="20"/>
                <w:color w:val="auto"/>
              </w:rPr>
            </w:pPr>
            <w:r>
              <w:rPr>
                <w:rFonts w:ascii="Arial" w:cs="Arial" w:eastAsia="Arial" w:hAnsi="Arial"/>
                <w:sz w:val="15"/>
                <w:szCs w:val="15"/>
                <w:color w:val="auto"/>
              </w:rPr>
              <w:t>Officer (give</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Other (specify</w:t>
            </w:r>
          </w:p>
        </w:tc>
        <w:tc>
          <w:tcPr>
            <w:tcW w:w="200" w:type="dxa"/>
            <w:vAlign w:val="bottom"/>
            <w:vMerge w:val="continue"/>
          </w:tcPr>
          <w:p>
            <w:pPr>
              <w:spacing w:after="0"/>
              <w:rPr>
                <w:sz w:val="6"/>
                <w:szCs w:val="6"/>
                <w:color w:val="auto"/>
              </w:rPr>
            </w:pPr>
          </w:p>
        </w:tc>
        <w:tc>
          <w:tcPr>
            <w:tcW w:w="25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1740" w:type="dxa"/>
            <w:vAlign w:val="bottom"/>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2720" w:type="dxa"/>
            <w:vAlign w:val="bottom"/>
            <w:gridSpan w:val="3"/>
          </w:tcPr>
          <w:p>
            <w:pPr>
              <w:ind w:left="60"/>
              <w:spacing w:after="0" w:line="150" w:lineRule="exact"/>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180"/>
        </w:trPr>
        <w:tc>
          <w:tcPr>
            <w:tcW w:w="1740" w:type="dxa"/>
            <w:vAlign w:val="bottom"/>
          </w:tcPr>
          <w:p>
            <w:pPr>
              <w:ind w:left="520"/>
              <w:spacing w:after="0"/>
              <w:rPr>
                <w:sz w:val="20"/>
                <w:szCs w:val="20"/>
                <w:color w:val="auto"/>
              </w:rPr>
            </w:pPr>
            <w:r>
              <w:rPr>
                <w:rFonts w:ascii="Arial" w:cs="Arial" w:eastAsia="Arial" w:hAnsi="Arial"/>
                <w:sz w:val="15"/>
                <w:szCs w:val="15"/>
                <w:color w:val="auto"/>
              </w:rPr>
              <w:t>title below)</w:t>
            </w:r>
          </w:p>
        </w:tc>
        <w:tc>
          <w:tcPr>
            <w:tcW w:w="1460" w:type="dxa"/>
            <w:vAlign w:val="bottom"/>
          </w:tcPr>
          <w:p>
            <w:pPr>
              <w:ind w:left="320"/>
              <w:spacing w:after="0"/>
              <w:rPr>
                <w:sz w:val="20"/>
                <w:szCs w:val="20"/>
                <w:color w:val="auto"/>
              </w:rPr>
            </w:pPr>
            <w:r>
              <w:rPr>
                <w:rFonts w:ascii="Arial" w:cs="Arial" w:eastAsia="Arial" w:hAnsi="Arial"/>
                <w:sz w:val="15"/>
                <w:szCs w:val="15"/>
                <w:color w:val="auto"/>
              </w:rPr>
              <w:t>below)</w:t>
            </w:r>
          </w:p>
        </w:tc>
        <w:tc>
          <w:tcPr>
            <w:tcW w:w="200" w:type="dxa"/>
            <w:vAlign w:val="bottom"/>
          </w:tcPr>
          <w:p>
            <w:pPr>
              <w:spacing w:after="0"/>
              <w:rPr>
                <w:sz w:val="15"/>
                <w:szCs w:val="15"/>
                <w:color w:val="auto"/>
              </w:rPr>
            </w:pPr>
          </w:p>
        </w:tc>
        <w:tc>
          <w:tcPr>
            <w:tcW w:w="240" w:type="dxa"/>
            <w:vAlign w:val="bottom"/>
            <w:vMerge w:val="restart"/>
          </w:tcPr>
          <w:p>
            <w:pPr>
              <w:ind w:left="20"/>
              <w:spacing w:after="0" w:line="225" w:lineRule="exact"/>
              <w:rPr>
                <w:sz w:val="20"/>
                <w:szCs w:val="20"/>
                <w:color w:val="auto"/>
              </w:rPr>
            </w:pPr>
            <w:r>
              <w:rPr>
                <w:rFonts w:ascii="Arial" w:cs="Arial" w:eastAsia="Arial" w:hAnsi="Arial"/>
                <w:sz w:val="20"/>
                <w:szCs w:val="20"/>
                <w:color w:val="0000FF"/>
              </w:rPr>
              <w:t>X</w:t>
            </w:r>
          </w:p>
        </w:tc>
        <w:tc>
          <w:tcPr>
            <w:tcW w:w="2280" w:type="dxa"/>
            <w:vAlign w:val="bottom"/>
            <w:vMerge w:val="restart"/>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45"/>
        </w:trPr>
        <w:tc>
          <w:tcPr>
            <w:tcW w:w="17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2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17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Form filed by More than One</w:t>
      </w:r>
    </w:p>
    <w:p>
      <w:pPr>
        <w:ind w:left="3720"/>
        <w:spacing w:after="0"/>
        <w:rPr>
          <w:sz w:val="20"/>
          <w:szCs w:val="20"/>
          <w:color w:val="auto"/>
        </w:rPr>
      </w:pPr>
      <w:r>
        <w:rPr>
          <w:rFonts w:ascii="Arial" w:cs="Arial" w:eastAsia="Arial" w:hAnsi="Arial"/>
          <w:sz w:val="15"/>
          <w:szCs w:val="15"/>
          <w:color w:val="auto"/>
        </w:rPr>
        <w:t>Reporting Person</w:t>
      </w:r>
    </w:p>
    <w:p>
      <w:pPr>
        <w:spacing w:after="0" w:line="251"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24 - Power of Attorney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6"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64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90"/>
              </w:rPr>
              <w:t>/s/ Marc D'Annunzio</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3080" w:type="dxa"/>
            <w:vAlign w:val="bottom"/>
            <w:gridSpan w:val="5"/>
          </w:tcPr>
          <w:p>
            <w:pPr>
              <w:spacing w:after="0" w:line="220" w:lineRule="exact"/>
              <w:rPr>
                <w:sz w:val="20"/>
                <w:szCs w:val="20"/>
                <w:color w:val="auto"/>
              </w:rPr>
            </w:pPr>
            <w:r>
              <w:rPr>
                <w:rFonts w:ascii="Arial" w:cs="Arial" w:eastAsia="Arial" w:hAnsi="Arial"/>
                <w:sz w:val="20"/>
                <w:szCs w:val="20"/>
                <w:color w:val="0000FF"/>
                <w:w w:val="91"/>
              </w:rPr>
              <w:t>Attorney-in-Fact for Sean  10/15/2021</w:t>
            </w: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220" w:type="dxa"/>
            <w:vAlign w:val="bottom"/>
            <w:tcBorders>
              <w:top w:val="single" w:sz="8" w:color="auto"/>
              <w:bottom w:val="single" w:sz="8" w:color="auto"/>
            </w:tcBorders>
          </w:tcPr>
          <w:p>
            <w:pPr>
              <w:spacing w:after="0" w:line="220" w:lineRule="exact"/>
              <w:rPr>
                <w:sz w:val="20"/>
                <w:szCs w:val="20"/>
                <w:color w:val="auto"/>
              </w:rPr>
            </w:pPr>
            <w:r>
              <w:rPr>
                <w:rFonts w:ascii="Arial" w:cs="Arial" w:eastAsia="Arial" w:hAnsi="Arial"/>
                <w:sz w:val="20"/>
                <w:szCs w:val="20"/>
                <w:color w:val="0000FF"/>
                <w:w w:val="88"/>
              </w:rPr>
              <w:t>Roberts Collins</w:t>
            </w:r>
          </w:p>
        </w:tc>
        <w:tc>
          <w:tcPr>
            <w:tcW w:w="780" w:type="dxa"/>
            <w:vAlign w:val="bottom"/>
            <w:tcBorders>
              <w:top w:val="single" w:sz="8" w:color="auto"/>
            </w:tcBorders>
            <w:gridSpan w:val="2"/>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6540" w:type="dxa"/>
            <w:vAlign w:val="bottom"/>
          </w:tcPr>
          <w:p>
            <w:pPr>
              <w:spacing w:after="0"/>
              <w:rPr>
                <w:sz w:val="21"/>
                <w:szCs w:val="21"/>
                <w:color w:val="auto"/>
              </w:rPr>
            </w:pPr>
          </w:p>
        </w:tc>
        <w:tc>
          <w:tcPr>
            <w:tcW w:w="200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18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00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18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00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54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54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1"/>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839"/>
        <w:spacing w:after="0" w:line="237" w:lineRule="auto"/>
        <w:rPr>
          <w:sz w:val="20"/>
          <w:szCs w:val="20"/>
          <w:color w:val="auto"/>
        </w:rPr>
      </w:pPr>
      <w:r>
        <w:rPr>
          <w:rFonts w:ascii="Courier New" w:cs="Courier New" w:eastAsia="Courier New" w:hAnsi="Courier New"/>
          <w:sz w:val="20"/>
          <w:szCs w:val="20"/>
          <w:color w:val="auto"/>
        </w:rPr>
        <w:t>The undersigned, as a Section 16 reporting person of Bakkt Holdings, Inc. (the Company), hereby constitutes and appoints Marc DAnnunzio, Andrew LaBenne, and William Costello, and each of them, as the undersigneds true and lawful attorney-in-fact to:</w:t>
      </w:r>
    </w:p>
    <w:p>
      <w:pPr>
        <w:spacing w:after="0" w:line="231" w:lineRule="exact"/>
        <w:rPr>
          <w:sz w:val="20"/>
          <w:szCs w:val="20"/>
          <w:color w:val="auto"/>
        </w:rPr>
      </w:pPr>
    </w:p>
    <w:p>
      <w:pPr>
        <w:ind w:right="619"/>
        <w:spacing w:after="0" w:line="268" w:lineRule="auto"/>
        <w:tabs>
          <w:tab w:leader="none" w:pos="937"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complete and execute Forms 3, 4 and 5 and other forms and all amendments thereto as such attorney-in-fact shall in his discretion determine to be required or advisable pursuant to Section 16 of the Securities Exchange Act of 1934 (as amended) and the rules and regulations promulgated thereunder, or any successor laws and regulations, as a consequence of the undersigneds ownership, acquisition or disposition of securities of the Company; and</w:t>
      </w:r>
    </w:p>
    <w:p>
      <w:pPr>
        <w:spacing w:after="0" w:line="209" w:lineRule="exact"/>
        <w:rPr>
          <w:rFonts w:ascii="Courier New" w:cs="Courier New" w:eastAsia="Courier New" w:hAnsi="Courier New"/>
          <w:sz w:val="18"/>
          <w:szCs w:val="18"/>
          <w:color w:val="auto"/>
        </w:rPr>
      </w:pPr>
    </w:p>
    <w:p>
      <w:pPr>
        <w:ind w:right="839"/>
        <w:spacing w:after="0" w:line="236" w:lineRule="auto"/>
        <w:tabs>
          <w:tab w:leader="none" w:pos="937" w:val="left"/>
        </w:tabs>
        <w:numPr>
          <w:ilvl w:val="0"/>
          <w:numId w:val="2"/>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all acts necessary in order to file such forms with the SEC, any securities exchange or national association, the Company and such other person or agency as the attorneys-in-fact shall deem appropriate.</w:t>
      </w:r>
    </w:p>
    <w:p>
      <w:pPr>
        <w:spacing w:after="0" w:line="232" w:lineRule="exact"/>
        <w:rPr>
          <w:sz w:val="20"/>
          <w:szCs w:val="20"/>
          <w:color w:val="auto"/>
        </w:rPr>
      </w:pPr>
    </w:p>
    <w:p>
      <w:pPr>
        <w:ind w:right="619"/>
        <w:spacing w:after="0" w:line="237" w:lineRule="auto"/>
        <w:rPr>
          <w:sz w:val="20"/>
          <w:szCs w:val="20"/>
          <w:color w:val="auto"/>
        </w:rPr>
      </w:pPr>
      <w:r>
        <w:rPr>
          <w:rFonts w:ascii="Courier New" w:cs="Courier New" w:eastAsia="Courier New" w:hAnsi="Courier New"/>
          <w:sz w:val="20"/>
          <w:szCs w:val="20"/>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33" w:lineRule="exact"/>
        <w:rPr>
          <w:sz w:val="20"/>
          <w:szCs w:val="20"/>
          <w:color w:val="auto"/>
        </w:rPr>
      </w:pPr>
    </w:p>
    <w:p>
      <w:pPr>
        <w:ind w:right="839"/>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Company and the foregoing attorneys-in-fact.</w:t>
      </w:r>
    </w:p>
    <w:p>
      <w:pPr>
        <w:spacing w:after="0" w:line="232" w:lineRule="exact"/>
        <w:rPr>
          <w:sz w:val="20"/>
          <w:szCs w:val="20"/>
          <w:color w:val="auto"/>
        </w:rPr>
      </w:pPr>
    </w:p>
    <w:p>
      <w:pPr>
        <w:ind w:right="1199"/>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23rd day of June, 2021.</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Signature: /s/Sean Roberts Collins</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Print Name: Sean Roberts Collins</w:t>
      </w:r>
    </w:p>
    <w:sectPr>
      <w:pgSz w:w="11900" w:h="16838" w:orient="portrait"/>
      <w:cols w:equalWidth="0" w:num="1">
        <w:col w:w="9979"/>
      </w:cols>
      <w:pgMar w:left="4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873512" TargetMode="External"/><Relationship Id="rId11" Type="http://schemas.openxmlformats.org/officeDocument/2006/relationships/hyperlink" Target="http://www.sec.gov/cgi-bin/browse-edgar?action=getcompany&amp;CIK=00018203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2021-10-15T15:45:55Z</dcterms:created>
  <dcterms:modified xsi:type="dcterms:W3CDTF">2021-10-15T15:45:55Z</dcterms:modified>
</cp:coreProperties>
</file>