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960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96062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Baes Nicholas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BAKKT HOLDINGS,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LIBERTY ST FL 3 STE 305-306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Bakkt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BKKT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10/31/2025</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700" w:type="dxa"/>
            <w:vAlign w:val="bottom"/>
            <w:gridSpan w:val="8"/>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NY</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10006</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82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1"/>
                <w:szCs w:val="11"/>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20"/>
              <w:spacing w:after="0"/>
              <w:rPr>
                <w:sz w:val="20"/>
                <w:szCs w:val="20"/>
                <w:color w:val="auto"/>
              </w:rPr>
            </w:pPr>
            <w:r>
              <w:rPr>
                <w:rFonts w:ascii="Times New Roman" w:cs="Times New Roman" w:eastAsia="Times New Roman" w:hAnsi="Times New Roman"/>
                <w:sz w:val="17"/>
                <w:szCs w:val="17"/>
                <w:color w:val="0000FF"/>
              </w:rPr>
              <w:t>105,472</w:t>
            </w:r>
            <w:r>
              <w:rPr>
                <w:rFonts w:ascii="Times New Roman" w:cs="Times New Roman" w:eastAsia="Times New Roman" w:hAnsi="Times New Roman"/>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7"/>
              </w:rPr>
              <w:t>Expiration Date</w:t>
            </w:r>
          </w:p>
        </w:tc>
        <w:tc>
          <w:tcPr>
            <w:tcW w:w="5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color w:val="008000"/>
              </w:rPr>
              <w:t>(2)(3)(4)</w:t>
            </w:r>
          </w:p>
        </w:tc>
        <w:tc>
          <w:tcPr>
            <w:tcW w:w="140" w:type="dxa"/>
            <w:vAlign w:val="bottom"/>
          </w:tcPr>
          <w:p>
            <w:pPr>
              <w:spacing w:after="0"/>
              <w:rPr>
                <w:sz w:val="5"/>
                <w:szCs w:val="5"/>
                <w:color w:val="auto"/>
              </w:rPr>
            </w:pP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008000"/>
              </w:rPr>
              <w:t>(2)(3)(4)</w:t>
            </w:r>
          </w:p>
        </w:tc>
        <w:tc>
          <w:tcPr>
            <w:tcW w:w="680" w:type="dxa"/>
            <w:vAlign w:val="bottom"/>
            <w:vMerge w:val="continue"/>
          </w:tcPr>
          <w:p>
            <w:pPr>
              <w:spacing w:after="0"/>
              <w:rPr>
                <w:sz w:val="5"/>
                <w:szCs w:val="5"/>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53,691</w:t>
            </w: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w:t>
            </w:r>
          </w:p>
        </w:tc>
        <w:tc>
          <w:tcPr>
            <w:tcW w:w="140" w:type="dxa"/>
            <w:vAlign w:val="bottom"/>
          </w:tcPr>
          <w:p>
            <w:pPr>
              <w:spacing w:after="0"/>
              <w:rPr>
                <w:sz w:val="6"/>
                <w:szCs w:val="6"/>
                <w:color w:val="auto"/>
              </w:rPr>
            </w:pPr>
          </w:p>
        </w:tc>
        <w:tc>
          <w:tcPr>
            <w:tcW w:w="1040" w:type="dxa"/>
            <w:vAlign w:val="bottom"/>
            <w:vMerge w:val="restart"/>
          </w:tcPr>
          <w:p>
            <w:pPr>
              <w:ind w:left="260"/>
              <w:spacing w:after="0" w:line="142" w:lineRule="exact"/>
              <w:rPr>
                <w:sz w:val="20"/>
                <w:szCs w:val="20"/>
                <w:color w:val="auto"/>
              </w:rPr>
            </w:pPr>
            <w:r>
              <w:rPr>
                <w:rFonts w:ascii="Times New Roman" w:cs="Times New Roman" w:eastAsia="Times New Roman" w:hAnsi="Times New Roman"/>
                <w:sz w:val="13"/>
                <w:szCs w:val="13"/>
                <w:color w:val="0000FF"/>
              </w:rPr>
              <w:t>10/31/2025</w:t>
            </w: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53,691</w:t>
            </w: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53,691</w:t>
            </w:r>
          </w:p>
        </w:tc>
        <w:tc>
          <w:tcPr>
            <w:tcW w:w="28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-2102485</wp:posOffset>
            </wp:positionV>
            <wp:extent cx="29210" cy="2107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075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96,143 shares of Class A Common Stock subject to RSUs that remain subject to vesting.</w:t>
      </w:r>
    </w:p>
    <w:p>
      <w:pPr>
        <w:spacing w:after="0" w:line="44" w:lineRule="exact"/>
        <w:rPr>
          <w:rFonts w:ascii="Times New Roman" w:cs="Times New Roman" w:eastAsia="Times New Roman" w:hAnsi="Times New Roman"/>
          <w:sz w:val="13"/>
          <w:szCs w:val="13"/>
          <w:color w:val="008000"/>
        </w:rPr>
      </w:pPr>
    </w:p>
    <w:p>
      <w:pPr>
        <w:ind w:left="40" w:right="340" w:firstLine="2"/>
        <w:spacing w:after="0" w:line="23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stock options to purchase shares of the Issuer's Class A Common Stock ("Options") granted on July 29, 2025, contingent on the Issuer's shareholder approval, which was obtained on October 31, 2025. The Options are a commitment by the grantee to exercise a predetermined number of Options every quarter for eight quarters (the "Committed Options") at an exercise price per share equal to $10,00, which reflects the fair market value of a share of Class A Common Stock on the grant date. If the reporting person does not exercise the Committed Options in any quarter, then all remaining Options are forfeited. One-eighth of the Options will become exercisable each quarter (each, a "Quarterly Tranche"). [Continued to footnote 3]</w:t>
      </w:r>
    </w:p>
    <w:p>
      <w:pPr>
        <w:spacing w:after="0" w:line="26" w:lineRule="exact"/>
        <w:rPr>
          <w:rFonts w:ascii="Times New Roman" w:cs="Times New Roman" w:eastAsia="Times New Roman" w:hAnsi="Times New Roman"/>
          <w:sz w:val="13"/>
          <w:szCs w:val="13"/>
          <w:color w:val="008000"/>
        </w:rPr>
      </w:pPr>
    </w:p>
    <w:p>
      <w:pPr>
        <w:ind w:left="40" w:right="320" w:firstLine="2"/>
        <w:spacing w:after="0" w:line="255"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2] The Committed Options will be exercisable over a two-day period in the applicable quarter (the "Exercise Period"); provided that if the Exercise Period for a Quarterly Tranche occurs during a blackout period, then such Exercise Period shall instead be the next quarterly Exercise Period. If the reporting person exercises the Committed Option portion, the remainder of that Quarterly Tranche (the "Optional Exercise Options") will become exercisable for a period of one year. The Optional Exercise Option portion of any Quarterly Tranche will expire at the end of such one-year period.</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[Continued to footnote 4]</w:t>
      </w:r>
    </w:p>
    <w:p>
      <w:pPr>
        <w:spacing w:after="0" w:line="30" w:lineRule="exact"/>
        <w:rPr>
          <w:rFonts w:ascii="Times New Roman" w:cs="Times New Roman" w:eastAsia="Times New Roman" w:hAnsi="Times New Roman"/>
          <w:sz w:val="12"/>
          <w:szCs w:val="12"/>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3] Notwithstanding the foregoing exercise schedule, following the first quarter after stockholder approval of the Options, any portion of the Options may be exercised earlier than the applicable quarter, provided that shares of Class A Common Stock acquired on exercise of the Optional Exercise Options will be subject to a lock-up period so that the shares acquired on exercise may not be sold or transferred until the originally-scheduled exercise date.</w:t>
      </w:r>
    </w:p>
    <w:p>
      <w:pPr>
        <w:spacing w:after="0" w:line="1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Paul Simmons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11/04/2025</w:t>
            </w:r>
          </w:p>
        </w:tc>
        <w:tc>
          <w:tcPr>
            <w:tcW w:w="0" w:type="dxa"/>
            <w:vAlign w:val="bottom"/>
          </w:tcPr>
          <w:p>
            <w:pPr>
              <w:spacing w:after="0"/>
              <w:rPr>
                <w:sz w:val="1"/>
                <w:szCs w:val="1"/>
                <w:color w:val="auto"/>
              </w:rPr>
            </w:pPr>
          </w:p>
        </w:tc>
      </w:tr>
      <w:tr>
        <w:trPr>
          <w:trHeight w:val="88"/>
        </w:trPr>
        <w:tc>
          <w:tcPr>
            <w:tcW w:w="154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Fact for Nicholas Baes</w:t>
            </w:r>
          </w:p>
        </w:tc>
        <w:tc>
          <w:tcPr>
            <w:tcW w:w="6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4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3681" TargetMode="External"/><Relationship Id="rId14"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2025-11-04T18:38:52Z</dcterms:created>
  <dcterms:modified xsi:type="dcterms:W3CDTF">2025-11-04T18:38:52Z</dcterms:modified>
</cp:coreProperties>
</file>