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ALFRED MICHAEL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80" w:type="dxa"/>
            <w:vAlign w:val="bottom"/>
            <w:tcBorders>
              <w:top w:val="single" w:sz="8" w:color="0000EE"/>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Bakkt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BKKT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1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BAKKT HOLDINGS, INC.</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 LIBERTY ST FL 3 STE 305-306</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0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10006</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2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4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rPr>
          <w:sz w:val="20"/>
          <w:szCs w:val="20"/>
          <w:color w:val="auto"/>
        </w:rPr>
      </w:pPr>
      <w:r>
        <w:rPr>
          <w:rFonts w:ascii="Times New Roman" w:cs="Times New Roman" w:eastAsia="Times New Roman" w:hAnsi="Times New Roman"/>
          <w:sz w:val="20"/>
          <w:szCs w:val="20"/>
          <w:color w:val="0000FF"/>
        </w:rPr>
        <w:t>09/26/2025</w:t>
      </w:r>
    </w:p>
    <w:p>
      <w:pPr>
        <w:spacing w:after="0" w:line="36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579"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jc w:val="center"/>
              <w:ind w:right="237"/>
              <w:spacing w:after="0"/>
              <w:rPr>
                <w:sz w:val="20"/>
                <w:szCs w:val="20"/>
                <w:color w:val="auto"/>
              </w:rPr>
            </w:pPr>
            <w:r>
              <w:rPr>
                <w:rFonts w:ascii="Times New Roman" w:cs="Times New Roman" w:eastAsia="Times New Roman" w:hAnsi="Times New Roman"/>
                <w:sz w:val="20"/>
                <w:szCs w:val="20"/>
                <w:color w:val="0000FF"/>
              </w:rPr>
              <w:t>19,337</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jc w:val="right"/>
              <w:ind w:right="337"/>
              <w:spacing w:after="0"/>
              <w:rPr>
                <w:sz w:val="20"/>
                <w:szCs w:val="20"/>
                <w:color w:val="auto"/>
              </w:rPr>
            </w:pPr>
            <w:r>
              <w:rPr>
                <w:rFonts w:ascii="Times New Roman" w:cs="Times New Roman" w:eastAsia="Times New Roman" w:hAnsi="Times New Roman"/>
                <w:sz w:val="20"/>
                <w:szCs w:val="20"/>
                <w:color w:val="0000FF"/>
              </w:rPr>
              <w:t>40,000</w:t>
            </w:r>
          </w:p>
        </w:tc>
        <w:tc>
          <w:tcPr>
            <w:tcW w:w="104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20"/>
                <w:szCs w:val="20"/>
                <w:color w:val="0000FF"/>
              </w:rPr>
              <w:t>I</w:t>
            </w:r>
          </w:p>
        </w:tc>
        <w:tc>
          <w:tcPr>
            <w:tcW w:w="3360" w:type="dxa"/>
            <w:vAlign w:val="bottom"/>
            <w:tcBorders>
              <w:bottom w:val="single" w:sz="8" w:color="2C2C2C"/>
            </w:tcBorders>
            <w:gridSpan w:val="4"/>
          </w:tcPr>
          <w:p>
            <w:pPr>
              <w:ind w:left="580"/>
              <w:spacing w:after="0"/>
              <w:rPr>
                <w:sz w:val="20"/>
                <w:szCs w:val="20"/>
                <w:color w:val="auto"/>
              </w:rPr>
            </w:pPr>
            <w:r>
              <w:rPr>
                <w:rFonts w:ascii="Times New Roman" w:cs="Times New Roman" w:eastAsia="Times New Roman" w:hAnsi="Times New Roman"/>
                <w:sz w:val="20"/>
                <w:szCs w:val="20"/>
                <w:color w:val="0000FF"/>
              </w:rPr>
              <w:t>By Alpine Fox LP</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restricted stock units ("RSUs"). Each RSU represents a contingent right to receive one share of the issuer's Class A Common Stock. 100% of the RSUs shall vest on June 17, 2026, provided that the reporting person continues to provide service to the issuer through such date.</w:t>
      </w:r>
    </w:p>
    <w:p>
      <w:pPr>
        <w:spacing w:after="0" w:line="17" w:lineRule="exact"/>
        <w:rPr>
          <w:rFonts w:ascii="Times New Roman" w:cs="Times New Roman" w:eastAsia="Times New Roman" w:hAnsi="Times New Roman"/>
          <w:sz w:val="15"/>
          <w:szCs w:val="15"/>
          <w:color w:val="008000"/>
        </w:rPr>
      </w:pPr>
    </w:p>
    <w:p>
      <w:pPr>
        <w:ind w:left="40" w:right="3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shares of the issuer's Class A Common Stock held through Alpine Fox LP, over which the reporting person has control. The reporting person disclaims beneficial ownership of the shares except to the extent of his pecuniary interest therein.</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Paul Simmons</w:t>
            </w:r>
          </w:p>
        </w:tc>
        <w:tc>
          <w:tcPr>
            <w:tcW w:w="82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09/29/2025</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6"/>
              </w:rPr>
              <w:t>Michael Alfred</w:t>
            </w:r>
          </w:p>
        </w:tc>
        <w:tc>
          <w:tcPr>
            <w:tcW w:w="380" w:type="dxa"/>
            <w:vAlign w:val="bottom"/>
            <w:tcBorders>
              <w:top w:val="single" w:sz="8" w:color="auto"/>
            </w:tcBorders>
            <w:gridSpan w:val="2"/>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16739"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2025-09-29T16:56:41Z</dcterms:created>
  <dcterms:modified xsi:type="dcterms:W3CDTF">2025-09-29T16:56:41Z</dcterms:modified>
</cp:coreProperties>
</file>