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83820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left="88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jc w:val="center"/>
        <w:ind w:left="8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lef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3440"/>
        <w:spacing w:after="0"/>
        <w:rPr>
          <w:sz w:val="20"/>
          <w:szCs w:val="20"/>
          <w:color w:val="auto"/>
        </w:rPr>
      </w:pPr>
      <w:r>
        <w:rPr>
          <w:rFonts w:ascii="Arial" w:cs="Arial" w:eastAsia="Arial" w:hAnsi="Arial"/>
          <w:sz w:val="22"/>
          <w:szCs w:val="22"/>
          <w:b w:val="1"/>
          <w:bCs w:val="1"/>
          <w:color w:val="auto"/>
        </w:rPr>
        <w:t>CURRENT REPORT</w:t>
      </w:r>
    </w:p>
    <w:p>
      <w:pPr>
        <w:jc w:val="center"/>
        <w:ind w:right="3440"/>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440"/>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2" w:lineRule="exact"/>
        <w:rPr>
          <w:sz w:val="24"/>
          <w:szCs w:val="24"/>
          <w:color w:val="auto"/>
        </w:rPr>
      </w:pPr>
    </w:p>
    <w:p>
      <w:pPr>
        <w:jc w:val="center"/>
        <w:ind w:right="3440"/>
        <w:spacing w:after="0"/>
        <w:rPr>
          <w:sz w:val="20"/>
          <w:szCs w:val="20"/>
          <w:color w:val="auto"/>
        </w:rPr>
      </w:pPr>
      <w:r>
        <w:rPr>
          <w:rFonts w:ascii="Arial" w:cs="Arial" w:eastAsia="Arial" w:hAnsi="Arial"/>
          <w:sz w:val="22"/>
          <w:szCs w:val="22"/>
          <w:b w:val="1"/>
          <w:bCs w:val="1"/>
          <w:color w:val="auto"/>
        </w:rPr>
        <w:t>November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Arial" w:cs="Arial" w:eastAsia="Arial" w:hAnsi="Arial"/>
          <w:sz w:val="36"/>
          <w:szCs w:val="36"/>
          <w:b w:val="1"/>
          <w:bCs w:val="1"/>
          <w:color w:val="auto"/>
        </w:rPr>
        <w:t>Bakkt Holdings, Inc.</w:t>
      </w:r>
    </w:p>
    <w:p>
      <w:pPr>
        <w:ind w:left="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6" w:lineRule="exact"/>
        <w:rPr>
          <w:sz w:val="24"/>
          <w:szCs w:val="24"/>
          <w:color w:val="auto"/>
        </w:rPr>
      </w:pPr>
    </w:p>
    <w:tbl>
      <w:tblPr>
        <w:tblLayout w:type="fixed"/>
        <w:tblInd w:w="1760" w:type="dxa"/>
        <w:tblCellMar>
          <w:top w:w="0" w:type="dxa"/>
          <w:left w:w="0" w:type="dxa"/>
          <w:bottom w:w="0" w:type="dxa"/>
          <w:right w:w="0" w:type="dxa"/>
        </w:tblCellMar>
      </w:tblPr>
      <w:tr>
        <w:trPr>
          <w:trHeight w:val="2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001-39544</w:t>
            </w:r>
          </w:p>
        </w:tc>
        <w:tc>
          <w:tcPr>
            <w:tcW w:w="2560" w:type="dxa"/>
            <w:vAlign w:val="bottom"/>
          </w:tcPr>
          <w:p>
            <w:pPr>
              <w:jc w:val="center"/>
              <w:ind w:left="1362"/>
              <w:spacing w:after="0"/>
              <w:rPr>
                <w:sz w:val="20"/>
                <w:szCs w:val="20"/>
                <w:color w:val="auto"/>
              </w:rPr>
            </w:pPr>
            <w:r>
              <w:rPr>
                <w:rFonts w:ascii="Arial" w:cs="Arial" w:eastAsia="Arial" w:hAnsi="Arial"/>
                <w:sz w:val="18"/>
                <w:szCs w:val="18"/>
                <w:b w:val="1"/>
                <w:bCs w:val="1"/>
                <w:color w:val="auto"/>
                <w:w w:val="91"/>
              </w:rPr>
              <w:t>98-1550750</w:t>
            </w:r>
          </w:p>
        </w:tc>
      </w:tr>
      <w:tr>
        <w:trPr>
          <w:trHeight w:val="180"/>
        </w:trPr>
        <w:tc>
          <w:tcPr>
            <w:tcW w:w="2240" w:type="dxa"/>
            <w:vAlign w:val="bottom"/>
          </w:tcPr>
          <w:p>
            <w:pPr>
              <w:spacing w:after="0"/>
              <w:rPr>
                <w:sz w:val="20"/>
                <w:szCs w:val="20"/>
                <w:color w:val="auto"/>
              </w:rPr>
            </w:pPr>
            <w:r>
              <w:rPr>
                <w:rFonts w:ascii="Arial" w:cs="Arial" w:eastAsia="Arial" w:hAnsi="Arial"/>
                <w:sz w:val="14"/>
                <w:szCs w:val="14"/>
                <w:b w:val="1"/>
                <w:bCs w:val="1"/>
                <w:color w:val="auto"/>
              </w:rPr>
              <w:t>(Commission</w:t>
            </w:r>
          </w:p>
        </w:tc>
        <w:tc>
          <w:tcPr>
            <w:tcW w:w="2560" w:type="dxa"/>
            <w:vAlign w:val="bottom"/>
          </w:tcPr>
          <w:p>
            <w:pPr>
              <w:jc w:val="center"/>
              <w:ind w:left="13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2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51"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Arial" w:cs="Arial" w:eastAsia="Arial" w:hAnsi="Arial"/>
                <w:sz w:val="18"/>
                <w:szCs w:val="18"/>
                <w:b w:val="1"/>
                <w:bCs w:val="1"/>
                <w:color w:val="auto"/>
                <w:w w:val="89"/>
              </w:rPr>
              <w:t>10000 Avalon Boulevard, Suite 1000,</w:t>
            </w:r>
          </w:p>
        </w:tc>
        <w:tc>
          <w:tcPr>
            <w:tcW w:w="266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30009</w:t>
            </w:r>
          </w:p>
        </w:tc>
        <w:tc>
          <w:tcPr>
            <w:tcW w:w="0" w:type="dxa"/>
            <w:vAlign w:val="bottom"/>
          </w:tcPr>
          <w:p>
            <w:pPr>
              <w:spacing w:after="0"/>
              <w:rPr>
                <w:sz w:val="1"/>
                <w:szCs w:val="1"/>
                <w:color w:val="auto"/>
              </w:rPr>
            </w:pPr>
          </w:p>
        </w:tc>
      </w:tr>
      <w:tr>
        <w:trPr>
          <w:trHeight w:val="140"/>
        </w:trPr>
        <w:tc>
          <w:tcPr>
            <w:tcW w:w="4800" w:type="dxa"/>
            <w:vAlign w:val="bottom"/>
            <w:vMerge w:val="restart"/>
          </w:tcPr>
          <w:p>
            <w:pPr>
              <w:jc w:val="center"/>
              <w:ind w:right="1936"/>
              <w:spacing w:after="0"/>
              <w:rPr>
                <w:sz w:val="20"/>
                <w:szCs w:val="20"/>
                <w:color w:val="auto"/>
              </w:rPr>
            </w:pPr>
            <w:r>
              <w:rPr>
                <w:rFonts w:ascii="Arial" w:cs="Arial" w:eastAsia="Arial" w:hAnsi="Arial"/>
                <w:sz w:val="18"/>
                <w:szCs w:val="18"/>
                <w:b w:val="1"/>
                <w:bCs w:val="1"/>
                <w:color w:val="auto"/>
                <w:w w:val="92"/>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800" w:type="dxa"/>
            <w:vAlign w:val="bottom"/>
          </w:tcPr>
          <w:p>
            <w:pPr>
              <w:jc w:val="center"/>
              <w:ind w:right="193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60" w:type="dxa"/>
            <w:vAlign w:val="bottom"/>
          </w:tcPr>
          <w:p>
            <w:pPr>
              <w:jc w:val="center"/>
              <w:ind w:left="19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188595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5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Arial" w:cs="Arial" w:eastAsia="Arial" w:hAnsi="Arial"/>
                <w:sz w:val="14"/>
                <w:szCs w:val="14"/>
                <w:b w:val="1"/>
                <w:bCs w:val="1"/>
                <w:color w:val="auto"/>
                <w:w w:val="92"/>
              </w:rPr>
              <w:t>Trading Symbol(s)</w:t>
            </w:r>
          </w:p>
        </w:tc>
        <w:tc>
          <w:tcPr>
            <w:tcW w:w="348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18"/>
        </w:trPr>
        <w:tc>
          <w:tcPr>
            <w:tcW w:w="5520" w:type="dxa"/>
            <w:vAlign w:val="bottom"/>
          </w:tcPr>
          <w:p>
            <w:pPr>
              <w:jc w:val="center"/>
              <w:ind w:left="176"/>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2240" w:type="dxa"/>
            <w:vAlign w:val="bottom"/>
          </w:tcPr>
          <w:p>
            <w:pPr>
              <w:jc w:val="center"/>
              <w:ind w:left="36"/>
              <w:spacing w:after="0"/>
              <w:rPr>
                <w:sz w:val="20"/>
                <w:szCs w:val="20"/>
                <w:color w:val="auto"/>
              </w:rPr>
            </w:pPr>
            <w:r>
              <w:rPr>
                <w:rFonts w:ascii="Arial" w:cs="Arial" w:eastAsia="Arial" w:hAnsi="Arial"/>
                <w:sz w:val="18"/>
                <w:szCs w:val="18"/>
                <w:b w:val="1"/>
                <w:bCs w:val="1"/>
                <w:color w:val="auto"/>
              </w:rPr>
              <w:t>BKKT</w:t>
            </w:r>
          </w:p>
        </w:tc>
        <w:tc>
          <w:tcPr>
            <w:tcW w:w="34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4"/>
        </w:trPr>
        <w:tc>
          <w:tcPr>
            <w:tcW w:w="5520" w:type="dxa"/>
            <w:vAlign w:val="bottom"/>
          </w:tcPr>
          <w:p>
            <w:pPr>
              <w:jc w:val="center"/>
              <w:ind w:left="176"/>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2240" w:type="dxa"/>
            <w:vAlign w:val="bottom"/>
          </w:tcPr>
          <w:p>
            <w:pPr>
              <w:jc w:val="center"/>
              <w:ind w:left="36"/>
              <w:spacing w:after="0"/>
              <w:rPr>
                <w:sz w:val="20"/>
                <w:szCs w:val="20"/>
                <w:color w:val="auto"/>
              </w:rPr>
            </w:pPr>
            <w:r>
              <w:rPr>
                <w:rFonts w:ascii="Arial" w:cs="Arial" w:eastAsia="Arial" w:hAnsi="Arial"/>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ind w:right="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6"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1169670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50800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November 14, 2023, Bakkt Holdings, Inc. (the “Company”) issued a press release regarding the Company’s results for the quarter ended September 30, 2023. A copy of the press release is attached hereto as Exhibit 99.1 and incorporated herein by reference.</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Exhibit No.</w:t>
            </w:r>
          </w:p>
        </w:tc>
        <w:tc>
          <w:tcPr>
            <w:tcW w:w="9000" w:type="dxa"/>
            <w:vAlign w:val="bottom"/>
            <w:tcBorders>
              <w:bottom w:val="single" w:sz="8" w:color="auto"/>
            </w:tcBorders>
            <w:gridSpan w:val="2"/>
          </w:tcPr>
          <w:p>
            <w:pPr>
              <w:ind w:left="406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183"/>
        </w:trPr>
        <w:tc>
          <w:tcPr>
            <w:tcW w:w="2220" w:type="dxa"/>
            <w:vAlign w:val="bottom"/>
            <w:gridSpan w:val="2"/>
          </w:tcPr>
          <w:p>
            <w:pPr>
              <w:jc w:val="right"/>
              <w:ind w:right="770"/>
              <w:spacing w:after="0" w:line="169" w:lineRule="exact"/>
              <w:rPr>
                <w:sz w:val="20"/>
                <w:szCs w:val="20"/>
                <w:color w:val="auto"/>
              </w:rPr>
            </w:pPr>
            <w:r>
              <w:rPr>
                <w:rFonts w:ascii="Arial" w:cs="Arial" w:eastAsia="Arial" w:hAnsi="Arial"/>
                <w:sz w:val="18"/>
                <w:szCs w:val="18"/>
                <w:color w:val="auto"/>
              </w:rPr>
              <w:t>99.1</w:t>
            </w:r>
          </w:p>
        </w:tc>
        <w:tc>
          <w:tcPr>
            <w:tcW w:w="9000" w:type="dxa"/>
            <w:vAlign w:val="bottom"/>
            <w:gridSpan w:val="2"/>
          </w:tcPr>
          <w:p>
            <w:pPr>
              <w:spacing w:after="0" w:line="169" w:lineRule="exact"/>
              <w:rPr>
                <w:sz w:val="20"/>
                <w:szCs w:val="20"/>
                <w:color w:val="auto"/>
              </w:rPr>
            </w:pPr>
            <w:r>
              <w:rPr>
                <w:rFonts w:ascii="Arial" w:cs="Arial" w:eastAsia="Arial" w:hAnsi="Arial"/>
                <w:sz w:val="18"/>
                <w:szCs w:val="18"/>
                <w:color w:val="0000FF"/>
              </w:rPr>
              <w:t>Press release issued by Bakkt Holdings, Inc. on November 14, 2023</w:t>
            </w:r>
          </w:p>
        </w:tc>
        <w:tc>
          <w:tcPr>
            <w:tcW w:w="20" w:type="dxa"/>
            <w:vAlign w:val="bottom"/>
          </w:tcPr>
          <w:p>
            <w:pPr>
              <w:spacing w:after="0"/>
              <w:rPr>
                <w:sz w:val="15"/>
                <w:szCs w:val="15"/>
                <w:color w:val="auto"/>
              </w:rPr>
            </w:pPr>
          </w:p>
        </w:tc>
      </w:tr>
      <w:tr>
        <w:trPr>
          <w:trHeight w:val="20"/>
        </w:trPr>
        <w:tc>
          <w:tcPr>
            <w:tcW w:w="2220" w:type="dxa"/>
            <w:vAlign w:val="bottom"/>
            <w:gridSpan w:val="2"/>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r>
      <w:tr>
        <w:trPr>
          <w:trHeight w:val="277"/>
        </w:trPr>
        <w:tc>
          <w:tcPr>
            <w:tcW w:w="2220" w:type="dxa"/>
            <w:vAlign w:val="bottom"/>
            <w:gridSpan w:val="2"/>
          </w:tcPr>
          <w:p>
            <w:pPr>
              <w:jc w:val="right"/>
              <w:ind w:right="790"/>
              <w:spacing w:after="0"/>
              <w:rPr>
                <w:sz w:val="20"/>
                <w:szCs w:val="20"/>
                <w:color w:val="auto"/>
              </w:rPr>
            </w:pPr>
            <w:r>
              <w:rPr>
                <w:rFonts w:ascii="Arial" w:cs="Arial" w:eastAsia="Arial" w:hAnsi="Arial"/>
                <w:sz w:val="18"/>
                <w:szCs w:val="18"/>
                <w:color w:val="auto"/>
              </w:rPr>
              <w:t>104</w:t>
            </w:r>
          </w:p>
        </w:tc>
        <w:tc>
          <w:tcPr>
            <w:tcW w:w="90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92"/>
        </w:trPr>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2023</w:t>
      </w:r>
    </w:p>
    <w:p>
      <w:pPr>
        <w:spacing w:after="0" w:line="262"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D’Annunzio</w:t>
      </w:r>
    </w:p>
    <w:p>
      <w:pPr>
        <w:spacing w:after="0" w:line="23" w:lineRule="exact"/>
        <w:rPr>
          <w:sz w:val="20"/>
          <w:szCs w:val="20"/>
          <w:color w:val="auto"/>
        </w:rPr>
      </w:pPr>
    </w:p>
    <w:p>
      <w:pPr>
        <w:ind w:left="6240"/>
        <w:spacing w:after="0"/>
        <w:tabs>
          <w:tab w:leader="none" w:pos="7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 and Secretary</w:t>
      </w:r>
    </w:p>
    <w:p>
      <w:pPr>
        <w:sectPr>
          <w:pgSz w:w="11900" w:h="16838" w:orient="portrait"/>
          <w:cols w:equalWidth="0" w:num="1">
            <w:col w:w="11240"/>
          </w:cols>
          <w:pgMar w:left="320" w:top="14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32385</wp:posOffset>
            </wp:positionV>
            <wp:extent cx="1028700"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Bakkt Reports Third Quarter 2023 Results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Gross crypto services revenues of $191.8 million and associated crypto costs and executon, clearing and brokerage fees of $190.1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Total revenues of $204.8 million include gross crypto revenues and net loyalty revenues</w:t>
      </w:r>
    </w:p>
    <w:p>
      <w:pPr>
        <w:spacing w:after="0" w:line="162" w:lineRule="exact"/>
        <w:rPr>
          <w:sz w:val="20"/>
          <w:szCs w:val="20"/>
          <w:color w:val="auto"/>
        </w:rPr>
      </w:pPr>
    </w:p>
    <w:p>
      <w:pPr>
        <w:jc w:val="center"/>
        <w:spacing w:after="0" w:line="264" w:lineRule="auto"/>
        <w:rPr>
          <w:sz w:val="20"/>
          <w:szCs w:val="20"/>
          <w:color w:val="auto"/>
        </w:rPr>
      </w:pPr>
      <w:r>
        <w:rPr>
          <w:rFonts w:ascii="Arial" w:cs="Arial" w:eastAsia="Arial" w:hAnsi="Arial"/>
          <w:sz w:val="20"/>
          <w:szCs w:val="20"/>
          <w:i w:val="1"/>
          <w:iCs w:val="1"/>
          <w:color w:val="auto"/>
        </w:rPr>
        <w:t>Total operatng expenses of $257.6 million includes crypto costs and executon, clearing and brokerage fees and goodwill and intangible assets impairments. Excluding crypto costs and executon, clearing and brokerage fees and goodwill and intangible assets impairments, expenses were $44.2 million down 26% year-over-year</w:t>
      </w:r>
    </w:p>
    <w:p>
      <w:pPr>
        <w:spacing w:after="0" w:line="119" w:lineRule="exact"/>
        <w:rPr>
          <w:sz w:val="20"/>
          <w:szCs w:val="20"/>
          <w:color w:val="auto"/>
        </w:rPr>
      </w:pPr>
    </w:p>
    <w:p>
      <w:pPr>
        <w:jc w:val="center"/>
        <w:spacing w:after="0" w:line="289" w:lineRule="auto"/>
        <w:rPr>
          <w:sz w:val="20"/>
          <w:szCs w:val="20"/>
          <w:color w:val="auto"/>
        </w:rPr>
      </w:pPr>
      <w:r>
        <w:rPr>
          <w:rFonts w:ascii="Arial" w:cs="Arial" w:eastAsia="Arial" w:hAnsi="Arial"/>
          <w:sz w:val="20"/>
          <w:szCs w:val="20"/>
          <w:i w:val="1"/>
          <w:iCs w:val="1"/>
          <w:color w:val="auto"/>
        </w:rPr>
        <w:t>Expansion of crypto capabilites in nine new internatonal markets expected to be actve by year-end, including the United Kingdom, Hong Kong, Latn America, Singapore, Australia and Spain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client executon with nearly all recently signed clients onboarded and/or actvated, and signifcant broadening of our client network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Updated full year 2023 outlook and provided preliminary 2024 outlook</w:t>
      </w:r>
    </w:p>
    <w:p>
      <w:pPr>
        <w:spacing w:after="0" w:line="200" w:lineRule="exact"/>
        <w:rPr>
          <w:sz w:val="20"/>
          <w:szCs w:val="20"/>
          <w:color w:val="auto"/>
        </w:rPr>
      </w:pPr>
    </w:p>
    <w:p>
      <w:pPr>
        <w:spacing w:after="0" w:line="205"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b w:val="1"/>
          <w:bCs w:val="1"/>
          <w:color w:val="auto"/>
        </w:rPr>
        <w:t xml:space="preserve">ALPHARETTA, GA – November 14, 2023 </w:t>
      </w:r>
      <w:r>
        <w:rPr>
          <w:rFonts w:ascii="Arial" w:cs="Arial" w:eastAsia="Arial" w:hAnsi="Arial"/>
          <w:sz w:val="20"/>
          <w:szCs w:val="20"/>
          <w:color w:val="auto"/>
        </w:rPr>
        <w:t>– Bakkt Holdings, Inc. (“Bakkt”) (NYSE: BKKT) announced its fnancial and operatonal results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ended September 30, 2023.</w:t>
      </w:r>
    </w:p>
    <w:p>
      <w:pPr>
        <w:spacing w:after="0" w:line="204" w:lineRule="exact"/>
        <w:rPr>
          <w:sz w:val="20"/>
          <w:szCs w:val="20"/>
          <w:color w:val="auto"/>
        </w:rPr>
      </w:pPr>
    </w:p>
    <w:p>
      <w:pPr>
        <w:ind w:right="100"/>
        <w:spacing w:after="0" w:line="276" w:lineRule="auto"/>
        <w:rPr>
          <w:sz w:val="20"/>
          <w:szCs w:val="20"/>
          <w:color w:val="auto"/>
        </w:rPr>
      </w:pPr>
      <w:r>
        <w:rPr>
          <w:rFonts w:ascii="Arial" w:cs="Arial" w:eastAsia="Arial" w:hAnsi="Arial"/>
          <w:sz w:val="19"/>
          <w:szCs w:val="19"/>
          <w:color w:val="auto"/>
        </w:rPr>
        <w:t>“This quarter we clearly demonstrated our ability to execute and strengthen our company despite highly challenging crypto market conditons,” said Gavin Michael, President and CEO of Bakkt. “Given headwinds facing the U.S. crypto industry, we made internatonal expansion a key priority, successfully launching our crypto capabilites in Latn America and Spain, and we plan to go live in the United Kingdom, Hong Kong, Singapore and Australia by the end of this year. Internatonal markets will remain a key focus area for us with additonal markets already in our pipeline. Our relentless focus on delivering for our clients enabled us to onboard and actvate most of the new clients that we signed last quarter. We made strong tracton broadening our crypto trading and custody network. We also further enhanced our secure custody platorm, with the imminent relaunch of our custody soluton followed by the expansion of the number of coins that we custody. Our leading platorm and focused executon will contnue to drive us to success.”</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Strategic Highlights</w:t>
      </w:r>
    </w:p>
    <w:p>
      <w:pPr>
        <w:spacing w:after="0" w:line="27"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b w:val="1"/>
          <w:bCs w:val="1"/>
          <w:u w:val="single" w:color="auto"/>
          <w:color w:val="auto"/>
        </w:rPr>
        <w:t>Internatonal expansion</w:t>
      </w:r>
      <w:r>
        <w:rPr>
          <w:rFonts w:ascii="Arial" w:cs="Arial" w:eastAsia="Arial" w:hAnsi="Arial"/>
          <w:sz w:val="20"/>
          <w:szCs w:val="20"/>
          <w:b w:val="1"/>
          <w:bCs w:val="1"/>
          <w:color w:val="auto"/>
        </w:rPr>
        <w:t xml:space="preserve"> </w:t>
      </w:r>
      <w:r>
        <w:rPr>
          <w:rFonts w:ascii="Arial" w:cs="Arial" w:eastAsia="Arial" w:hAnsi="Arial"/>
          <w:sz w:val="20"/>
          <w:szCs w:val="20"/>
          <w:color w:val="auto"/>
        </w:rPr>
        <w:t>– Expanding with our clients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3.0verse and Hapi</w:t>
      </w:r>
      <w:r>
        <w:rPr>
          <w:rFonts w:ascii="Arial" w:cs="Arial" w:eastAsia="Arial" w:hAnsi="Arial"/>
          <w:sz w:val="20"/>
          <w:szCs w:val="20"/>
          <w:b w:val="1"/>
          <w:bCs w:val="1"/>
          <w:color w:val="auto"/>
        </w:rPr>
        <w:t xml:space="preserve"> </w:t>
      </w:r>
      <w:r>
        <w:rPr>
          <w:rFonts w:ascii="Arial" w:cs="Arial" w:eastAsia="Arial" w:hAnsi="Arial"/>
          <w:sz w:val="20"/>
          <w:szCs w:val="20"/>
          <w:color w:val="auto"/>
        </w:rPr>
        <w:t>into new internatonal markets with planned further expansion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w:t>
      </w:r>
      <w:r>
        <w:rPr>
          <w:rFonts w:ascii="Arial" w:cs="Arial" w:eastAsia="Arial" w:hAnsi="Arial"/>
          <w:sz w:val="20"/>
          <w:szCs w:val="20"/>
          <w:i w:val="1"/>
          <w:iCs w:val="1"/>
          <w:color w:val="auto"/>
        </w:rPr>
        <w:t>IBEX</w:t>
      </w:r>
      <w:r>
        <w:rPr>
          <w:rFonts w:ascii="Arial" w:cs="Arial" w:eastAsia="Arial" w:hAnsi="Arial"/>
          <w:sz w:val="20"/>
          <w:szCs w:val="20"/>
          <w:color w:val="auto"/>
        </w:rPr>
        <w:t>. Our platorm is currently live with certain clients in Latn America and Spain. We plan to further expand our crypto capabilites in the United Kingdom, Hong Kong, Singapore and Australia by year-end.</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Crypto trading</w:t>
      </w:r>
      <w:r>
        <w:rPr>
          <w:rFonts w:ascii="Arial" w:cs="Arial" w:eastAsia="Arial" w:hAnsi="Arial"/>
          <w:sz w:val="20"/>
          <w:szCs w:val="20"/>
          <w:b w:val="1"/>
          <w:bCs w:val="1"/>
          <w:color w:val="auto"/>
        </w:rPr>
        <w:t xml:space="preserve"> – </w:t>
      </w:r>
      <w:r>
        <w:rPr>
          <w:rFonts w:ascii="Arial" w:cs="Arial" w:eastAsia="Arial" w:hAnsi="Arial"/>
          <w:sz w:val="20"/>
          <w:szCs w:val="20"/>
          <w:color w:val="auto"/>
        </w:rPr>
        <w:t>Signifcant progress actvatng and broadening our client network including:</w:t>
      </w:r>
    </w:p>
    <w:p>
      <w:pPr>
        <w:spacing w:after="0" w:line="189" w:lineRule="exact"/>
        <w:rPr>
          <w:sz w:val="20"/>
          <w:szCs w:val="20"/>
          <w:color w:val="auto"/>
        </w:rPr>
      </w:pPr>
    </w:p>
    <w:p>
      <w:pPr>
        <w:jc w:val="both"/>
        <w:ind w:left="660" w:right="260" w:hanging="328"/>
        <w:spacing w:after="0" w:line="27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Seamless executon for existng clients – </w:t>
      </w:r>
      <w:r>
        <w:rPr>
          <w:rFonts w:ascii="Arial" w:cs="Arial" w:eastAsia="Arial" w:hAnsi="Arial"/>
          <w:sz w:val="20"/>
          <w:szCs w:val="20"/>
          <w:color w:val="auto"/>
        </w:rPr>
        <w:t>Provided a swif and seamless onboarding and actvaton experience for recently signed</w:t>
      </w:r>
      <w:r>
        <w:rPr>
          <w:rFonts w:ascii="Arial" w:cs="Arial" w:eastAsia="Arial" w:hAnsi="Arial"/>
          <w:sz w:val="20"/>
          <w:szCs w:val="20"/>
          <w:b w:val="1"/>
          <w:bCs w:val="1"/>
          <w:color w:val="auto"/>
        </w:rPr>
        <w:t xml:space="preserve"> </w:t>
      </w:r>
      <w:r>
        <w:rPr>
          <w:rFonts w:ascii="Arial" w:cs="Arial" w:eastAsia="Arial" w:hAnsi="Arial"/>
          <w:sz w:val="20"/>
          <w:szCs w:val="20"/>
          <w:color w:val="auto"/>
        </w:rPr>
        <w:t>crypto clients. We onboarded nearly all of the new clients that were signed in the prior quarter. Our tme to actvate is consistent with historical trends of ~45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0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217805</wp:posOffset>
            </wp:positionV>
            <wp:extent cx="1028700"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ind w:left="660" w:right="100" w:hanging="328"/>
        <w:spacing w:after="0" w:line="264"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Expansion of client base – </w:t>
      </w:r>
      <w:r>
        <w:rPr>
          <w:rFonts w:ascii="Arial" w:cs="Arial" w:eastAsia="Arial" w:hAnsi="Arial"/>
          <w:sz w:val="20"/>
          <w:szCs w:val="20"/>
          <w:color w:val="auto"/>
        </w:rPr>
        <w:t>our advanced crypto trading capabilites contnue to atract strong interest from new clients, which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includes many crypto natve insttutons such as </w:t>
      </w:r>
      <w:r>
        <w:rPr>
          <w:rFonts w:ascii="Arial" w:cs="Arial" w:eastAsia="Arial" w:hAnsi="Arial"/>
          <w:sz w:val="20"/>
          <w:szCs w:val="20"/>
          <w:i w:val="1"/>
          <w:iCs w:val="1"/>
          <w:color w:val="auto"/>
        </w:rPr>
        <w:t>3.0verse</w:t>
      </w:r>
      <w:r>
        <w:rPr>
          <w:rFonts w:ascii="Arial" w:cs="Arial" w:eastAsia="Arial" w:hAnsi="Arial"/>
          <w:sz w:val="20"/>
          <w:szCs w:val="20"/>
          <w:color w:val="auto"/>
        </w:rPr>
        <w:t xml:space="preserve">. </w:t>
      </w:r>
      <w:r>
        <w:rPr>
          <w:rFonts w:ascii="Arial" w:cs="Arial" w:eastAsia="Arial" w:hAnsi="Arial"/>
          <w:sz w:val="20"/>
          <w:szCs w:val="20"/>
          <w:i w:val="1"/>
          <w:iCs w:val="1"/>
          <w:color w:val="auto"/>
        </w:rPr>
        <w:t>OpenNode and Legend Trading</w:t>
      </w:r>
      <w:r>
        <w:rPr>
          <w:rFonts w:ascii="Arial" w:cs="Arial" w:eastAsia="Arial" w:hAnsi="Arial"/>
          <w:sz w:val="20"/>
          <w:szCs w:val="20"/>
          <w:color w:val="auto"/>
        </w:rPr>
        <w:t xml:space="preserve"> also intend to utlize our advanced crypto trading capabilites</w:t>
      </w:r>
      <w:r>
        <w:rPr>
          <w:rFonts w:ascii="Arial" w:cs="Arial" w:eastAsia="Arial" w:hAnsi="Arial"/>
          <w:sz w:val="20"/>
          <w:szCs w:val="20"/>
          <w:i w:val="1"/>
          <w:iCs w:val="1"/>
          <w:color w:val="auto"/>
        </w:rPr>
        <w:t>.</w:t>
      </w:r>
    </w:p>
    <w:p>
      <w:pPr>
        <w:spacing w:after="0" w:line="362" w:lineRule="exact"/>
        <w:rPr>
          <w:sz w:val="20"/>
          <w:szCs w:val="20"/>
          <w:color w:val="auto"/>
        </w:rPr>
      </w:pPr>
    </w:p>
    <w:p>
      <w:pPr>
        <w:ind w:right="380"/>
        <w:spacing w:after="0" w:line="289" w:lineRule="auto"/>
        <w:rPr>
          <w:sz w:val="20"/>
          <w:szCs w:val="20"/>
          <w:color w:val="auto"/>
        </w:rPr>
      </w:pPr>
      <w:r>
        <w:rPr>
          <w:rFonts w:ascii="Arial" w:cs="Arial" w:eastAsia="Arial" w:hAnsi="Arial"/>
          <w:sz w:val="20"/>
          <w:szCs w:val="20"/>
          <w:b w:val="1"/>
          <w:bCs w:val="1"/>
          <w:u w:val="single" w:color="auto"/>
          <w:color w:val="auto"/>
        </w:rPr>
        <w:t>Crypto custody</w:t>
      </w:r>
      <w:r>
        <w:rPr>
          <w:rFonts w:ascii="Arial" w:cs="Arial" w:eastAsia="Arial" w:hAnsi="Arial"/>
          <w:sz w:val="20"/>
          <w:szCs w:val="20"/>
          <w:b w:val="1"/>
          <w:bCs w:val="1"/>
          <w:color w:val="auto"/>
        </w:rPr>
        <w:t xml:space="preserve"> – </w:t>
      </w:r>
      <w:r>
        <w:rPr>
          <w:rFonts w:ascii="Arial" w:cs="Arial" w:eastAsia="Arial" w:hAnsi="Arial"/>
          <w:sz w:val="20"/>
          <w:szCs w:val="20"/>
          <w:color w:val="auto"/>
        </w:rPr>
        <w:t>Our highly-regarded custody soluton has been enhanced with the imminent relaunch of its core platorm followed by</w:t>
      </w:r>
      <w:r>
        <w:rPr>
          <w:rFonts w:ascii="Arial" w:cs="Arial" w:eastAsia="Arial" w:hAnsi="Arial"/>
          <w:sz w:val="20"/>
          <w:szCs w:val="20"/>
          <w:b w:val="1"/>
          <w:bCs w:val="1"/>
          <w:color w:val="auto"/>
        </w:rPr>
        <w:t xml:space="preserve"> </w:t>
      </w:r>
      <w:r>
        <w:rPr>
          <w:rFonts w:ascii="Arial" w:cs="Arial" w:eastAsia="Arial" w:hAnsi="Arial"/>
          <w:sz w:val="20"/>
          <w:szCs w:val="20"/>
          <w:color w:val="auto"/>
        </w:rPr>
        <w:t>additonal coin support. We made strong progress expanding our platorm and client network including:</w:t>
      </w:r>
    </w:p>
    <w:p>
      <w:pPr>
        <w:spacing w:after="0" w:line="121" w:lineRule="exact"/>
        <w:rPr>
          <w:sz w:val="20"/>
          <w:szCs w:val="20"/>
          <w:color w:val="auto"/>
        </w:rPr>
      </w:pPr>
    </w:p>
    <w:p>
      <w:pPr>
        <w:ind w:left="660" w:right="80" w:hanging="328"/>
        <w:spacing w:after="0" w:line="26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Relaunch of Bakkt® Custody</w:t>
      </w:r>
      <w:r>
        <w:rPr>
          <w:rFonts w:ascii="Arial" w:cs="Arial" w:eastAsia="Arial" w:hAnsi="Arial"/>
          <w:sz w:val="20"/>
          <w:szCs w:val="20"/>
          <w:color w:val="auto"/>
        </w:rPr>
        <w:t>– Ground up redevelopment of the Bakkt Trust custody soluton is complete and launching this month.</w:t>
      </w:r>
      <w:r>
        <w:rPr>
          <w:rFonts w:ascii="Arial" w:cs="Arial" w:eastAsia="Arial" w:hAnsi="Arial"/>
          <w:sz w:val="20"/>
          <w:szCs w:val="20"/>
          <w:b w:val="1"/>
          <w:bCs w:val="1"/>
          <w:color w:val="auto"/>
        </w:rPr>
        <w:t xml:space="preserve"> </w:t>
      </w:r>
      <w:r>
        <w:rPr>
          <w:rFonts w:ascii="Arial" w:cs="Arial" w:eastAsia="Arial" w:hAnsi="Arial"/>
          <w:sz w:val="20"/>
          <w:szCs w:val="20"/>
          <w:color w:val="auto"/>
        </w:rPr>
        <w:t>The foundatonal redevelopment adds key features such as segregated wallets, a fexible policy engine, and enables the rapid additon of future functonality.</w:t>
      </w:r>
    </w:p>
    <w:p>
      <w:pPr>
        <w:spacing w:after="0" w:line="10" w:lineRule="exact"/>
        <w:rPr>
          <w:rFonts w:ascii="Arial" w:cs="Arial" w:eastAsia="Arial" w:hAnsi="Arial"/>
          <w:sz w:val="20"/>
          <w:szCs w:val="20"/>
          <w:color w:val="auto"/>
        </w:rPr>
      </w:pPr>
    </w:p>
    <w:p>
      <w:pPr>
        <w:ind w:left="660" w:right="120" w:hanging="328"/>
        <w:spacing w:after="0" w:line="330" w:lineRule="auto"/>
        <w:tabs>
          <w:tab w:leader="none" w:pos="648"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Expanding support for additonal coins – </w:t>
      </w:r>
      <w:r>
        <w:rPr>
          <w:rFonts w:ascii="Arial" w:cs="Arial" w:eastAsia="Arial" w:hAnsi="Arial"/>
          <w:sz w:val="16"/>
          <w:szCs w:val="16"/>
          <w:color w:val="auto"/>
        </w:rPr>
        <w:t>An example of Bakkt® Custody’s enhanced functonality that the relaunch provides is the</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of asset support, which will follow shortly afer the release of the new platorm. This release will expand custodial support from Bitcoin (BTC) and Ethereum (ETH) to create parity with our trading platorm, adding Bitcoin Cash (BCH), Dogecoin (DOGE), Ethereum Classic (ETC), Litecoin (LTC), Shiba Inu (SHIB) and USD Coin (USDC), with more coins to come early next year.</w:t>
      </w:r>
    </w:p>
    <w:p>
      <w:pPr>
        <w:ind w:left="660" w:hanging="328"/>
        <w:spacing w:after="0" w:line="303"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Expansion of client base – </w:t>
      </w:r>
      <w:r>
        <w:rPr>
          <w:rFonts w:ascii="Arial" w:cs="Arial" w:eastAsia="Arial" w:hAnsi="Arial"/>
          <w:sz w:val="18"/>
          <w:szCs w:val="18"/>
          <w:color w:val="auto"/>
        </w:rPr>
        <w:t>Our secure, reliable and trusted custody platorm contnues to beneft from a fight to quality and we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made strong progress expanding our client network. Recently signed new clients include </w:t>
      </w:r>
      <w:r>
        <w:rPr>
          <w:rFonts w:ascii="Arial" w:cs="Arial" w:eastAsia="Arial" w:hAnsi="Arial"/>
          <w:sz w:val="18"/>
          <w:szCs w:val="18"/>
          <w:i w:val="1"/>
          <w:iCs w:val="1"/>
          <w:color w:val="auto"/>
        </w:rPr>
        <w:t>Unchained and LeboBTC.</w:t>
      </w:r>
      <w:r>
        <w:rPr>
          <w:rFonts w:ascii="Arial" w:cs="Arial" w:eastAsia="Arial" w:hAnsi="Arial"/>
          <w:sz w:val="18"/>
          <w:szCs w:val="18"/>
          <w:color w:val="auto"/>
        </w:rPr>
        <w:t xml:space="preserve"> As we announced last week, we intend to join </w:t>
      </w:r>
      <w:r>
        <w:rPr>
          <w:rFonts w:ascii="Arial" w:cs="Arial" w:eastAsia="Arial" w:hAnsi="Arial"/>
          <w:sz w:val="18"/>
          <w:szCs w:val="18"/>
          <w:i w:val="1"/>
          <w:iCs w:val="1"/>
          <w:color w:val="auto"/>
        </w:rPr>
        <w:t>EDX’s</w:t>
      </w:r>
      <w:r>
        <w:rPr>
          <w:rFonts w:ascii="Arial" w:cs="Arial" w:eastAsia="Arial" w:hAnsi="Arial"/>
          <w:sz w:val="18"/>
          <w:szCs w:val="18"/>
          <w:color w:val="auto"/>
        </w:rPr>
        <w:t xml:space="preserve"> clearing house and custodial network initally serving as a back-up qualifed custodian. We have also received signifcant inbound client interest regarding our enhanced custody capabilites, which will be launched soon.</w:t>
      </w:r>
    </w:p>
    <w:p>
      <w:pPr>
        <w:spacing w:after="0" w:line="332"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b w:val="1"/>
          <w:bCs w:val="1"/>
          <w:u w:val="single" w:color="auto"/>
          <w:color w:val="auto"/>
        </w:rPr>
        <w:t>Lightning Network</w:t>
      </w:r>
      <w:r>
        <w:rPr>
          <w:rFonts w:ascii="Arial" w:cs="Arial" w:eastAsia="Arial" w:hAnsi="Arial"/>
          <w:sz w:val="20"/>
          <w:szCs w:val="20"/>
          <w:b w:val="1"/>
          <w:bCs w:val="1"/>
          <w:color w:val="auto"/>
        </w:rPr>
        <w:t xml:space="preserve"> – </w:t>
      </w:r>
      <w:r>
        <w:rPr>
          <w:rFonts w:ascii="Arial" w:cs="Arial" w:eastAsia="Arial" w:hAnsi="Arial"/>
          <w:sz w:val="20"/>
          <w:szCs w:val="20"/>
          <w:color w:val="auto"/>
        </w:rPr>
        <w:t>As we drive crypto’s evoluton towards increased utlity, we are investng in the Lightning Network. We recently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we will be launching Lightning Services to select clients. Clients will be able to leverage these capabilites for cross-border remitances, B2B setlement, instantaneous deposits and withdrawals for trading, or global, interoperable P2P</w:t>
      </w:r>
      <w:r>
        <w:rPr>
          <w:rFonts w:ascii="Arial" w:cs="Arial" w:eastAsia="Arial" w:hAnsi="Arial"/>
          <w:sz w:val="25"/>
          <w:szCs w:val="25"/>
          <w:color w:val="auto"/>
          <w:vertAlign w:val="superscript"/>
        </w:rPr>
        <w:t>1</w:t>
      </w:r>
      <w:r>
        <w:rPr>
          <w:rFonts w:ascii="Arial" w:cs="Arial" w:eastAsia="Arial" w:hAnsi="Arial"/>
          <w:sz w:val="20"/>
          <w:szCs w:val="20"/>
          <w:color w:val="auto"/>
        </w:rPr>
        <w:t>. We will be partnering with two leading Lightning Service Providers, Lightspark and IBEX, to build out a global network of compliant on and of-ramps. Additonally, we announced that we are a founding infrastructure provider for UMA, a new Universal Money Address standard aimed at simplifying sending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1714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hanging="92"/>
        <w:spacing w:after="0"/>
        <w:tabs>
          <w:tab w:leader="none" w:pos="10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Use cases are subject to applicable regulatory approvals.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217170</wp:posOffset>
            </wp:positionV>
            <wp:extent cx="1028700"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Bakkt Third Quarter Financial Highlights (unaudited)</w:t>
      </w:r>
    </w:p>
    <w:p>
      <w:pPr>
        <w:spacing w:after="0" w:line="22" w:lineRule="exact"/>
        <w:rPr>
          <w:sz w:val="20"/>
          <w:szCs w:val="20"/>
          <w:color w:val="auto"/>
        </w:rPr>
      </w:pPr>
    </w:p>
    <w:p>
      <w:pPr>
        <w:spacing w:after="0" w:line="391" w:lineRule="auto"/>
        <w:rPr>
          <w:sz w:val="20"/>
          <w:szCs w:val="20"/>
          <w:color w:val="auto"/>
        </w:rPr>
      </w:pPr>
      <w:r>
        <w:rPr>
          <w:rFonts w:ascii="Arial" w:cs="Arial" w:eastAsia="Arial" w:hAnsi="Arial"/>
          <w:sz w:val="16"/>
          <w:szCs w:val="16"/>
          <w:color w:val="auto"/>
        </w:rPr>
        <w:t>Third quarter 2023 results include Apex Crypto, which we acquired on April 1, 2023. In accordance with GAAP, we are presentng crypto services revenue and crypto costs and executon, clearing and brokerage fees on a gross basis since we are a principal in those transactons.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20" w:type="dxa"/>
            <w:vAlign w:val="bottom"/>
            <w:vMerge w:val="restart"/>
            <w:shd w:val="clear" w:color="auto" w:fill="000000"/>
          </w:tcPr>
          <w:p>
            <w:pPr>
              <w:ind w:left="40"/>
              <w:spacing w:after="0"/>
              <w:rPr>
                <w:sz w:val="20"/>
                <w:szCs w:val="20"/>
                <w:color w:val="auto"/>
              </w:rPr>
            </w:pPr>
            <w:r>
              <w:rPr>
                <w:rFonts w:ascii="Arial" w:cs="Arial" w:eastAsia="Arial" w:hAnsi="Arial"/>
                <w:sz w:val="18"/>
                <w:szCs w:val="18"/>
                <w:b w:val="1"/>
                <w:bCs w:val="1"/>
                <w:color w:val="FFFFFF"/>
              </w:rPr>
              <w:t>$ in millions</w:t>
            </w:r>
          </w:p>
        </w:tc>
        <w:tc>
          <w:tcPr>
            <w:tcW w:w="2140" w:type="dxa"/>
            <w:vAlign w:val="bottom"/>
            <w:vMerge w:val="restart"/>
            <w:shd w:val="clear" w:color="auto" w:fill="000000"/>
          </w:tcPr>
          <w:p>
            <w:pPr>
              <w:jc w:val="right"/>
              <w:ind w:right="410"/>
              <w:spacing w:after="0"/>
              <w:rPr>
                <w:sz w:val="20"/>
                <w:szCs w:val="20"/>
                <w:color w:val="auto"/>
              </w:rPr>
            </w:pPr>
            <w:r>
              <w:rPr>
                <w:rFonts w:ascii="Arial" w:cs="Arial" w:eastAsia="Arial" w:hAnsi="Arial"/>
                <w:sz w:val="18"/>
                <w:szCs w:val="18"/>
                <w:b w:val="1"/>
                <w:bCs w:val="1"/>
                <w:color w:val="FFFFFF"/>
              </w:rPr>
              <w:t>3Q23</w:t>
            </w:r>
          </w:p>
        </w:tc>
        <w:tc>
          <w:tcPr>
            <w:tcW w:w="1600" w:type="dxa"/>
            <w:vAlign w:val="bottom"/>
            <w:vMerge w:val="restart"/>
            <w:shd w:val="clear" w:color="auto" w:fill="000000"/>
          </w:tcPr>
          <w:p>
            <w:pPr>
              <w:jc w:val="right"/>
              <w:ind w:right="350"/>
              <w:spacing w:after="0"/>
              <w:rPr>
                <w:sz w:val="20"/>
                <w:szCs w:val="20"/>
                <w:color w:val="auto"/>
              </w:rPr>
            </w:pPr>
            <w:r>
              <w:rPr>
                <w:rFonts w:ascii="Arial" w:cs="Arial" w:eastAsia="Arial" w:hAnsi="Arial"/>
                <w:sz w:val="18"/>
                <w:szCs w:val="18"/>
                <w:b w:val="1"/>
                <w:bCs w:val="1"/>
                <w:color w:val="FFFFFF"/>
              </w:rPr>
              <w:t>3Q22</w:t>
            </w:r>
          </w:p>
        </w:tc>
        <w:tc>
          <w:tcPr>
            <w:tcW w:w="124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FFFFFF"/>
              </w:rPr>
              <w:t>Increase/</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auto"/>
            </w:tcBorders>
            <w:vMerge w:val="continue"/>
            <w:shd w:val="clear" w:color="auto" w:fill="000000"/>
          </w:tcPr>
          <w:p>
            <w:pPr>
              <w:spacing w:after="0"/>
              <w:rPr>
                <w:sz w:val="22"/>
                <w:szCs w:val="22"/>
                <w:color w:val="auto"/>
              </w:rPr>
            </w:pPr>
          </w:p>
        </w:tc>
        <w:tc>
          <w:tcPr>
            <w:tcW w:w="2140" w:type="dxa"/>
            <w:vAlign w:val="bottom"/>
            <w:tcBorders>
              <w:bottom w:val="single" w:sz="8" w:color="auto"/>
            </w:tcBorders>
            <w:vMerge w:val="continue"/>
            <w:shd w:val="clear" w:color="auto" w:fill="000000"/>
          </w:tcPr>
          <w:p>
            <w:pPr>
              <w:spacing w:after="0"/>
              <w:rPr>
                <w:sz w:val="22"/>
                <w:szCs w:val="22"/>
                <w:color w:val="auto"/>
              </w:rPr>
            </w:pPr>
          </w:p>
        </w:tc>
        <w:tc>
          <w:tcPr>
            <w:tcW w:w="1600" w:type="dxa"/>
            <w:vAlign w:val="bottom"/>
            <w:tcBorders>
              <w:bottom w:val="single" w:sz="8" w:color="auto"/>
            </w:tcBorders>
            <w:vMerge w:val="continue"/>
            <w:shd w:val="clear" w:color="auto" w:fill="000000"/>
          </w:tcPr>
          <w:p>
            <w:pPr>
              <w:spacing w:after="0"/>
              <w:rPr>
                <w:sz w:val="22"/>
                <w:szCs w:val="22"/>
                <w:color w:val="auto"/>
              </w:rPr>
            </w:pPr>
          </w:p>
        </w:tc>
        <w:tc>
          <w:tcPr>
            <w:tcW w:w="124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8"/>
                <w:szCs w:val="18"/>
                <w:b w:val="1"/>
                <w:bCs w:val="1"/>
                <w:color w:val="FFFFFF"/>
              </w:rPr>
              <w:t>(decrease)</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8"/>
                <w:szCs w:val="18"/>
                <w:color w:val="auto"/>
              </w:rPr>
              <w:t>Revenues</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$204.8</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$13.2</w:t>
            </w: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8"/>
        </w:trPr>
        <w:tc>
          <w:tcPr>
            <w:tcW w:w="5120" w:type="dxa"/>
            <w:vAlign w:val="bottom"/>
          </w:tcPr>
          <w:p>
            <w:pPr>
              <w:ind w:left="140"/>
              <w:spacing w:after="0"/>
              <w:rPr>
                <w:sz w:val="20"/>
                <w:szCs w:val="20"/>
                <w:color w:val="auto"/>
              </w:rPr>
            </w:pPr>
            <w:r>
              <w:rPr>
                <w:rFonts w:ascii="Arial" w:cs="Arial" w:eastAsia="Arial" w:hAnsi="Arial"/>
                <w:sz w:val="18"/>
                <w:szCs w:val="18"/>
                <w:color w:val="auto"/>
              </w:rPr>
              <w:t>Goodwill and intangible assets impairments</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23.3</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1,547.7</w:t>
            </w: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3"/>
        </w:trPr>
        <w:tc>
          <w:tcPr>
            <w:tcW w:w="5120" w:type="dxa"/>
            <w:vAlign w:val="bottom"/>
          </w:tcPr>
          <w:p>
            <w:pPr>
              <w:ind w:left="140"/>
              <w:spacing w:after="0"/>
              <w:rPr>
                <w:sz w:val="20"/>
                <w:szCs w:val="20"/>
                <w:color w:val="auto"/>
              </w:rPr>
            </w:pPr>
            <w:r>
              <w:rPr>
                <w:rFonts w:ascii="Arial" w:cs="Arial" w:eastAsia="Arial" w:hAnsi="Arial"/>
                <w:sz w:val="18"/>
                <w:szCs w:val="18"/>
                <w:color w:val="auto"/>
              </w:rPr>
              <w:t>Operatng expenses, excluding impairments</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234.3</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60.4</w:t>
            </w: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62"/>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Total operatng expenses</w:t>
            </w:r>
          </w:p>
        </w:tc>
        <w:tc>
          <w:tcPr>
            <w:tcW w:w="2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120" w:type="dxa"/>
            <w:vAlign w:val="bottom"/>
            <w:vMerge w:val="continue"/>
          </w:tcPr>
          <w:p>
            <w:pPr>
              <w:spacing w:after="0"/>
              <w:rPr>
                <w:sz w:val="19"/>
                <w:szCs w:val="19"/>
                <w:color w:val="auto"/>
              </w:rPr>
            </w:pP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257.6</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1,608.1</w:t>
            </w: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57"/>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Operatng loss</w:t>
            </w:r>
          </w:p>
        </w:tc>
        <w:tc>
          <w:tcPr>
            <w:tcW w:w="21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120" w:type="dxa"/>
            <w:vAlign w:val="bottom"/>
            <w:vMerge w:val="continue"/>
          </w:tcPr>
          <w:p>
            <w:pPr>
              <w:spacing w:after="0"/>
              <w:rPr>
                <w:sz w:val="19"/>
                <w:szCs w:val="19"/>
                <w:color w:val="auto"/>
              </w:rPr>
            </w:pP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(52.9)</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(1,594.9)</w:t>
            </w: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8"/>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(51.7)</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(1,592.5)</w:t>
            </w: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3"/>
        </w:trPr>
        <w:tc>
          <w:tcPr>
            <w:tcW w:w="5120" w:type="dxa"/>
            <w:vAlign w:val="bottom"/>
          </w:tcPr>
          <w:p>
            <w:pPr>
              <w:ind w:left="20"/>
              <w:spacing w:after="0"/>
              <w:rPr>
                <w:sz w:val="20"/>
                <w:szCs w:val="20"/>
                <w:color w:val="auto"/>
              </w:rPr>
            </w:pPr>
            <w:r>
              <w:rPr>
                <w:rFonts w:ascii="Arial" w:cs="Arial" w:eastAsia="Arial" w:hAnsi="Arial"/>
                <w:sz w:val="18"/>
                <w:szCs w:val="18"/>
                <w:color w:val="auto"/>
              </w:rPr>
              <w:t>Adjusted EBITDA loss (non-GAAP)</w:t>
            </w:r>
          </w:p>
        </w:tc>
        <w:tc>
          <w:tcPr>
            <w:tcW w:w="2140" w:type="dxa"/>
            <w:vAlign w:val="bottom"/>
          </w:tcPr>
          <w:p>
            <w:pPr>
              <w:jc w:val="right"/>
              <w:ind w:right="410"/>
              <w:spacing w:after="0"/>
              <w:rPr>
                <w:sz w:val="20"/>
                <w:szCs w:val="20"/>
                <w:color w:val="auto"/>
              </w:rPr>
            </w:pPr>
            <w:r>
              <w:rPr>
                <w:rFonts w:ascii="Arial" w:cs="Arial" w:eastAsia="Arial" w:hAnsi="Arial"/>
                <w:sz w:val="18"/>
                <w:szCs w:val="18"/>
                <w:color w:val="auto"/>
              </w:rPr>
              <w:t>$(21.6)</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$(30.7)</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2"/>
        </w:trPr>
        <w:tc>
          <w:tcPr>
            <w:tcW w:w="512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Note: “N.M” denotes Not Meaningful</w:t>
      </w:r>
    </w:p>
    <w:p>
      <w:pPr>
        <w:spacing w:after="0" w:line="28" w:lineRule="exact"/>
        <w:rPr>
          <w:sz w:val="20"/>
          <w:szCs w:val="20"/>
          <w:color w:val="auto"/>
        </w:rPr>
      </w:pPr>
    </w:p>
    <w:p>
      <w:pPr>
        <w:ind w:left="980" w:right="3120" w:hanging="648"/>
        <w:spacing w:after="0" w:line="295" w:lineRule="auto"/>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Key performance indicators (including historical Apex Crypto data for comparison purposes): </w:t>
      </w:r>
      <w:r>
        <w:rPr>
          <w:rFonts w:ascii="Courier New" w:cs="Courier New" w:eastAsia="Courier New" w:hAnsi="Courier New"/>
          <w:sz w:val="18"/>
          <w:szCs w:val="18"/>
          <w:color w:val="auto"/>
        </w:rPr>
        <w:t xml:space="preserve">o </w:t>
      </w:r>
      <w:r>
        <w:rPr>
          <w:rFonts w:ascii="Arial" w:cs="Arial" w:eastAsia="Arial" w:hAnsi="Arial"/>
          <w:sz w:val="18"/>
          <w:szCs w:val="18"/>
          <w:color w:val="auto"/>
        </w:rPr>
        <w:t>Crypto enabled accounts of 6.1 million have contnued to increase steadily.</w:t>
      </w:r>
    </w:p>
    <w:p>
      <w:pPr>
        <w:ind w:left="980"/>
        <w:spacing w:after="0"/>
        <w:rPr>
          <w:rFonts w:ascii="Arial" w:cs="Arial" w:eastAsia="Arial" w:hAnsi="Arial"/>
          <w:sz w:val="18"/>
          <w:szCs w:val="18"/>
          <w:color w:val="auto"/>
        </w:rPr>
      </w:pPr>
      <w:r>
        <w:rPr>
          <w:rFonts w:ascii="Courier New" w:cs="Courier New" w:eastAsia="Courier New" w:hAnsi="Courier New"/>
          <w:sz w:val="19"/>
          <w:szCs w:val="19"/>
          <w:color w:val="auto"/>
        </w:rPr>
        <w:t xml:space="preserve">o  </w:t>
      </w:r>
      <w:r>
        <w:rPr>
          <w:rFonts w:ascii="Arial" w:cs="Arial" w:eastAsia="Arial" w:hAnsi="Arial"/>
          <w:sz w:val="19"/>
          <w:szCs w:val="19"/>
          <w:color w:val="auto"/>
        </w:rPr>
        <w:t>Transactng accounts of 1.0 million decreased 13% year-over-year, due to industrywide slowdown in crypto actvity.</w:t>
      </w:r>
    </w:p>
    <w:p>
      <w:pPr>
        <w:spacing w:after="0" w:line="21" w:lineRule="exact"/>
        <w:rPr>
          <w:rFonts w:ascii="Arial" w:cs="Arial" w:eastAsia="Arial" w:hAnsi="Arial"/>
          <w:sz w:val="18"/>
          <w:szCs w:val="18"/>
          <w:color w:val="auto"/>
        </w:rPr>
      </w:pPr>
    </w:p>
    <w:p>
      <w:pPr>
        <w:ind w:left="1300" w:right="400" w:hanging="324"/>
        <w:spacing w:after="0" w:line="247" w:lineRule="auto"/>
        <w:rPr>
          <w:rFonts w:ascii="Arial" w:cs="Arial" w:eastAsia="Arial" w:hAnsi="Arial"/>
          <w:sz w:val="18"/>
          <w:szCs w:val="18"/>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Notonal traded volume of $366.1 million decreased 45% year-over-year, due to industrywide decline in crypto trading</w:t>
      </w:r>
      <w:r>
        <w:rPr>
          <w:rFonts w:ascii="Courier New" w:cs="Courier New" w:eastAsia="Courier New" w:hAnsi="Courier New"/>
          <w:sz w:val="20"/>
          <w:szCs w:val="20"/>
          <w:color w:val="auto"/>
        </w:rPr>
        <w:t xml:space="preserve"> </w:t>
      </w:r>
      <w:r>
        <w:rPr>
          <w:rFonts w:ascii="Arial" w:cs="Arial" w:eastAsia="Arial" w:hAnsi="Arial"/>
          <w:sz w:val="20"/>
          <w:szCs w:val="20"/>
          <w:color w:val="auto"/>
        </w:rPr>
        <w:t>volumes and lower hotel and rental car loyalty redempton actvity.</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Assets under custody of $505.7 million decreased 28% year-over-year, primarily due to lower coin quanttes.</w:t>
      </w:r>
    </w:p>
    <w:p>
      <w:pPr>
        <w:spacing w:after="0" w:line="22" w:lineRule="exact"/>
        <w:rPr>
          <w:rFonts w:ascii="Arial" w:cs="Arial" w:eastAsia="Arial" w:hAnsi="Arial"/>
          <w:sz w:val="18"/>
          <w:szCs w:val="18"/>
          <w:color w:val="auto"/>
        </w:rPr>
      </w:pPr>
    </w:p>
    <w:p>
      <w:pPr>
        <w:ind w:left="660" w:right="80" w:hanging="328"/>
        <w:spacing w:after="0" w:line="27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Revenues of $204.8 million refect a signifcant increase in gross crypto services revenues driven by our acquisiton of Apex Crypto. Net loyalty revenues of $13.0 million increased 2% year-over-year driven by higher customer actvity.</w:t>
      </w:r>
    </w:p>
    <w:p>
      <w:pPr>
        <w:spacing w:after="0" w:line="1" w:lineRule="exact"/>
        <w:rPr>
          <w:rFonts w:ascii="Arial" w:cs="Arial" w:eastAsia="Arial" w:hAnsi="Arial"/>
          <w:sz w:val="20"/>
          <w:szCs w:val="20"/>
          <w:color w:val="auto"/>
        </w:rPr>
      </w:pPr>
    </w:p>
    <w:p>
      <w:pPr>
        <w:ind w:left="660" w:right="40" w:hanging="328"/>
        <w:spacing w:after="0" w:line="26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Total operatng expenses of $257.6 million refect a signifcant increase in crypto costs and executon, clearing and brokerage fees driven by our acquisiton of Apex Crypto</w:t>
      </w:r>
      <w:r>
        <w:rPr>
          <w:rFonts w:ascii="Arial" w:cs="Arial" w:eastAsia="Arial" w:hAnsi="Arial"/>
          <w:sz w:val="20"/>
          <w:szCs w:val="20"/>
          <w:i w:val="1"/>
          <w:iCs w:val="1"/>
          <w:color w:val="auto"/>
        </w:rPr>
        <w:t>.</w:t>
      </w:r>
      <w:r>
        <w:rPr>
          <w:rFonts w:ascii="Arial" w:cs="Arial" w:eastAsia="Arial" w:hAnsi="Arial"/>
          <w:sz w:val="20"/>
          <w:szCs w:val="20"/>
          <w:color w:val="auto"/>
        </w:rPr>
        <w:t xml:space="preserve"> Third quarter expenses included a non-cash intangible assets impairment charge of $23.3 million. This charge was in accordance with generally accepted accountng principles and a result of lower revenue growth expectatons for the loyalty business.</w:t>
      </w:r>
    </w:p>
    <w:p>
      <w:pPr>
        <w:ind w:left="660" w:right="120" w:hanging="328"/>
        <w:spacing w:after="0" w:line="27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Operatng loss of $52.9 million decreased year-over-year due to larger goodwill and intangible assets impairments recorded in the prior year.</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of $51.7 million decreased year-over-year.</w:t>
      </w:r>
    </w:p>
    <w:p>
      <w:pPr>
        <w:spacing w:after="0" w:line="40" w:lineRule="exact"/>
        <w:rPr>
          <w:rFonts w:ascii="Arial" w:cs="Arial" w:eastAsia="Arial" w:hAnsi="Arial"/>
          <w:sz w:val="20"/>
          <w:szCs w:val="20"/>
          <w:color w:val="auto"/>
        </w:rPr>
      </w:pPr>
    </w:p>
    <w:p>
      <w:pPr>
        <w:ind w:left="660" w:right="60" w:hanging="328"/>
        <w:spacing w:after="0" w:line="28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loss (non-GAAP) of $21.6 million decreased 30% year-over-year primarily due to a reducton in compensaton and benefts costs.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Updated Full Year 2023 Outlook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We are updatng our full year 2023 guidance to refect the current market environment:</w:t>
      </w:r>
    </w:p>
    <w:p>
      <w:pPr>
        <w:spacing w:after="0" w:line="152" w:lineRule="exact"/>
        <w:rPr>
          <w:sz w:val="20"/>
          <w:szCs w:val="20"/>
          <w:color w:val="auto"/>
        </w:rPr>
      </w:pPr>
    </w:p>
    <w:p>
      <w:pPr>
        <w:ind w:left="660" w:right="140" w:hanging="328"/>
        <w:spacing w:after="0" w:line="274"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Full year 2023 revenues expected to be ~$750 million - ~$1,268 million; includes gross crypto revenues of ~$697 million - ~$1,215 million and net loyalty revenues of ~$53 million.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320" w:top="1440" w:right="4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217170</wp:posOffset>
            </wp:positionV>
            <wp:extent cx="1028700"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30"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Full year 2023 crypto costs expected to be ~$693 million - ~$1,208 million, in line with gross crypto revenues.</w:t>
      </w:r>
    </w:p>
    <w:p>
      <w:pPr>
        <w:spacing w:after="0" w:line="40" w:lineRule="exact"/>
        <w:rPr>
          <w:rFonts w:ascii="Arial" w:cs="Arial" w:eastAsia="Arial" w:hAnsi="Arial"/>
          <w:sz w:val="20"/>
          <w:szCs w:val="20"/>
          <w:color w:val="auto"/>
        </w:rPr>
      </w:pPr>
    </w:p>
    <w:p>
      <w:pPr>
        <w:ind w:left="660" w:right="220" w:hanging="328"/>
        <w:spacing w:after="0" w:line="274"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Full year 2023 net cash used in operatng actvites expected to be ~($86 million) – ~($89 million). Prior full year 2023 guidance of ($78 million) - ($84 million).</w:t>
      </w:r>
    </w:p>
    <w:p>
      <w:pPr>
        <w:spacing w:after="0" w:line="1" w:lineRule="exact"/>
        <w:rPr>
          <w:rFonts w:ascii="Arial" w:cs="Arial" w:eastAsia="Arial" w:hAnsi="Arial"/>
          <w:sz w:val="20"/>
          <w:szCs w:val="20"/>
          <w:color w:val="auto"/>
        </w:rPr>
      </w:pPr>
    </w:p>
    <w:p>
      <w:pPr>
        <w:ind w:left="660" w:right="500" w:hanging="328"/>
        <w:spacing w:after="0" w:line="332"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Full year 2023 free cash fow (non-GAAP) expected to be ~($99 million) - ~($102 million). Prior full year 2023 guidance of ($90 million) - ($96 million). Change in guidance refects lower revenue partally ofset by reductons in operatng expenses.</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Full Year 2024 Outlook</w:t>
      </w:r>
    </w:p>
    <w:p>
      <w:pPr>
        <w:spacing w:after="0" w:line="189" w:lineRule="exact"/>
        <w:rPr>
          <w:sz w:val="20"/>
          <w:szCs w:val="20"/>
          <w:color w:val="auto"/>
        </w:rPr>
      </w:pPr>
    </w:p>
    <w:p>
      <w:pPr>
        <w:ind w:left="660" w:right="580" w:hanging="328"/>
        <w:spacing w:after="0" w:line="274"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Full year 2024 revenues expected to be ~$3,461 million - ~$9,071 million; includes gross crypto revenues of ~$3,406 million - ~$9,015 million and net loyalty revenues of ~$55 million.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Full year 2024 crypto costs expected to be ~$3,386 million - ~$8,976 million, in line with gross crypto revenues.</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Full year 2024 net cash used in operatng actvites expected to be ~($35 million) – ~($55 million).</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Full year 2024 free cash fow (non-GAAP) expected to be ~($43 million) - ~($63 million).</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Expect to be approximately breakeven on an adjusted EBITDA basis by end of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Informaton</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Bakkt will host a conference call at 9:00 AM ET, November 14, 2023. The live webcast of Bakkt’s earnings conference call can be accessed at </w:t>
      </w:r>
      <w:r>
        <w:rPr>
          <w:rFonts w:ascii="Arial" w:cs="Arial" w:eastAsia="Arial" w:hAnsi="Arial"/>
          <w:sz w:val="19"/>
          <w:szCs w:val="19"/>
          <w:u w:val="single" w:color="auto"/>
          <w:color w:val="0563C1"/>
        </w:rPr>
        <w:t>htps://investors.bakkt.com</w:t>
      </w:r>
      <w:r>
        <w:rPr>
          <w:rFonts w:ascii="Arial" w:cs="Arial" w:eastAsia="Arial" w:hAnsi="Arial"/>
          <w:sz w:val="19"/>
          <w:szCs w:val="19"/>
          <w:color w:val="000000"/>
        </w:rPr>
        <w:t>, along with the earnings press release and accompanying slide presentaton. Investors and analysts interested</w:t>
      </w:r>
      <w:r>
        <w:rPr>
          <w:rFonts w:ascii="Arial" w:cs="Arial" w:eastAsia="Arial" w:hAnsi="Arial"/>
          <w:sz w:val="19"/>
          <w:szCs w:val="19"/>
          <w:color w:val="0563C1"/>
        </w:rPr>
        <w:t xml:space="preserve"> </w:t>
      </w:r>
      <w:r>
        <w:rPr>
          <w:rFonts w:ascii="Arial" w:cs="Arial" w:eastAsia="Arial" w:hAnsi="Arial"/>
          <w:sz w:val="19"/>
          <w:szCs w:val="19"/>
          <w:color w:val="000000"/>
        </w:rPr>
        <w:t>in partcipatng in the call are invited to dial (833) 470-1428 or (404) 975-4839, and reference partcipant access code 178790 approximately ten minutes prior to the start of the call. A replay will be available promptly afer the call and can be accessed by dialing (866) 813-9403 and entering the access code 984736. The replay will be available through December 11, 2023.</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Bakkt</w:t>
      </w:r>
    </w:p>
    <w:p>
      <w:pPr>
        <w:spacing w:after="0" w:line="162" w:lineRule="exact"/>
        <w:rPr>
          <w:sz w:val="20"/>
          <w:szCs w:val="20"/>
          <w:color w:val="auto"/>
        </w:rPr>
      </w:pPr>
    </w:p>
    <w:p>
      <w:pPr>
        <w:ind w:right="460"/>
        <w:spacing w:after="0" w:line="347" w:lineRule="auto"/>
        <w:rPr>
          <w:sz w:val="20"/>
          <w:szCs w:val="20"/>
          <w:color w:val="auto"/>
        </w:rPr>
      </w:pPr>
      <w:r>
        <w:rPr>
          <w:rFonts w:ascii="Arial" w:cs="Arial" w:eastAsia="Arial" w:hAnsi="Arial"/>
          <w:sz w:val="18"/>
          <w:szCs w:val="18"/>
          <w:color w:val="auto"/>
        </w:rPr>
        <w:t>Founded in 2018, Bakkt builds solutons that enable our clients to grow with the crypto economy. Through insttutonal-grade custody, trading, and onramp capabilites, our clients leverage technology that’s built for sustainable, long-term involvement in crypto.</w:t>
      </w:r>
    </w:p>
    <w:p>
      <w:pPr>
        <w:spacing w:after="0" w:line="22" w:lineRule="exact"/>
        <w:rPr>
          <w:sz w:val="20"/>
          <w:szCs w:val="20"/>
          <w:color w:val="auto"/>
        </w:rPr>
      </w:pPr>
    </w:p>
    <w:p>
      <w:pPr>
        <w:ind w:right="3440"/>
        <w:spacing w:after="0" w:line="242" w:lineRule="auto"/>
        <w:rPr>
          <w:sz w:val="20"/>
          <w:szCs w:val="20"/>
          <w:color w:val="auto"/>
        </w:rPr>
      </w:pPr>
      <w:r>
        <w:rPr>
          <w:rFonts w:ascii="Arial" w:cs="Arial" w:eastAsia="Arial" w:hAnsi="Arial"/>
          <w:sz w:val="19"/>
          <w:szCs w:val="19"/>
          <w:color w:val="auto"/>
        </w:rPr>
        <w:t>Bakkt is headquartered in Alphareta, GA. For more informaton, visit: htps://www.bakkt.com/ | X (Formerly Twiter) @Bakkt | LinkedIn htps://www.linkedin.com/company/bakkt/.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Bakkt-E</w:t>
      </w:r>
    </w:p>
    <w:p>
      <w:pPr>
        <w:spacing w:after="0" w:line="236" w:lineRule="auto"/>
        <w:rPr>
          <w:sz w:val="20"/>
          <w:szCs w:val="20"/>
          <w:color w:val="auto"/>
        </w:rPr>
      </w:pPr>
      <w:r>
        <w:rPr>
          <w:rFonts w:ascii="Arial" w:cs="Arial" w:eastAsia="Arial" w:hAnsi="Arial"/>
          <w:sz w:val="16"/>
          <w:szCs w:val="16"/>
          <w:i w:val="1"/>
          <w:iCs w:val="1"/>
          <w:color w:val="auto"/>
        </w:rPr>
        <w:t>Source: Bakkt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440" w:right="379" w:bottom="1440" w:gutter="0" w:footer="0" w:header="0"/>
        </w:sectPr>
      </w:pPr>
    </w:p>
    <w:bookmarkStart w:id="7" w:name="page8"/>
    <w:bookmarkEnd w:id="7"/>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217170</wp:posOffset>
            </wp:positionV>
            <wp:extent cx="1028700"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Relatons</w:t>
      </w:r>
    </w:p>
    <w:p>
      <w:pPr>
        <w:spacing w:after="0" w:line="232" w:lineRule="auto"/>
        <w:rPr>
          <w:sz w:val="20"/>
          <w:szCs w:val="20"/>
          <w:color w:val="auto"/>
        </w:rPr>
      </w:pPr>
      <w:r>
        <w:rPr>
          <w:rFonts w:ascii="Arial" w:cs="Arial" w:eastAsia="Arial" w:hAnsi="Arial"/>
          <w:sz w:val="20"/>
          <w:szCs w:val="20"/>
          <w:color w:val="auto"/>
        </w:rPr>
        <w:t>Ann DeVries, Head of Investor Relatons</w:t>
      </w:r>
    </w:p>
    <w:p>
      <w:pPr>
        <w:spacing w:after="0" w:line="211" w:lineRule="auto"/>
        <w:rPr>
          <w:sz w:val="20"/>
          <w:szCs w:val="20"/>
          <w:color w:val="auto"/>
        </w:rPr>
      </w:pPr>
      <w:r>
        <w:rPr>
          <w:rFonts w:ascii="Arial" w:cs="Arial" w:eastAsia="Arial" w:hAnsi="Arial"/>
          <w:sz w:val="20"/>
          <w:szCs w:val="20"/>
          <w:u w:val="single" w:color="auto"/>
          <w:color w:val="0563C1"/>
        </w:rPr>
        <w:t>Ann.DeVries@bakkt.com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2" w:lineRule="auto"/>
        <w:rPr>
          <w:sz w:val="20"/>
          <w:szCs w:val="20"/>
          <w:color w:val="auto"/>
        </w:rPr>
      </w:pPr>
      <w:r>
        <w:rPr>
          <w:rFonts w:ascii="Arial" w:cs="Arial" w:eastAsia="Arial" w:hAnsi="Arial"/>
          <w:sz w:val="20"/>
          <w:szCs w:val="20"/>
          <w:u w:val="single" w:color="auto"/>
          <w:color w:val="0563C1"/>
        </w:rPr>
        <w:t>press@bakkt.com</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This press release contains “forward-looking statements” within the meaning of Secton 27A of the Securites Act of 1933, as amended, and Secton 21E of the Securites Exchange Act of 1934, as amended. Such statements include, but are not limited to, statements regarding the impacts from the Apex Crypto acquisiton, Bakkt’s guidance regarding Apex Crypto’s full year 2023 results, and Bakkt’s guidance, plans, objectves, expectatons and intentons with respect to future operatons, products, services,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 statements as a result of the following factors, among others: Bakkt’s ability to grow and manage growth proftably; changes in Bakkt’s business strategy; changes in the market in which Bakkt competes, including with respect to its compettve landscape, technology evoluton or changes in applicable laws or regulatons; changes in the markets that Bakkt targets; disruptons in the crypto market that subject Bakkt to additonal risks, including the risk that banks may not provide banking services to Bakkt; the possibility that Bakkt may be adversely afected by other economic, business, and/or compettve factors; the inability to launch new services and products or to proftably expand into new markets and services; the inability to execute Bakkt’s growth strategies, including identfying and executng acquisitons and Bakkt’s initatves to add new clients; Bakkt’s failure to comply with extensive government regulaton, oversight, licensure and appraisals; uncertain regulatory regime governing blockchain technologies and crypto; the inability to develop and maintain efectve internal controls and procedures; the exposure to any liability, protracted and costly litgaton or reputatonal damage relatng to Bakkt’s data security; the impact of any goodwill or other intangible assets impairments on Bakkt’s operatng results; the impact of any pandemics or other public health emergencies; Bakkt’s inability to maintain the listng of its securites on the New York Stock Exchange; and other risks and uncertaintes indicated in Bakkt’s flings with the Securites and Exchange Commission.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20" w:top="1440"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217170</wp:posOffset>
            </wp:positionV>
            <wp:extent cx="1028700"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Defnitons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Crypto-enabled accounts</w:t>
      </w:r>
      <w:r>
        <w:rPr>
          <w:rFonts w:ascii="Arial" w:cs="Arial" w:eastAsia="Arial" w:hAnsi="Arial"/>
          <w:sz w:val="20"/>
          <w:szCs w:val="20"/>
          <w:color w:val="auto"/>
        </w:rPr>
        <w:t>: total crypto accounts open.</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Transactng accounts</w:t>
      </w:r>
      <w:r>
        <w:rPr>
          <w:rFonts w:ascii="Arial" w:cs="Arial" w:eastAsia="Arial" w:hAnsi="Arial"/>
          <w:sz w:val="19"/>
          <w:szCs w:val="19"/>
          <w:color w:val="auto"/>
        </w:rPr>
        <w:t>: unique accounts that perform at least one transacton across crypto buy/sell and loyalty redempton each month.</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Monthly fgures are de-duped for the month. Quarterly fgure represents sum of all months in the quarter.</w:t>
      </w:r>
    </w:p>
    <w:p>
      <w:pPr>
        <w:spacing w:after="0" w:line="154"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u w:val="single" w:color="auto"/>
          <w:color w:val="auto"/>
        </w:rPr>
        <w:t>Notonal traded volume</w:t>
      </w:r>
      <w:r>
        <w:rPr>
          <w:rFonts w:ascii="Arial" w:cs="Arial" w:eastAsia="Arial" w:hAnsi="Arial"/>
          <w:sz w:val="20"/>
          <w:szCs w:val="20"/>
          <w:color w:val="auto"/>
        </w:rPr>
        <w:t>: total notonal volume of transactons across crypto buy/sell and loyalty redempton. Figures represent gross values recorded as of order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custody</w:t>
      </w:r>
      <w:r>
        <w:rPr>
          <w:rFonts w:ascii="Arial" w:cs="Arial" w:eastAsia="Arial" w:hAnsi="Arial"/>
          <w:sz w:val="18"/>
          <w:szCs w:val="18"/>
          <w:color w:val="auto"/>
        </w:rPr>
        <w:t>: the sum of coin quanttes held by customers multplied by the fnal quote for each coin on the last day of the quarter.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Adjusted EBITDA is a non-GAAP fnancial measure, which we defne as earnings before interest, income taxes, depreciaton, amortzaton, acquisiton-related expenses, share-based and unit-based compensaton expense, goodwill and intangible assets impairments, restructuring charges, changes in the fair value of our warrant liability and certain other non-cash and/or non-recurring items that do not contribute directly to our evaluaton of operatng results and are not components of our core business operatons. Adjusted EBITDA provides management with an understanding of earnings before the impact of investng and fnancing transactons and income taxes, and the efects of aforementoned items that do not refect the ordinary earnings of our operatons. This measure may be useful to an investor in evaluatng our performance. Adjusted EBITDA is not a measure of our fnancial performance under GAAP and should not be considered as an alternatve to net income (loss) or other performance measures derived in accordance with GAAP. Our defniton of Adjusted EBITDA may not be comparable to similarly ted measures used by other companies.</w:t>
      </w:r>
    </w:p>
    <w:p>
      <w:pPr>
        <w:spacing w:after="0" w:line="109" w:lineRule="exact"/>
        <w:rPr>
          <w:sz w:val="20"/>
          <w:szCs w:val="20"/>
          <w:color w:val="auto"/>
        </w:rPr>
      </w:pPr>
    </w:p>
    <w:p>
      <w:pPr>
        <w:ind w:right="60"/>
        <w:spacing w:after="0" w:line="265" w:lineRule="auto"/>
        <w:rPr>
          <w:sz w:val="20"/>
          <w:szCs w:val="20"/>
          <w:color w:val="auto"/>
        </w:rPr>
      </w:pPr>
      <w:r>
        <w:rPr>
          <w:rFonts w:ascii="Arial" w:cs="Arial" w:eastAsia="Arial" w:hAnsi="Arial"/>
          <w:sz w:val="20"/>
          <w:szCs w:val="20"/>
          <w:color w:val="auto"/>
        </w:rPr>
        <w:t>Non-GAAP fnancial measures like Adjusted EBITDA have limitatons, should be considered as supplemental in nature and are not meant as a substtute for the related fnancial informaton prepared in accordance with GAAP. The non-GAAP fnancial measures should be considered alongside other fnancial performance measures, including net loss and our other fnancial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217170</wp:posOffset>
            </wp:positionV>
            <wp:extent cx="1028700" cy="540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Reconciliaton of GAAP Net Loss to Non-GAAP Adjusted EBITDA Loss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740" w:type="dxa"/>
            <w:vAlign w:val="bottom"/>
            <w:shd w:val="clear" w:color="auto" w:fill="000000"/>
          </w:tcPr>
          <w:p>
            <w:pPr>
              <w:ind w:left="40"/>
              <w:spacing w:after="0"/>
              <w:rPr>
                <w:sz w:val="20"/>
                <w:szCs w:val="20"/>
                <w:color w:val="auto"/>
              </w:rPr>
            </w:pPr>
            <w:r>
              <w:rPr>
                <w:rFonts w:ascii="Arial" w:cs="Arial" w:eastAsia="Arial" w:hAnsi="Arial"/>
                <w:sz w:val="18"/>
                <w:szCs w:val="18"/>
                <w:b w:val="1"/>
                <w:bCs w:val="1"/>
                <w:color w:val="FFFFFF"/>
              </w:rPr>
              <w:t>$ in millions</w:t>
            </w:r>
          </w:p>
        </w:tc>
        <w:tc>
          <w:tcPr>
            <w:tcW w:w="2160" w:type="dxa"/>
            <w:vAlign w:val="bottom"/>
            <w:shd w:val="clear" w:color="auto" w:fill="000000"/>
          </w:tcPr>
          <w:p>
            <w:pPr>
              <w:ind w:left="1740"/>
              <w:spacing w:after="0"/>
              <w:rPr>
                <w:sz w:val="20"/>
                <w:szCs w:val="20"/>
                <w:color w:val="auto"/>
              </w:rPr>
            </w:pPr>
            <w:r>
              <w:rPr>
                <w:rFonts w:ascii="Arial" w:cs="Arial" w:eastAsia="Arial" w:hAnsi="Arial"/>
                <w:sz w:val="18"/>
                <w:szCs w:val="18"/>
                <w:b w:val="1"/>
                <w:bCs w:val="1"/>
                <w:color w:val="FFFFFF"/>
                <w:w w:val="90"/>
              </w:rPr>
              <w:t>3Q23</w:t>
            </w:r>
          </w:p>
        </w:tc>
        <w:tc>
          <w:tcPr>
            <w:tcW w:w="2160" w:type="dxa"/>
            <w:vAlign w:val="bottom"/>
            <w:shd w:val="clear" w:color="auto" w:fill="000000"/>
          </w:tcPr>
          <w:p>
            <w:pPr>
              <w:ind w:left="1740"/>
              <w:spacing w:after="0"/>
              <w:rPr>
                <w:sz w:val="20"/>
                <w:szCs w:val="20"/>
                <w:color w:val="auto"/>
              </w:rPr>
            </w:pPr>
            <w:r>
              <w:rPr>
                <w:rFonts w:ascii="Arial" w:cs="Arial" w:eastAsia="Arial" w:hAnsi="Arial"/>
                <w:sz w:val="18"/>
                <w:szCs w:val="18"/>
                <w:b w:val="1"/>
                <w:bCs w:val="1"/>
                <w:color w:val="FFFFFF"/>
                <w:w w:val="90"/>
              </w:rPr>
              <w:t>3Q22</w:t>
            </w:r>
          </w:p>
        </w:tc>
      </w:tr>
      <w:tr>
        <w:trPr>
          <w:trHeight w:val="60"/>
        </w:trPr>
        <w:tc>
          <w:tcPr>
            <w:tcW w:w="5740" w:type="dxa"/>
            <w:vAlign w:val="bottom"/>
            <w:shd w:val="clear" w:color="auto" w:fill="000000"/>
          </w:tcPr>
          <w:p>
            <w:pPr>
              <w:spacing w:after="0"/>
              <w:rPr>
                <w:sz w:val="5"/>
                <w:szCs w:val="5"/>
                <w:color w:val="auto"/>
              </w:rPr>
            </w:pPr>
          </w:p>
        </w:tc>
        <w:tc>
          <w:tcPr>
            <w:tcW w:w="2160" w:type="dxa"/>
            <w:vAlign w:val="bottom"/>
            <w:shd w:val="clear" w:color="auto" w:fill="000000"/>
          </w:tcPr>
          <w:p>
            <w:pPr>
              <w:spacing w:after="0"/>
              <w:rPr>
                <w:sz w:val="5"/>
                <w:szCs w:val="5"/>
                <w:color w:val="auto"/>
              </w:rPr>
            </w:pPr>
          </w:p>
        </w:tc>
        <w:tc>
          <w:tcPr>
            <w:tcW w:w="2160" w:type="dxa"/>
            <w:vAlign w:val="bottom"/>
            <w:shd w:val="clear" w:color="auto" w:fill="000000"/>
          </w:tcPr>
          <w:p>
            <w:pPr>
              <w:spacing w:after="0"/>
              <w:rPr>
                <w:sz w:val="5"/>
                <w:szCs w:val="5"/>
                <w:color w:val="auto"/>
              </w:rPr>
            </w:pPr>
          </w:p>
        </w:tc>
      </w:tr>
    </w:tbl>
    <w:p>
      <w:pPr>
        <w:spacing w:after="0" w:line="1" w:lineRule="exact"/>
        <w:rPr>
          <w:sz w:val="20"/>
          <w:szCs w:val="20"/>
          <w:color w:val="auto"/>
        </w:rPr>
      </w:pPr>
    </w:p>
    <w:p>
      <w:pPr>
        <w:sectPr>
          <w:pgSz w:w="11900" w:h="16838" w:orient="portrait"/>
          <w:cols w:equalWidth="0" w:num="1">
            <w:col w:w="10139"/>
          </w:cols>
          <w:pgMar w:left="320" w:top="1440" w:right="1440" w:bottom="1440" w:gutter="0" w:footer="0" w:header="0"/>
        </w:sectPr>
      </w:pPr>
    </w:p>
    <w:p>
      <w:pPr>
        <w:ind w:left="20"/>
        <w:spacing w:after="0"/>
        <w:rPr>
          <w:sz w:val="20"/>
          <w:szCs w:val="20"/>
          <w:color w:val="auto"/>
        </w:rPr>
      </w:pPr>
      <w:r>
        <w:rPr>
          <w:rFonts w:ascii="Arial" w:cs="Arial" w:eastAsia="Arial" w:hAnsi="Arial"/>
          <w:sz w:val="18"/>
          <w:szCs w:val="18"/>
          <w:color w:val="auto"/>
        </w:rPr>
        <w:t>Net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Depreciaton and amortzaton</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 net</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Income tax expense (beneft)</w:t>
      </w:r>
    </w:p>
    <w:p>
      <w:pPr>
        <w:spacing w:after="0" w:line="20" w:lineRule="exact"/>
        <w:rPr>
          <w:sz w:val="20"/>
          <w:szCs w:val="20"/>
          <w:color w:val="auto"/>
        </w:rPr>
      </w:pPr>
      <w:r>
        <w:rPr>
          <w:sz w:val="20"/>
          <w:szCs w:val="20"/>
          <w:color w:val="auto"/>
        </w:rPr>
        <w:br w:type="column"/>
      </w:r>
    </w:p>
    <w:p>
      <w:pPr>
        <w:spacing w:after="0"/>
        <w:tabs>
          <w:tab w:leader="none" w:pos="190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color w:val="auto"/>
        </w:rPr>
        <w:t>$(1,592.5)</w:t>
      </w:r>
    </w:p>
    <w:p>
      <w:pPr>
        <w:spacing w:after="0" w:line="71" w:lineRule="exact"/>
        <w:rPr>
          <w:sz w:val="20"/>
          <w:szCs w:val="20"/>
          <w:color w:val="auto"/>
        </w:rPr>
      </w:pPr>
    </w:p>
    <w:p>
      <w:pPr>
        <w:jc w:val="right"/>
        <w:ind w:right="99"/>
        <w:spacing w:after="0"/>
        <w:tabs>
          <w:tab w:leader="none" w:pos="2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7"/>
          <w:szCs w:val="17"/>
          <w:color w:val="auto"/>
        </w:rPr>
        <w:t>6.4</w:t>
      </w:r>
    </w:p>
    <w:p>
      <w:pPr>
        <w:spacing w:after="0" w:line="77" w:lineRule="exact"/>
        <w:rPr>
          <w:sz w:val="20"/>
          <w:szCs w:val="20"/>
          <w:color w:val="auto"/>
        </w:rPr>
      </w:pPr>
    </w:p>
    <w:p>
      <w:pPr>
        <w:ind w:left="180"/>
        <w:spacing w:after="0"/>
        <w:tabs>
          <w:tab w:leader="none" w:pos="2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(0.6)</w:t>
      </w:r>
    </w:p>
    <w:p>
      <w:pPr>
        <w:spacing w:after="0" w:line="77" w:lineRule="exact"/>
        <w:rPr>
          <w:sz w:val="20"/>
          <w:szCs w:val="20"/>
          <w:color w:val="auto"/>
        </w:rPr>
      </w:pPr>
    </w:p>
    <w:p>
      <w:pPr>
        <w:ind w:left="280"/>
        <w:spacing w:after="0"/>
        <w:tabs>
          <w:tab w:leader="none" w:pos="2320" w:val="left"/>
        </w:tabs>
        <w:rPr>
          <w:sz w:val="20"/>
          <w:szCs w:val="20"/>
          <w:color w:val="auto"/>
        </w:rPr>
      </w:pPr>
      <w:r>
        <w:rPr>
          <w:rFonts w:ascii="Arial" w:cs="Arial" w:eastAsia="Arial" w:hAnsi="Arial"/>
          <w:sz w:val="18"/>
          <w:szCs w:val="18"/>
          <w:color w:val="auto"/>
        </w:rPr>
        <w:t>0.2</w:t>
      </w:r>
      <w:r>
        <w:rPr>
          <w:sz w:val="20"/>
          <w:szCs w:val="20"/>
          <w:color w:val="auto"/>
        </w:rPr>
        <w:tab/>
      </w:r>
      <w:r>
        <w:rPr>
          <w:rFonts w:ascii="Arial" w:cs="Arial" w:eastAsia="Arial" w:hAnsi="Arial"/>
          <w:sz w:val="16"/>
          <w:szCs w:val="16"/>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52070</wp:posOffset>
            </wp:positionV>
            <wp:extent cx="2743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640" w:space="720"/>
            <w:col w:w="2779"/>
          </w:cols>
          <w:pgMar w:left="320" w:top="1440" w:right="1440"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840" w:type="dxa"/>
            <w:vAlign w:val="bottom"/>
          </w:tcPr>
          <w:p>
            <w:pPr>
              <w:jc w:val="right"/>
              <w:ind w:right="610"/>
              <w:spacing w:after="0"/>
              <w:rPr>
                <w:sz w:val="20"/>
                <w:szCs w:val="20"/>
                <w:color w:val="auto"/>
              </w:rPr>
            </w:pPr>
            <w:r>
              <w:rPr>
                <w:rFonts w:ascii="Arial" w:cs="Arial" w:eastAsia="Arial" w:hAnsi="Arial"/>
                <w:sz w:val="18"/>
                <w:szCs w:val="18"/>
                <w:b w:val="1"/>
                <w:bCs w:val="1"/>
                <w:color w:val="auto"/>
              </w:rPr>
              <w:t>$(48.7)</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$(1,587.4)</w:t>
            </w:r>
          </w:p>
        </w:tc>
      </w:tr>
      <w:tr>
        <w:trPr>
          <w:trHeight w:val="282"/>
        </w:trPr>
        <w:tc>
          <w:tcPr>
            <w:tcW w:w="5740" w:type="dxa"/>
            <w:vAlign w:val="bottom"/>
          </w:tcPr>
          <w:p>
            <w:pPr>
              <w:ind w:left="20"/>
              <w:spacing w:after="0"/>
              <w:rPr>
                <w:sz w:val="20"/>
                <w:szCs w:val="20"/>
                <w:color w:val="auto"/>
              </w:rPr>
            </w:pPr>
            <w:r>
              <w:rPr>
                <w:rFonts w:ascii="Arial" w:cs="Arial" w:eastAsia="Arial" w:hAnsi="Arial"/>
                <w:sz w:val="18"/>
                <w:szCs w:val="18"/>
                <w:color w:val="auto"/>
              </w:rPr>
              <w:t>Acquisiton-related expenses</w:t>
            </w:r>
          </w:p>
        </w:tc>
        <w:tc>
          <w:tcPr>
            <w:tcW w:w="2840" w:type="dxa"/>
            <w:vAlign w:val="bottom"/>
          </w:tcPr>
          <w:p>
            <w:pPr>
              <w:jc w:val="right"/>
              <w:ind w:right="610"/>
              <w:spacing w:after="0"/>
              <w:rPr>
                <w:sz w:val="20"/>
                <w:szCs w:val="20"/>
                <w:color w:val="auto"/>
              </w:rPr>
            </w:pPr>
            <w:r>
              <w:rPr>
                <w:rFonts w:ascii="Arial" w:cs="Arial" w:eastAsia="Arial" w:hAnsi="Arial"/>
                <w:sz w:val="18"/>
                <w:szCs w:val="18"/>
                <w:color w:val="auto"/>
              </w:rPr>
              <w:t>(0.7)</w:t>
            </w: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83"/>
        </w:trPr>
        <w:tc>
          <w:tcPr>
            <w:tcW w:w="5740" w:type="dxa"/>
            <w:vAlign w:val="bottom"/>
          </w:tcPr>
          <w:p>
            <w:pPr>
              <w:ind w:left="20"/>
              <w:spacing w:after="0"/>
              <w:rPr>
                <w:sz w:val="20"/>
                <w:szCs w:val="20"/>
                <w:color w:val="auto"/>
              </w:rPr>
            </w:pPr>
            <w:r>
              <w:rPr>
                <w:rFonts w:ascii="Arial" w:cs="Arial" w:eastAsia="Arial" w:hAnsi="Arial"/>
                <w:sz w:val="18"/>
                <w:szCs w:val="18"/>
                <w:color w:val="auto"/>
              </w:rPr>
              <w:t>Share-based and unit-based compensaton expense</w:t>
            </w:r>
          </w:p>
        </w:tc>
        <w:tc>
          <w:tcPr>
            <w:tcW w:w="2840" w:type="dxa"/>
            <w:vAlign w:val="bottom"/>
          </w:tcPr>
          <w:p>
            <w:pPr>
              <w:jc w:val="right"/>
              <w:ind w:right="610"/>
              <w:spacing w:after="0"/>
              <w:rPr>
                <w:sz w:val="20"/>
                <w:szCs w:val="20"/>
                <w:color w:val="auto"/>
              </w:rPr>
            </w:pPr>
            <w:r>
              <w:rPr>
                <w:rFonts w:ascii="Arial" w:cs="Arial" w:eastAsia="Arial" w:hAnsi="Arial"/>
                <w:sz w:val="18"/>
                <w:szCs w:val="18"/>
                <w:color w:val="auto"/>
              </w:rPr>
              <w:t>3.3</w:t>
            </w: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83"/>
        </w:trPr>
        <w:tc>
          <w:tcPr>
            <w:tcW w:w="5740" w:type="dxa"/>
            <w:vAlign w:val="bottom"/>
          </w:tcPr>
          <w:p>
            <w:pPr>
              <w:ind w:left="20"/>
              <w:spacing w:after="0"/>
              <w:rPr>
                <w:sz w:val="20"/>
                <w:szCs w:val="20"/>
                <w:color w:val="auto"/>
              </w:rPr>
            </w:pPr>
            <w:r>
              <w:rPr>
                <w:rFonts w:ascii="Arial" w:cs="Arial" w:eastAsia="Arial" w:hAnsi="Arial"/>
                <w:sz w:val="18"/>
                <w:szCs w:val="18"/>
                <w:color w:val="auto"/>
              </w:rPr>
              <w:t>Cancellaton of common units</w:t>
            </w:r>
          </w:p>
        </w:tc>
        <w:tc>
          <w:tcPr>
            <w:tcW w:w="2840" w:type="dxa"/>
            <w:vAlign w:val="bottom"/>
          </w:tcPr>
          <w:p>
            <w:pPr>
              <w:jc w:val="right"/>
              <w:ind w:right="610"/>
              <w:spacing w:after="0"/>
              <w:rPr>
                <w:sz w:val="20"/>
                <w:szCs w:val="20"/>
                <w:color w:val="auto"/>
              </w:rPr>
            </w:pPr>
            <w:r>
              <w:rPr>
                <w:rFonts w:ascii="Arial" w:cs="Arial" w:eastAsia="Arial" w:hAnsi="Arial"/>
                <w:sz w:val="18"/>
                <w:szCs w:val="18"/>
                <w:color w:val="auto"/>
              </w:rPr>
              <w:t>(0.0)</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83"/>
        </w:trPr>
        <w:tc>
          <w:tcPr>
            <w:tcW w:w="5740" w:type="dxa"/>
            <w:vAlign w:val="bottom"/>
          </w:tcPr>
          <w:p>
            <w:pPr>
              <w:ind w:left="20"/>
              <w:spacing w:after="0"/>
              <w:rPr>
                <w:sz w:val="20"/>
                <w:szCs w:val="20"/>
                <w:color w:val="auto"/>
              </w:rPr>
            </w:pPr>
            <w:r>
              <w:rPr>
                <w:rFonts w:ascii="Arial" w:cs="Arial" w:eastAsia="Arial" w:hAnsi="Arial"/>
                <w:sz w:val="18"/>
                <w:szCs w:val="18"/>
                <w:color w:val="auto"/>
              </w:rPr>
              <w:t>Loss (gain) from change in fair value of warrant liability</w:t>
            </w:r>
          </w:p>
        </w:tc>
        <w:tc>
          <w:tcPr>
            <w:tcW w:w="2840" w:type="dxa"/>
            <w:vAlign w:val="bottom"/>
          </w:tcPr>
          <w:p>
            <w:pPr>
              <w:jc w:val="right"/>
              <w:ind w:right="610"/>
              <w:spacing w:after="0"/>
              <w:rPr>
                <w:sz w:val="20"/>
                <w:szCs w:val="20"/>
                <w:color w:val="auto"/>
              </w:rPr>
            </w:pPr>
            <w:r>
              <w:rPr>
                <w:rFonts w:ascii="Arial" w:cs="Arial" w:eastAsia="Arial" w:hAnsi="Arial"/>
                <w:sz w:val="18"/>
                <w:szCs w:val="18"/>
                <w:color w:val="auto"/>
              </w:rPr>
              <w:t>0.2</w:t>
            </w: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83"/>
        </w:trPr>
        <w:tc>
          <w:tcPr>
            <w:tcW w:w="5740" w:type="dxa"/>
            <w:vAlign w:val="bottom"/>
          </w:tcPr>
          <w:p>
            <w:pPr>
              <w:ind w:left="20"/>
              <w:spacing w:after="0"/>
              <w:rPr>
                <w:sz w:val="20"/>
                <w:szCs w:val="20"/>
                <w:color w:val="auto"/>
              </w:rPr>
            </w:pPr>
            <w:r>
              <w:rPr>
                <w:rFonts w:ascii="Arial" w:cs="Arial" w:eastAsia="Arial" w:hAnsi="Arial"/>
                <w:sz w:val="18"/>
                <w:szCs w:val="18"/>
                <w:color w:val="auto"/>
              </w:rPr>
              <w:t>Goodwill and intangible assets impairments</w:t>
            </w:r>
          </w:p>
        </w:tc>
        <w:tc>
          <w:tcPr>
            <w:tcW w:w="2840" w:type="dxa"/>
            <w:vAlign w:val="bottom"/>
          </w:tcPr>
          <w:p>
            <w:pPr>
              <w:jc w:val="right"/>
              <w:ind w:right="610"/>
              <w:spacing w:after="0"/>
              <w:rPr>
                <w:sz w:val="20"/>
                <w:szCs w:val="20"/>
                <w:color w:val="auto"/>
              </w:rPr>
            </w:pPr>
            <w:r>
              <w:rPr>
                <w:rFonts w:ascii="Arial" w:cs="Arial" w:eastAsia="Arial" w:hAnsi="Arial"/>
                <w:sz w:val="18"/>
                <w:szCs w:val="18"/>
                <w:color w:val="auto"/>
              </w:rPr>
              <w:t>23.3</w:t>
            </w:r>
          </w:p>
        </w:tc>
        <w:tc>
          <w:tcPr>
            <w:tcW w:w="1480" w:type="dxa"/>
            <w:vAlign w:val="bottom"/>
          </w:tcPr>
          <w:p>
            <w:pPr>
              <w:jc w:val="right"/>
              <w:spacing w:after="0"/>
              <w:rPr>
                <w:sz w:val="20"/>
                <w:szCs w:val="20"/>
                <w:color w:val="auto"/>
              </w:rPr>
            </w:pPr>
            <w:r>
              <w:rPr>
                <w:rFonts w:ascii="Arial" w:cs="Arial" w:eastAsia="Arial" w:hAnsi="Arial"/>
                <w:sz w:val="18"/>
                <w:szCs w:val="18"/>
                <w:color w:val="auto"/>
              </w:rPr>
              <w:t>1,547.7</w:t>
            </w:r>
          </w:p>
        </w:tc>
      </w:tr>
      <w:tr>
        <w:trPr>
          <w:trHeight w:val="283"/>
        </w:trPr>
        <w:tc>
          <w:tcPr>
            <w:tcW w:w="574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2840" w:type="dxa"/>
            <w:vAlign w:val="bottom"/>
          </w:tcPr>
          <w:p>
            <w:pPr>
              <w:jc w:val="right"/>
              <w:ind w:right="610"/>
              <w:spacing w:after="0"/>
              <w:rPr>
                <w:sz w:val="20"/>
                <w:szCs w:val="20"/>
                <w:color w:val="auto"/>
              </w:rPr>
            </w:pPr>
            <w:r>
              <w:rPr>
                <w:rFonts w:ascii="Arial" w:cs="Arial" w:eastAsia="Arial" w:hAnsi="Arial"/>
                <w:sz w:val="18"/>
                <w:szCs w:val="18"/>
                <w:color w:val="auto"/>
              </w:rPr>
              <w:t>0.1</w:t>
            </w:r>
          </w:p>
        </w:tc>
        <w:tc>
          <w:tcPr>
            <w:tcW w:w="14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84"/>
        </w:trPr>
        <w:tc>
          <w:tcPr>
            <w:tcW w:w="5740" w:type="dxa"/>
            <w:vAlign w:val="bottom"/>
          </w:tcPr>
          <w:p>
            <w:pPr>
              <w:ind w:left="20"/>
              <w:spacing w:after="0"/>
              <w:rPr>
                <w:sz w:val="20"/>
                <w:szCs w:val="20"/>
                <w:color w:val="auto"/>
              </w:rPr>
            </w:pPr>
            <w:r>
              <w:rPr>
                <w:rFonts w:ascii="Arial" w:cs="Arial" w:eastAsia="Arial" w:hAnsi="Arial"/>
                <w:sz w:val="18"/>
                <w:szCs w:val="18"/>
                <w:color w:val="auto"/>
              </w:rPr>
              <w:t>Transiton services expense</w:t>
            </w:r>
          </w:p>
        </w:tc>
        <w:tc>
          <w:tcPr>
            <w:tcW w:w="2840" w:type="dxa"/>
            <w:vAlign w:val="bottom"/>
          </w:tcPr>
          <w:p>
            <w:pPr>
              <w:jc w:val="right"/>
              <w:ind w:right="610"/>
              <w:spacing w:after="0"/>
              <w:rPr>
                <w:sz w:val="20"/>
                <w:szCs w:val="20"/>
                <w:color w:val="auto"/>
              </w:rPr>
            </w:pPr>
            <w:r>
              <w:rPr>
                <w:rFonts w:ascii="Arial" w:cs="Arial" w:eastAsia="Arial" w:hAnsi="Arial"/>
                <w:sz w:val="18"/>
                <w:szCs w:val="18"/>
                <w:color w:val="auto"/>
              </w:rPr>
              <w:t>1.0</w:t>
            </w: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62"/>
        </w:trPr>
        <w:tc>
          <w:tcPr>
            <w:tcW w:w="5740" w:type="dxa"/>
            <w:vAlign w:val="bottom"/>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Adjusted EBITDA loss</w:t>
            </w:r>
          </w:p>
        </w:tc>
        <w:tc>
          <w:tcPr>
            <w:tcW w:w="2840" w:type="dxa"/>
            <w:vAlign w:val="bottom"/>
          </w:tcPr>
          <w:p>
            <w:pPr>
              <w:jc w:val="right"/>
              <w:ind w:right="610"/>
              <w:spacing w:after="0"/>
              <w:rPr>
                <w:sz w:val="20"/>
                <w:szCs w:val="20"/>
                <w:color w:val="auto"/>
              </w:rPr>
            </w:pPr>
            <w:r>
              <w:rPr>
                <w:rFonts w:ascii="Arial" w:cs="Arial" w:eastAsia="Arial" w:hAnsi="Arial"/>
                <w:sz w:val="18"/>
                <w:szCs w:val="18"/>
                <w:b w:val="1"/>
                <w:bCs w:val="1"/>
                <w:color w:val="auto"/>
              </w:rPr>
              <w:t>$(21.6)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$(30.7)</w:t>
            </w:r>
          </w:p>
        </w:tc>
      </w:tr>
      <w:tr>
        <w:trPr>
          <w:trHeight w:val="53"/>
        </w:trPr>
        <w:tc>
          <w:tcPr>
            <w:tcW w:w="574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62"/>
        </w:trPr>
        <w:tc>
          <w:tcPr>
            <w:tcW w:w="57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139"/>
          </w:cols>
          <w:pgMar w:left="320" w:top="1440" w:right="1440"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217805</wp:posOffset>
            </wp:positionV>
            <wp:extent cx="1028700" cy="540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Free Cash Flow is a non-GAAP fnancial measure. Free Cash Flow is cash fow from operatons adjusted for “capitalized internal use sofware development costs and other capital expenditures” and “interest income.” We adjust for capitalized expenses associated with internally developed sofware for our technology platorms given they are a large component of our ongoing expense base given our positon as a technology platorm company.</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Informaton reconciling forward-looking Free Cash Flow to the comparable GAAP fnancial measure is unavailable to us without unreasonable efort. We are not able to provide a reconciliaton of forward-looking Free Cash Flow to the comparable GAAP fnancial measure because certain items required for such reconciliatons are outside of our control and/or cannot be reasonably predicted, such as tming of customer payments for account receivables and payment terms for operatng expenses. Preparaton of such reconciliatons would require a forward-looking statement of income and statement of cash fow, prepared in accordance with GAAP, and such forward-looking fnancial statements are unavailable to us without unreasonable efort (as specifed in the excepton provided by Item 10(e)(1)(i)(B) of Regulaton S-K). We provide a range for our Free Cash Flow forecast that we believe will be achieved, however we cannot accurately predict all the components of the Free Cash Flow calculaton. We provide a Free Cash Flow because we believe that Free Cash Flow, when viewed with our results under GAAP, provides useful informaton for the reasons noted above. However, Free Cash Flow is not a measure of liquidity under GAAP and, accordingly, should not be considered as an alternatve to net cash used in operatng actvites as an indicator of liquidity.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Operating Cash Flow to Non-GAAP Free Cash Flow ($ in millions)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300" w:type="dxa"/>
            <w:vAlign w:val="bottom"/>
            <w:shd w:val="clear" w:color="auto" w:fill="000000"/>
          </w:tcPr>
          <w:p>
            <w:pPr>
              <w:spacing w:after="0"/>
              <w:rPr>
                <w:sz w:val="23"/>
                <w:szCs w:val="23"/>
                <w:color w:val="auto"/>
              </w:rPr>
            </w:pPr>
          </w:p>
        </w:tc>
        <w:tc>
          <w:tcPr>
            <w:tcW w:w="2280" w:type="dxa"/>
            <w:vAlign w:val="bottom"/>
            <w:shd w:val="clear" w:color="auto" w:fill="000000"/>
          </w:tcPr>
          <w:p>
            <w:pPr>
              <w:jc w:val="right"/>
              <w:ind w:right="221"/>
              <w:spacing w:after="0"/>
              <w:rPr>
                <w:sz w:val="20"/>
                <w:szCs w:val="20"/>
                <w:color w:val="auto"/>
              </w:rPr>
            </w:pPr>
            <w:r>
              <w:rPr>
                <w:rFonts w:ascii="Arial" w:cs="Arial" w:eastAsia="Arial" w:hAnsi="Arial"/>
                <w:sz w:val="20"/>
                <w:szCs w:val="20"/>
                <w:b w:val="1"/>
                <w:bCs w:val="1"/>
                <w:color w:val="FFFFFF"/>
              </w:rPr>
              <w:t>FY 2023E</w:t>
            </w:r>
          </w:p>
        </w:tc>
        <w:tc>
          <w:tcPr>
            <w:tcW w:w="900" w:type="dxa"/>
            <w:vAlign w:val="bottom"/>
            <w:shd w:val="clear" w:color="auto" w:fill="000000"/>
          </w:tcPr>
          <w:p>
            <w:pPr>
              <w:spacing w:after="0"/>
              <w:rPr>
                <w:sz w:val="23"/>
                <w:szCs w:val="23"/>
                <w:color w:val="auto"/>
              </w:rPr>
            </w:pPr>
          </w:p>
        </w:tc>
        <w:tc>
          <w:tcPr>
            <w:tcW w:w="460" w:type="dxa"/>
            <w:vAlign w:val="bottom"/>
            <w:shd w:val="clear" w:color="auto" w:fill="000000"/>
          </w:tcPr>
          <w:p>
            <w:pPr>
              <w:spacing w:after="0"/>
              <w:rPr>
                <w:sz w:val="23"/>
                <w:szCs w:val="23"/>
                <w:color w:val="auto"/>
              </w:rPr>
            </w:pPr>
          </w:p>
        </w:tc>
        <w:tc>
          <w:tcPr>
            <w:tcW w:w="2320" w:type="dxa"/>
            <w:vAlign w:val="bottom"/>
            <w:shd w:val="clear" w:color="auto" w:fill="000000"/>
          </w:tcPr>
          <w:p>
            <w:pPr>
              <w:jc w:val="right"/>
              <w:ind w:right="261"/>
              <w:spacing w:after="0"/>
              <w:rPr>
                <w:sz w:val="20"/>
                <w:szCs w:val="20"/>
                <w:color w:val="auto"/>
              </w:rPr>
            </w:pPr>
            <w:r>
              <w:rPr>
                <w:rFonts w:ascii="Arial" w:cs="Arial" w:eastAsia="Arial" w:hAnsi="Arial"/>
                <w:sz w:val="20"/>
                <w:szCs w:val="20"/>
                <w:b w:val="1"/>
                <w:bCs w:val="1"/>
                <w:color w:val="FFFFFF"/>
              </w:rPr>
              <w:t>FY 2024E</w:t>
            </w:r>
          </w:p>
        </w:tc>
        <w:tc>
          <w:tcPr>
            <w:tcW w:w="8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300" w:type="dxa"/>
            <w:vAlign w:val="bottom"/>
            <w:shd w:val="clear" w:color="auto" w:fill="000000"/>
          </w:tcPr>
          <w:p>
            <w:pPr>
              <w:ind w:left="80"/>
              <w:spacing w:after="0"/>
              <w:rPr>
                <w:sz w:val="20"/>
                <w:szCs w:val="20"/>
                <w:color w:val="auto"/>
              </w:rPr>
            </w:pPr>
            <w:r>
              <w:rPr>
                <w:rFonts w:ascii="Arial" w:cs="Arial" w:eastAsia="Arial" w:hAnsi="Arial"/>
                <w:sz w:val="20"/>
                <w:szCs w:val="20"/>
                <w:b w:val="1"/>
                <w:bCs w:val="1"/>
                <w:color w:val="FFFFFF"/>
              </w:rPr>
              <w:t>$ in millions</w:t>
            </w:r>
          </w:p>
        </w:tc>
        <w:tc>
          <w:tcPr>
            <w:tcW w:w="2280" w:type="dxa"/>
            <w:vAlign w:val="bottom"/>
            <w:shd w:val="clear" w:color="auto" w:fill="000000"/>
          </w:tcPr>
          <w:p>
            <w:pPr>
              <w:jc w:val="right"/>
              <w:ind w:right="661"/>
              <w:spacing w:after="0"/>
              <w:rPr>
                <w:sz w:val="20"/>
                <w:szCs w:val="20"/>
                <w:color w:val="auto"/>
              </w:rPr>
            </w:pPr>
            <w:r>
              <w:rPr>
                <w:rFonts w:ascii="Arial" w:cs="Arial" w:eastAsia="Arial" w:hAnsi="Arial"/>
                <w:sz w:val="20"/>
                <w:szCs w:val="20"/>
                <w:b w:val="1"/>
                <w:bCs w:val="1"/>
                <w:color w:val="FFFFFF"/>
              </w:rPr>
              <w:t>Low</w:t>
            </w:r>
          </w:p>
        </w:tc>
        <w:tc>
          <w:tcPr>
            <w:tcW w:w="900" w:type="dxa"/>
            <w:vAlign w:val="bottom"/>
            <w:shd w:val="clear" w:color="auto" w:fill="000000"/>
          </w:tcPr>
          <w:p>
            <w:pPr>
              <w:jc w:val="right"/>
              <w:spacing w:after="0"/>
              <w:rPr>
                <w:sz w:val="20"/>
                <w:szCs w:val="20"/>
                <w:color w:val="auto"/>
              </w:rPr>
            </w:pPr>
            <w:r>
              <w:rPr>
                <w:rFonts w:ascii="Arial" w:cs="Arial" w:eastAsia="Arial" w:hAnsi="Arial"/>
                <w:sz w:val="20"/>
                <w:szCs w:val="20"/>
                <w:b w:val="1"/>
                <w:bCs w:val="1"/>
                <w:color w:val="FFFFFF"/>
              </w:rPr>
              <w:t>High</w:t>
            </w:r>
          </w:p>
        </w:tc>
        <w:tc>
          <w:tcPr>
            <w:tcW w:w="460" w:type="dxa"/>
            <w:vAlign w:val="bottom"/>
            <w:shd w:val="clear" w:color="auto" w:fill="000000"/>
          </w:tcPr>
          <w:p>
            <w:pPr>
              <w:spacing w:after="0"/>
              <w:rPr>
                <w:sz w:val="24"/>
                <w:szCs w:val="24"/>
                <w:color w:val="auto"/>
              </w:rPr>
            </w:pPr>
          </w:p>
        </w:tc>
        <w:tc>
          <w:tcPr>
            <w:tcW w:w="2320" w:type="dxa"/>
            <w:vAlign w:val="bottom"/>
            <w:shd w:val="clear" w:color="auto" w:fill="000000"/>
          </w:tcPr>
          <w:p>
            <w:pPr>
              <w:jc w:val="right"/>
              <w:ind w:right="701"/>
              <w:spacing w:after="0"/>
              <w:rPr>
                <w:sz w:val="20"/>
                <w:szCs w:val="20"/>
                <w:color w:val="auto"/>
              </w:rPr>
            </w:pPr>
            <w:r>
              <w:rPr>
                <w:rFonts w:ascii="Arial" w:cs="Arial" w:eastAsia="Arial" w:hAnsi="Arial"/>
                <w:sz w:val="20"/>
                <w:szCs w:val="20"/>
                <w:b w:val="1"/>
                <w:bCs w:val="1"/>
                <w:color w:val="FFFFFF"/>
              </w:rPr>
              <w:t>Low</w:t>
            </w:r>
          </w:p>
        </w:tc>
        <w:tc>
          <w:tcPr>
            <w:tcW w:w="860" w:type="dxa"/>
            <w:vAlign w:val="bottom"/>
            <w:shd w:val="clear" w:color="auto" w:fill="000000"/>
          </w:tcPr>
          <w:p>
            <w:pPr>
              <w:jc w:val="right"/>
              <w:spacing w:after="0"/>
              <w:rPr>
                <w:sz w:val="20"/>
                <w:szCs w:val="20"/>
                <w:color w:val="auto"/>
              </w:rPr>
            </w:pPr>
            <w:r>
              <w:rPr>
                <w:rFonts w:ascii="Arial" w:cs="Arial" w:eastAsia="Arial" w:hAnsi="Arial"/>
                <w:sz w:val="20"/>
                <w:szCs w:val="20"/>
                <w:b w:val="1"/>
                <w:bCs w:val="1"/>
                <w:color w:val="FFFFFF"/>
              </w:rPr>
              <w:t>High</w:t>
            </w:r>
          </w:p>
        </w:tc>
        <w:tc>
          <w:tcPr>
            <w:tcW w:w="0" w:type="dxa"/>
            <w:vAlign w:val="bottom"/>
          </w:tcPr>
          <w:p>
            <w:pPr>
              <w:spacing w:after="0"/>
              <w:rPr>
                <w:sz w:val="1"/>
                <w:szCs w:val="1"/>
                <w:color w:val="auto"/>
              </w:rPr>
            </w:pPr>
          </w:p>
        </w:tc>
      </w:tr>
      <w:tr>
        <w:trPr>
          <w:trHeight w:val="70"/>
        </w:trPr>
        <w:tc>
          <w:tcPr>
            <w:tcW w:w="4300" w:type="dxa"/>
            <w:vAlign w:val="bottom"/>
            <w:shd w:val="clear" w:color="auto" w:fill="000000"/>
          </w:tcPr>
          <w:p>
            <w:pPr>
              <w:spacing w:after="0"/>
              <w:rPr>
                <w:sz w:val="6"/>
                <w:szCs w:val="6"/>
                <w:color w:val="auto"/>
              </w:rPr>
            </w:pPr>
          </w:p>
        </w:tc>
        <w:tc>
          <w:tcPr>
            <w:tcW w:w="228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2320" w:type="dxa"/>
            <w:vAlign w:val="bottom"/>
            <w:shd w:val="clear" w:color="auto" w:fill="000000"/>
          </w:tcPr>
          <w:p>
            <w:pPr>
              <w:spacing w:after="0"/>
              <w:rPr>
                <w:sz w:val="6"/>
                <w:szCs w:val="6"/>
                <w:color w:val="auto"/>
              </w:rPr>
            </w:pPr>
          </w:p>
        </w:tc>
        <w:tc>
          <w:tcPr>
            <w:tcW w:w="8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300" w:type="dxa"/>
            <w:vAlign w:val="bottom"/>
          </w:tcPr>
          <w:p>
            <w:pPr>
              <w:ind w:left="80"/>
              <w:spacing w:after="0"/>
              <w:rPr>
                <w:sz w:val="20"/>
                <w:szCs w:val="20"/>
                <w:color w:val="auto"/>
              </w:rPr>
            </w:pPr>
            <w:r>
              <w:rPr>
                <w:rFonts w:ascii="Arial" w:cs="Arial" w:eastAsia="Arial" w:hAnsi="Arial"/>
                <w:sz w:val="20"/>
                <w:szCs w:val="20"/>
                <w:color w:val="auto"/>
              </w:rPr>
              <w:t>Net cash used in operatng actvites</w:t>
            </w:r>
          </w:p>
        </w:tc>
        <w:tc>
          <w:tcPr>
            <w:tcW w:w="2280" w:type="dxa"/>
            <w:vAlign w:val="bottom"/>
          </w:tcPr>
          <w:p>
            <w:pPr>
              <w:jc w:val="right"/>
              <w:ind w:right="661"/>
              <w:spacing w:after="0"/>
              <w:rPr>
                <w:sz w:val="20"/>
                <w:szCs w:val="20"/>
                <w:color w:val="auto"/>
              </w:rPr>
            </w:pPr>
            <w:r>
              <w:rPr>
                <w:rFonts w:ascii="Arial" w:cs="Arial" w:eastAsia="Arial" w:hAnsi="Arial"/>
                <w:sz w:val="20"/>
                <w:szCs w:val="20"/>
                <w:color w:val="auto"/>
              </w:rPr>
              <w:t>($86)</w:t>
            </w:r>
          </w:p>
        </w:tc>
        <w:tc>
          <w:tcPr>
            <w:tcW w:w="900" w:type="dxa"/>
            <w:vAlign w:val="bottom"/>
          </w:tcPr>
          <w:p>
            <w:pPr>
              <w:jc w:val="right"/>
              <w:spacing w:after="0"/>
              <w:rPr>
                <w:sz w:val="20"/>
                <w:szCs w:val="20"/>
                <w:color w:val="auto"/>
              </w:rPr>
            </w:pPr>
            <w:r>
              <w:rPr>
                <w:rFonts w:ascii="Arial" w:cs="Arial" w:eastAsia="Arial" w:hAnsi="Arial"/>
                <w:sz w:val="20"/>
                <w:szCs w:val="20"/>
                <w:color w:val="auto"/>
              </w:rPr>
              <w:t>($89)</w:t>
            </w:r>
          </w:p>
        </w:tc>
        <w:tc>
          <w:tcPr>
            <w:tcW w:w="460" w:type="dxa"/>
            <w:vAlign w:val="bottom"/>
          </w:tcPr>
          <w:p>
            <w:pPr>
              <w:spacing w:after="0"/>
              <w:rPr>
                <w:sz w:val="21"/>
                <w:szCs w:val="21"/>
                <w:color w:val="auto"/>
              </w:rPr>
            </w:pPr>
          </w:p>
        </w:tc>
        <w:tc>
          <w:tcPr>
            <w:tcW w:w="2320" w:type="dxa"/>
            <w:vAlign w:val="bottom"/>
          </w:tcPr>
          <w:p>
            <w:pPr>
              <w:jc w:val="right"/>
              <w:ind w:right="701"/>
              <w:spacing w:after="0"/>
              <w:rPr>
                <w:sz w:val="20"/>
                <w:szCs w:val="20"/>
                <w:color w:val="auto"/>
              </w:rPr>
            </w:pPr>
            <w:r>
              <w:rPr>
                <w:rFonts w:ascii="Arial" w:cs="Arial" w:eastAsia="Arial" w:hAnsi="Arial"/>
                <w:sz w:val="20"/>
                <w:szCs w:val="20"/>
                <w:color w:val="auto"/>
              </w:rPr>
              <w:t>($35)</w:t>
            </w:r>
          </w:p>
        </w:tc>
        <w:tc>
          <w:tcPr>
            <w:tcW w:w="8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86"/>
        </w:trPr>
        <w:tc>
          <w:tcPr>
            <w:tcW w:w="4300" w:type="dxa"/>
            <w:vAlign w:val="bottom"/>
          </w:tcPr>
          <w:p>
            <w:pPr>
              <w:ind w:left="80"/>
              <w:spacing w:after="0"/>
              <w:rPr>
                <w:sz w:val="20"/>
                <w:szCs w:val="20"/>
                <w:color w:val="auto"/>
              </w:rPr>
            </w:pPr>
            <w:r>
              <w:rPr>
                <w:rFonts w:ascii="Arial" w:cs="Arial" w:eastAsia="Arial" w:hAnsi="Arial"/>
                <w:sz w:val="20"/>
                <w:szCs w:val="20"/>
                <w:color w:val="auto"/>
              </w:rPr>
              <w:t>Capex</w:t>
            </w:r>
          </w:p>
        </w:tc>
        <w:tc>
          <w:tcPr>
            <w:tcW w:w="2280" w:type="dxa"/>
            <w:vAlign w:val="bottom"/>
          </w:tcPr>
          <w:p>
            <w:pPr>
              <w:jc w:val="right"/>
              <w:ind w:right="661"/>
              <w:spacing w:after="0"/>
              <w:rPr>
                <w:sz w:val="20"/>
                <w:szCs w:val="20"/>
                <w:color w:val="auto"/>
              </w:rPr>
            </w:pPr>
            <w:r>
              <w:rPr>
                <w:rFonts w:ascii="Arial" w:cs="Arial" w:eastAsia="Arial" w:hAnsi="Arial"/>
                <w:sz w:val="20"/>
                <w:szCs w:val="20"/>
                <w:color w:val="auto"/>
              </w:rPr>
              <w:t>(8)</w:t>
            </w:r>
          </w:p>
        </w:tc>
        <w:tc>
          <w:tcPr>
            <w:tcW w:w="900" w:type="dxa"/>
            <w:vAlign w:val="bottom"/>
          </w:tcPr>
          <w:p>
            <w:pPr>
              <w:jc w:val="right"/>
              <w:spacing w:after="0"/>
              <w:rPr>
                <w:sz w:val="20"/>
                <w:szCs w:val="20"/>
                <w:color w:val="auto"/>
              </w:rPr>
            </w:pPr>
            <w:r>
              <w:rPr>
                <w:rFonts w:ascii="Arial" w:cs="Arial" w:eastAsia="Arial" w:hAnsi="Arial"/>
                <w:sz w:val="20"/>
                <w:szCs w:val="20"/>
                <w:color w:val="auto"/>
              </w:rPr>
              <w:t>(8)</w:t>
            </w:r>
          </w:p>
        </w:tc>
        <w:tc>
          <w:tcPr>
            <w:tcW w:w="460" w:type="dxa"/>
            <w:vAlign w:val="bottom"/>
          </w:tcPr>
          <w:p>
            <w:pPr>
              <w:spacing w:after="0"/>
              <w:rPr>
                <w:sz w:val="24"/>
                <w:szCs w:val="24"/>
                <w:color w:val="auto"/>
              </w:rPr>
            </w:pPr>
          </w:p>
        </w:tc>
        <w:tc>
          <w:tcPr>
            <w:tcW w:w="2320" w:type="dxa"/>
            <w:vAlign w:val="bottom"/>
          </w:tcPr>
          <w:p>
            <w:pPr>
              <w:jc w:val="right"/>
              <w:ind w:right="701"/>
              <w:spacing w:after="0"/>
              <w:rPr>
                <w:sz w:val="20"/>
                <w:szCs w:val="20"/>
                <w:color w:val="auto"/>
              </w:rPr>
            </w:pPr>
            <w:r>
              <w:rPr>
                <w:rFonts w:ascii="Arial" w:cs="Arial" w:eastAsia="Arial" w:hAnsi="Arial"/>
                <w:sz w:val="20"/>
                <w:szCs w:val="20"/>
                <w:color w:val="auto"/>
              </w:rPr>
              <w:t>(4)</w:t>
            </w:r>
          </w:p>
        </w:tc>
        <w:tc>
          <w:tcPr>
            <w:tcW w:w="8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97"/>
        </w:trPr>
        <w:tc>
          <w:tcPr>
            <w:tcW w:w="4300" w:type="dxa"/>
            <w:vAlign w:val="bottom"/>
          </w:tcPr>
          <w:p>
            <w:pPr>
              <w:ind w:left="80"/>
              <w:spacing w:after="0"/>
              <w:rPr>
                <w:sz w:val="20"/>
                <w:szCs w:val="20"/>
                <w:color w:val="auto"/>
              </w:rPr>
            </w:pPr>
            <w:r>
              <w:rPr>
                <w:rFonts w:ascii="Arial" w:cs="Arial" w:eastAsia="Arial" w:hAnsi="Arial"/>
                <w:sz w:val="20"/>
                <w:szCs w:val="20"/>
                <w:color w:val="auto"/>
              </w:rPr>
              <w:t>Interest income, net</w:t>
            </w:r>
          </w:p>
        </w:tc>
        <w:tc>
          <w:tcPr>
            <w:tcW w:w="2280" w:type="dxa"/>
            <w:vAlign w:val="bottom"/>
          </w:tcPr>
          <w:p>
            <w:pPr>
              <w:jc w:val="right"/>
              <w:ind w:right="661"/>
              <w:spacing w:after="0"/>
              <w:rPr>
                <w:sz w:val="20"/>
                <w:szCs w:val="20"/>
                <w:color w:val="auto"/>
              </w:rPr>
            </w:pPr>
            <w:r>
              <w:rPr>
                <w:rFonts w:ascii="Arial" w:cs="Arial" w:eastAsia="Arial" w:hAnsi="Arial"/>
                <w:sz w:val="20"/>
                <w:szCs w:val="20"/>
                <w:color w:val="auto"/>
              </w:rPr>
              <w:t>(5)</w:t>
            </w:r>
          </w:p>
        </w:tc>
        <w:tc>
          <w:tcPr>
            <w:tcW w:w="900" w:type="dxa"/>
            <w:vAlign w:val="bottom"/>
          </w:tcPr>
          <w:p>
            <w:pPr>
              <w:jc w:val="right"/>
              <w:spacing w:after="0"/>
              <w:rPr>
                <w:sz w:val="20"/>
                <w:szCs w:val="20"/>
                <w:color w:val="auto"/>
              </w:rPr>
            </w:pPr>
            <w:r>
              <w:rPr>
                <w:rFonts w:ascii="Arial" w:cs="Arial" w:eastAsia="Arial" w:hAnsi="Arial"/>
                <w:sz w:val="20"/>
                <w:szCs w:val="20"/>
                <w:color w:val="auto"/>
              </w:rPr>
              <w:t>(5)</w:t>
            </w:r>
          </w:p>
        </w:tc>
        <w:tc>
          <w:tcPr>
            <w:tcW w:w="460" w:type="dxa"/>
            <w:vAlign w:val="bottom"/>
          </w:tcPr>
          <w:p>
            <w:pPr>
              <w:spacing w:after="0"/>
              <w:rPr>
                <w:sz w:val="24"/>
                <w:szCs w:val="24"/>
                <w:color w:val="auto"/>
              </w:rPr>
            </w:pPr>
          </w:p>
        </w:tc>
        <w:tc>
          <w:tcPr>
            <w:tcW w:w="2320" w:type="dxa"/>
            <w:vAlign w:val="bottom"/>
          </w:tcPr>
          <w:p>
            <w:pPr>
              <w:jc w:val="right"/>
              <w:ind w:right="701"/>
              <w:spacing w:after="0"/>
              <w:rPr>
                <w:sz w:val="20"/>
                <w:szCs w:val="20"/>
                <w:color w:val="auto"/>
              </w:rPr>
            </w:pPr>
            <w:r>
              <w:rPr>
                <w:rFonts w:ascii="Arial" w:cs="Arial" w:eastAsia="Arial" w:hAnsi="Arial"/>
                <w:sz w:val="20"/>
                <w:szCs w:val="20"/>
                <w:color w:val="auto"/>
              </w:rPr>
              <w:t>(4)</w:t>
            </w:r>
          </w:p>
        </w:tc>
        <w:tc>
          <w:tcPr>
            <w:tcW w:w="8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58"/>
        </w:trPr>
        <w:tc>
          <w:tcPr>
            <w:tcW w:w="4300" w:type="dxa"/>
            <w:vAlign w:val="bottom"/>
            <w:vMerge w:val="restart"/>
          </w:tcPr>
          <w:p>
            <w:pPr>
              <w:ind w:left="80"/>
              <w:spacing w:after="0"/>
              <w:rPr>
                <w:sz w:val="20"/>
                <w:szCs w:val="20"/>
                <w:color w:val="auto"/>
              </w:rPr>
            </w:pPr>
            <w:r>
              <w:rPr>
                <w:rFonts w:ascii="Arial" w:cs="Arial" w:eastAsia="Arial" w:hAnsi="Arial"/>
                <w:sz w:val="20"/>
                <w:szCs w:val="20"/>
                <w:color w:val="auto"/>
              </w:rPr>
              <w:t>Free Cash Flow</w:t>
            </w:r>
          </w:p>
        </w:tc>
        <w:tc>
          <w:tcPr>
            <w:tcW w:w="2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300" w:type="dxa"/>
            <w:vAlign w:val="bottom"/>
            <w:vMerge w:val="continue"/>
          </w:tcPr>
          <w:p>
            <w:pPr>
              <w:spacing w:after="0"/>
              <w:rPr>
                <w:sz w:val="21"/>
                <w:szCs w:val="21"/>
                <w:color w:val="auto"/>
              </w:rPr>
            </w:pPr>
          </w:p>
        </w:tc>
        <w:tc>
          <w:tcPr>
            <w:tcW w:w="2280" w:type="dxa"/>
            <w:vAlign w:val="bottom"/>
          </w:tcPr>
          <w:p>
            <w:pPr>
              <w:jc w:val="right"/>
              <w:ind w:right="661"/>
              <w:spacing w:after="0"/>
              <w:rPr>
                <w:sz w:val="20"/>
                <w:szCs w:val="20"/>
                <w:color w:val="auto"/>
              </w:rPr>
            </w:pPr>
            <w:r>
              <w:rPr>
                <w:rFonts w:ascii="Arial" w:cs="Arial" w:eastAsia="Arial" w:hAnsi="Arial"/>
                <w:sz w:val="20"/>
                <w:szCs w:val="20"/>
                <w:color w:val="auto"/>
              </w:rPr>
              <w:t>($99)</w:t>
            </w:r>
          </w:p>
        </w:tc>
        <w:tc>
          <w:tcPr>
            <w:tcW w:w="900" w:type="dxa"/>
            <w:vAlign w:val="bottom"/>
          </w:tcPr>
          <w:p>
            <w:pPr>
              <w:jc w:val="right"/>
              <w:spacing w:after="0"/>
              <w:rPr>
                <w:sz w:val="20"/>
                <w:szCs w:val="20"/>
                <w:color w:val="auto"/>
              </w:rPr>
            </w:pPr>
            <w:r>
              <w:rPr>
                <w:rFonts w:ascii="Arial" w:cs="Arial" w:eastAsia="Arial" w:hAnsi="Arial"/>
                <w:sz w:val="20"/>
                <w:szCs w:val="20"/>
                <w:color w:val="auto"/>
              </w:rPr>
              <w:t>($102)</w:t>
            </w:r>
          </w:p>
        </w:tc>
        <w:tc>
          <w:tcPr>
            <w:tcW w:w="460" w:type="dxa"/>
            <w:vAlign w:val="bottom"/>
          </w:tcPr>
          <w:p>
            <w:pPr>
              <w:spacing w:after="0"/>
              <w:rPr>
                <w:sz w:val="21"/>
                <w:szCs w:val="21"/>
                <w:color w:val="auto"/>
              </w:rPr>
            </w:pPr>
          </w:p>
        </w:tc>
        <w:tc>
          <w:tcPr>
            <w:tcW w:w="2320" w:type="dxa"/>
            <w:vAlign w:val="bottom"/>
          </w:tcPr>
          <w:p>
            <w:pPr>
              <w:jc w:val="right"/>
              <w:ind w:right="701"/>
              <w:spacing w:after="0"/>
              <w:rPr>
                <w:sz w:val="20"/>
                <w:szCs w:val="20"/>
                <w:color w:val="auto"/>
              </w:rPr>
            </w:pPr>
            <w:r>
              <w:rPr>
                <w:rFonts w:ascii="Arial" w:cs="Arial" w:eastAsia="Arial" w:hAnsi="Arial"/>
                <w:sz w:val="20"/>
                <w:szCs w:val="20"/>
                <w:color w:val="auto"/>
              </w:rPr>
              <w:t>($43)</w:t>
            </w:r>
          </w:p>
        </w:tc>
        <w:tc>
          <w:tcPr>
            <w:tcW w:w="860" w:type="dxa"/>
            <w:vAlign w:val="bottom"/>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47"/>
        </w:trPr>
        <w:tc>
          <w:tcPr>
            <w:tcW w:w="43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-976630</wp:posOffset>
            </wp:positionV>
            <wp:extent cx="4328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80"/>
          </w:cols>
          <w:pgMar w:left="320" w:top="1440" w:right="3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217805</wp:posOffset>
            </wp:positionV>
            <wp:extent cx="1028700" cy="540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00" w:type="dxa"/>
            <w:vAlign w:val="bottom"/>
            <w:shd w:val="clear" w:color="auto" w:fill="000000"/>
          </w:tcPr>
          <w:p>
            <w:pPr>
              <w:spacing w:after="0"/>
              <w:rPr>
                <w:sz w:val="15"/>
                <w:szCs w:val="15"/>
                <w:color w:val="auto"/>
              </w:rPr>
            </w:pPr>
          </w:p>
        </w:tc>
        <w:tc>
          <w:tcPr>
            <w:tcW w:w="4220" w:type="dxa"/>
            <w:vAlign w:val="bottom"/>
            <w:shd w:val="clear" w:color="auto" w:fill="000000"/>
          </w:tcPr>
          <w:p>
            <w:pPr>
              <w:jc w:val="right"/>
              <w:ind w:right="448"/>
              <w:spacing w:after="0"/>
              <w:rPr>
                <w:sz w:val="20"/>
                <w:szCs w:val="20"/>
                <w:color w:val="auto"/>
              </w:rPr>
            </w:pPr>
            <w:r>
              <w:rPr>
                <w:rFonts w:ascii="Arial" w:cs="Arial" w:eastAsia="Arial" w:hAnsi="Arial"/>
                <w:sz w:val="14"/>
                <w:szCs w:val="14"/>
                <w:b w:val="1"/>
                <w:bCs w:val="1"/>
                <w:color w:val="FFFFFF"/>
              </w:rPr>
              <w:t>As of 9/30/23</w:t>
            </w:r>
          </w:p>
        </w:tc>
        <w:tc>
          <w:tcPr>
            <w:tcW w:w="1400" w:type="dxa"/>
            <w:vAlign w:val="bottom"/>
            <w:shd w:val="clear" w:color="auto" w:fill="000000"/>
          </w:tcPr>
          <w:p>
            <w:pPr>
              <w:spacing w:after="0"/>
              <w:rPr>
                <w:sz w:val="15"/>
                <w:szCs w:val="15"/>
                <w:color w:val="auto"/>
              </w:rPr>
            </w:pPr>
          </w:p>
        </w:tc>
      </w:tr>
      <w:tr>
        <w:trPr>
          <w:trHeight w:val="220"/>
        </w:trPr>
        <w:tc>
          <w:tcPr>
            <w:tcW w:w="480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4"/>
                <w:szCs w:val="14"/>
                <w:b w:val="1"/>
                <w:bCs w:val="1"/>
                <w:color w:val="FFFFFF"/>
              </w:rPr>
              <w:t>$ in millions</w:t>
            </w:r>
          </w:p>
        </w:tc>
        <w:tc>
          <w:tcPr>
            <w:tcW w:w="4220" w:type="dxa"/>
            <w:vAlign w:val="bottom"/>
            <w:tcBorders>
              <w:bottom w:val="single" w:sz="8" w:color="auto"/>
            </w:tcBorders>
            <w:shd w:val="clear" w:color="auto" w:fill="000000"/>
          </w:tcPr>
          <w:p>
            <w:pPr>
              <w:jc w:val="right"/>
              <w:ind w:right="448"/>
              <w:spacing w:after="0"/>
              <w:rPr>
                <w:sz w:val="20"/>
                <w:szCs w:val="20"/>
                <w:color w:val="auto"/>
              </w:rPr>
            </w:pPr>
            <w:r>
              <w:rPr>
                <w:rFonts w:ascii="Arial" w:cs="Arial" w:eastAsia="Arial" w:hAnsi="Arial"/>
                <w:sz w:val="14"/>
                <w:szCs w:val="14"/>
                <w:b w:val="1"/>
                <w:bCs w:val="1"/>
                <w:color w:val="FFFFFF"/>
              </w:rPr>
              <w:t>(unaudited)</w:t>
            </w:r>
          </w:p>
        </w:tc>
        <w:tc>
          <w:tcPr>
            <w:tcW w:w="140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4"/>
                <w:szCs w:val="14"/>
                <w:b w:val="1"/>
                <w:bCs w:val="1"/>
                <w:color w:val="FFFFFF"/>
              </w:rPr>
              <w:t>As of 12/31/22</w:t>
            </w:r>
          </w:p>
        </w:tc>
      </w:tr>
      <w:tr>
        <w:trPr>
          <w:trHeight w:val="187"/>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4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7"/>
        </w:trPr>
        <w:tc>
          <w:tcPr>
            <w:tcW w:w="4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$68.2</w:t>
            </w:r>
          </w:p>
        </w:tc>
        <w:tc>
          <w:tcPr>
            <w:tcW w:w="1400" w:type="dxa"/>
            <w:vAlign w:val="bottom"/>
          </w:tcPr>
          <w:p>
            <w:pPr>
              <w:jc w:val="right"/>
              <w:spacing w:after="0"/>
              <w:rPr>
                <w:sz w:val="20"/>
                <w:szCs w:val="20"/>
                <w:color w:val="auto"/>
              </w:rPr>
            </w:pPr>
            <w:r>
              <w:rPr>
                <w:rFonts w:ascii="Arial" w:cs="Arial" w:eastAsia="Arial" w:hAnsi="Arial"/>
                <w:sz w:val="14"/>
                <w:szCs w:val="14"/>
                <w:color w:val="auto"/>
              </w:rPr>
              <w:t>$98.3</w:t>
            </w:r>
          </w:p>
        </w:tc>
      </w:tr>
      <w:tr>
        <w:trPr>
          <w:trHeight w:val="230"/>
        </w:trPr>
        <w:tc>
          <w:tcPr>
            <w:tcW w:w="48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28.3</w:t>
            </w:r>
          </w:p>
        </w:tc>
        <w:tc>
          <w:tcPr>
            <w:tcW w:w="140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29"/>
        </w:trPr>
        <w:tc>
          <w:tcPr>
            <w:tcW w:w="4800" w:type="dxa"/>
            <w:vAlign w:val="bottom"/>
          </w:tcPr>
          <w:p>
            <w:pPr>
              <w:ind w:left="220"/>
              <w:spacing w:after="0"/>
              <w:rPr>
                <w:sz w:val="20"/>
                <w:szCs w:val="20"/>
                <w:color w:val="auto"/>
              </w:rPr>
            </w:pPr>
            <w:r>
              <w:rPr>
                <w:rFonts w:ascii="Arial" w:cs="Arial" w:eastAsia="Arial" w:hAnsi="Arial"/>
                <w:sz w:val="14"/>
                <w:szCs w:val="14"/>
                <w:color w:val="auto"/>
              </w:rPr>
              <w:t>Customer funds</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28.2</w:t>
            </w:r>
          </w:p>
        </w:tc>
        <w:tc>
          <w:tcPr>
            <w:tcW w:w="14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29"/>
        </w:trPr>
        <w:tc>
          <w:tcPr>
            <w:tcW w:w="4800" w:type="dxa"/>
            <w:vAlign w:val="bottom"/>
          </w:tcPr>
          <w:p>
            <w:pPr>
              <w:ind w:left="220"/>
              <w:spacing w:after="0"/>
              <w:rPr>
                <w:sz w:val="20"/>
                <w:szCs w:val="20"/>
                <w:color w:val="auto"/>
              </w:rPr>
            </w:pPr>
            <w:r>
              <w:rPr>
                <w:rFonts w:ascii="Arial" w:cs="Arial" w:eastAsia="Arial" w:hAnsi="Arial"/>
                <w:sz w:val="14"/>
                <w:szCs w:val="14"/>
                <w:color w:val="auto"/>
              </w:rPr>
              <w:t>Available-for-sale securites</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22.7</w:t>
            </w:r>
          </w:p>
        </w:tc>
        <w:tc>
          <w:tcPr>
            <w:tcW w:w="1400" w:type="dxa"/>
            <w:vAlign w:val="bottom"/>
          </w:tcPr>
          <w:p>
            <w:pPr>
              <w:jc w:val="right"/>
              <w:spacing w:after="0"/>
              <w:rPr>
                <w:sz w:val="20"/>
                <w:szCs w:val="20"/>
                <w:color w:val="auto"/>
              </w:rPr>
            </w:pPr>
            <w:r>
              <w:rPr>
                <w:rFonts w:ascii="Arial" w:cs="Arial" w:eastAsia="Arial" w:hAnsi="Arial"/>
                <w:sz w:val="14"/>
                <w:szCs w:val="14"/>
                <w:color w:val="auto"/>
              </w:rPr>
              <w:t>141.1</w:t>
            </w:r>
          </w:p>
        </w:tc>
      </w:tr>
      <w:tr>
        <w:trPr>
          <w:trHeight w:val="230"/>
        </w:trPr>
        <w:tc>
          <w:tcPr>
            <w:tcW w:w="480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21.7</w:t>
            </w:r>
          </w:p>
        </w:tc>
        <w:tc>
          <w:tcPr>
            <w:tcW w:w="140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29"/>
        </w:trPr>
        <w:tc>
          <w:tcPr>
            <w:tcW w:w="4800" w:type="dxa"/>
            <w:vAlign w:val="bottom"/>
          </w:tcPr>
          <w:p>
            <w:pPr>
              <w:ind w:left="220"/>
              <w:spacing w:after="0"/>
              <w:rPr>
                <w:sz w:val="20"/>
                <w:szCs w:val="20"/>
                <w:color w:val="auto"/>
              </w:rPr>
            </w:pPr>
            <w:r>
              <w:rPr>
                <w:rFonts w:ascii="Arial" w:cs="Arial" w:eastAsia="Arial" w:hAnsi="Arial"/>
                <w:sz w:val="14"/>
                <w:szCs w:val="14"/>
                <w:color w:val="auto"/>
              </w:rPr>
              <w:t>Prepaid insurance</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12.1</w:t>
            </w:r>
          </w:p>
        </w:tc>
        <w:tc>
          <w:tcPr>
            <w:tcW w:w="140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30"/>
        </w:trPr>
        <w:tc>
          <w:tcPr>
            <w:tcW w:w="4800" w:type="dxa"/>
            <w:vAlign w:val="bottom"/>
          </w:tcPr>
          <w:p>
            <w:pPr>
              <w:ind w:left="220"/>
              <w:spacing w:after="0"/>
              <w:rPr>
                <w:sz w:val="20"/>
                <w:szCs w:val="20"/>
                <w:color w:val="auto"/>
              </w:rPr>
            </w:pPr>
            <w:r>
              <w:rPr>
                <w:rFonts w:ascii="Arial" w:cs="Arial" w:eastAsia="Arial" w:hAnsi="Arial"/>
                <w:sz w:val="14"/>
                <w:szCs w:val="14"/>
                <w:color w:val="auto"/>
              </w:rPr>
              <w:t>Safeguarding asset for crypto</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505.7</w:t>
            </w:r>
          </w:p>
        </w:tc>
        <w:tc>
          <w:tcPr>
            <w:tcW w:w="140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29"/>
        </w:trPr>
        <w:tc>
          <w:tcPr>
            <w:tcW w:w="480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4220" w:type="dxa"/>
            <w:vAlign w:val="bottom"/>
          </w:tcPr>
          <w:p>
            <w:pPr>
              <w:jc w:val="right"/>
              <w:ind w:right="448"/>
              <w:spacing w:after="0"/>
              <w:rPr>
                <w:sz w:val="20"/>
                <w:szCs w:val="20"/>
                <w:color w:val="auto"/>
              </w:rPr>
            </w:pPr>
            <w:r>
              <w:rPr>
                <w:rFonts w:ascii="Arial" w:cs="Arial" w:eastAsia="Arial" w:hAnsi="Arial"/>
                <w:sz w:val="14"/>
                <w:szCs w:val="14"/>
                <w:color w:val="auto"/>
              </w:rPr>
              <w:t>7.3</w:t>
            </w:r>
          </w:p>
        </w:tc>
        <w:tc>
          <w:tcPr>
            <w:tcW w:w="140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28575</wp:posOffset>
            </wp:positionV>
            <wp:extent cx="25457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20" w:type="dxa"/>
            <w:vAlign w:val="bottom"/>
          </w:tcPr>
          <w:p>
            <w:pPr>
              <w:ind w:left="520"/>
              <w:spacing w:after="0"/>
              <w:rPr>
                <w:sz w:val="20"/>
                <w:szCs w:val="20"/>
                <w:color w:val="auto"/>
              </w:rPr>
            </w:pPr>
            <w:r>
              <w:rPr>
                <w:rFonts w:ascii="Arial" w:cs="Arial" w:eastAsia="Arial" w:hAnsi="Arial"/>
                <w:sz w:val="14"/>
                <w:szCs w:val="14"/>
                <w:b w:val="1"/>
                <w:bCs w:val="1"/>
                <w:color w:val="auto"/>
              </w:rPr>
              <w:t>Total current assets</w:t>
            </w:r>
          </w:p>
        </w:tc>
        <w:tc>
          <w:tcPr>
            <w:tcW w:w="4060" w:type="dxa"/>
            <w:vAlign w:val="bottom"/>
          </w:tcPr>
          <w:p>
            <w:pPr>
              <w:jc w:val="right"/>
              <w:ind w:right="728"/>
              <w:spacing w:after="0"/>
              <w:rPr>
                <w:sz w:val="20"/>
                <w:szCs w:val="20"/>
                <w:color w:val="auto"/>
              </w:rPr>
            </w:pPr>
            <w:r>
              <w:rPr>
                <w:rFonts w:ascii="Arial" w:cs="Arial" w:eastAsia="Arial" w:hAnsi="Arial"/>
                <w:sz w:val="14"/>
                <w:szCs w:val="14"/>
                <w:b w:val="1"/>
                <w:bCs w:val="1"/>
                <w:color w:val="auto"/>
              </w:rPr>
              <w:t>694.2</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326.5</w:t>
            </w:r>
          </w:p>
        </w:tc>
      </w:tr>
      <w:tr>
        <w:trPr>
          <w:trHeight w:val="227"/>
        </w:trPr>
        <w:tc>
          <w:tcPr>
            <w:tcW w:w="5220" w:type="dxa"/>
            <w:vAlign w:val="bottom"/>
          </w:tcPr>
          <w:p>
            <w:pPr>
              <w:spacing w:after="0"/>
              <w:rPr>
                <w:sz w:val="20"/>
                <w:szCs w:val="20"/>
                <w:color w:val="auto"/>
              </w:rPr>
            </w:pPr>
            <w:r>
              <w:rPr>
                <w:rFonts w:ascii="Arial" w:cs="Arial" w:eastAsia="Arial" w:hAnsi="Arial"/>
                <w:sz w:val="14"/>
                <w:szCs w:val="14"/>
                <w:color w:val="auto"/>
              </w:rPr>
              <w:t>Property, equipment and sofware, net</w:t>
            </w:r>
          </w:p>
        </w:tc>
        <w:tc>
          <w:tcPr>
            <w:tcW w:w="4060" w:type="dxa"/>
            <w:vAlign w:val="bottom"/>
          </w:tcPr>
          <w:p>
            <w:pPr>
              <w:jc w:val="right"/>
              <w:ind w:right="728"/>
              <w:spacing w:after="0"/>
              <w:rPr>
                <w:sz w:val="20"/>
                <w:szCs w:val="20"/>
                <w:color w:val="auto"/>
              </w:rPr>
            </w:pPr>
            <w:r>
              <w:rPr>
                <w:rFonts w:ascii="Arial" w:cs="Arial" w:eastAsia="Arial" w:hAnsi="Arial"/>
                <w:sz w:val="14"/>
                <w:szCs w:val="14"/>
                <w:color w:val="auto"/>
              </w:rPr>
              <w:t>20.5</w:t>
            </w:r>
          </w:p>
        </w:tc>
        <w:tc>
          <w:tcPr>
            <w:tcW w:w="112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29"/>
        </w:trPr>
        <w:tc>
          <w:tcPr>
            <w:tcW w:w="5220" w:type="dxa"/>
            <w:vAlign w:val="bottom"/>
          </w:tcPr>
          <w:p>
            <w:pPr>
              <w:spacing w:after="0"/>
              <w:rPr>
                <w:sz w:val="20"/>
                <w:szCs w:val="20"/>
                <w:color w:val="auto"/>
              </w:rPr>
            </w:pPr>
            <w:r>
              <w:rPr>
                <w:rFonts w:ascii="Arial" w:cs="Arial" w:eastAsia="Arial" w:hAnsi="Arial"/>
                <w:sz w:val="14"/>
                <w:szCs w:val="14"/>
                <w:color w:val="auto"/>
              </w:rPr>
              <w:t>Goodwill</w:t>
            </w:r>
          </w:p>
        </w:tc>
        <w:tc>
          <w:tcPr>
            <w:tcW w:w="4060" w:type="dxa"/>
            <w:vAlign w:val="bottom"/>
          </w:tcPr>
          <w:p>
            <w:pPr>
              <w:jc w:val="right"/>
              <w:ind w:right="728"/>
              <w:spacing w:after="0"/>
              <w:rPr>
                <w:sz w:val="20"/>
                <w:szCs w:val="20"/>
                <w:color w:val="auto"/>
              </w:rPr>
            </w:pPr>
            <w:r>
              <w:rPr>
                <w:rFonts w:ascii="Arial" w:cs="Arial" w:eastAsia="Arial" w:hAnsi="Arial"/>
                <w:sz w:val="14"/>
                <w:szCs w:val="14"/>
                <w:color w:val="auto"/>
              </w:rPr>
              <w:t>66.5</w:t>
            </w:r>
          </w:p>
        </w:tc>
        <w:tc>
          <w:tcPr>
            <w:tcW w:w="112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30"/>
        </w:trPr>
        <w:tc>
          <w:tcPr>
            <w:tcW w:w="5220" w:type="dxa"/>
            <w:vAlign w:val="bottom"/>
          </w:tcPr>
          <w:p>
            <w:pPr>
              <w:spacing w:after="0"/>
              <w:rPr>
                <w:sz w:val="20"/>
                <w:szCs w:val="20"/>
                <w:color w:val="auto"/>
              </w:rPr>
            </w:pPr>
            <w:r>
              <w:rPr>
                <w:rFonts w:ascii="Arial" w:cs="Arial" w:eastAsia="Arial" w:hAnsi="Arial"/>
                <w:sz w:val="14"/>
                <w:szCs w:val="14"/>
                <w:color w:val="auto"/>
              </w:rPr>
              <w:t>Intangible assets, net</w:t>
            </w:r>
          </w:p>
        </w:tc>
        <w:tc>
          <w:tcPr>
            <w:tcW w:w="4060" w:type="dxa"/>
            <w:vAlign w:val="bottom"/>
          </w:tcPr>
          <w:p>
            <w:pPr>
              <w:jc w:val="right"/>
              <w:ind w:right="728"/>
              <w:spacing w:after="0"/>
              <w:rPr>
                <w:sz w:val="20"/>
                <w:szCs w:val="20"/>
                <w:color w:val="auto"/>
              </w:rPr>
            </w:pPr>
            <w:r>
              <w:rPr>
                <w:rFonts w:ascii="Arial" w:cs="Arial" w:eastAsia="Arial" w:hAnsi="Arial"/>
                <w:sz w:val="14"/>
                <w:szCs w:val="14"/>
                <w:color w:val="auto"/>
              </w:rPr>
              <w:t>41.7</w:t>
            </w:r>
          </w:p>
        </w:tc>
        <w:tc>
          <w:tcPr>
            <w:tcW w:w="112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29"/>
        </w:trPr>
        <w:tc>
          <w:tcPr>
            <w:tcW w:w="5220" w:type="dxa"/>
            <w:vAlign w:val="bottom"/>
          </w:tcPr>
          <w:p>
            <w:pPr>
              <w:spacing w:after="0"/>
              <w:rPr>
                <w:sz w:val="20"/>
                <w:szCs w:val="20"/>
                <w:color w:val="auto"/>
              </w:rPr>
            </w:pPr>
            <w:r>
              <w:rPr>
                <w:rFonts w:ascii="Arial" w:cs="Arial" w:eastAsia="Arial" w:hAnsi="Arial"/>
                <w:sz w:val="14"/>
                <w:szCs w:val="14"/>
                <w:color w:val="auto"/>
              </w:rPr>
              <w:t>Deposits with clearinghouse</w:t>
            </w:r>
          </w:p>
        </w:tc>
        <w:tc>
          <w:tcPr>
            <w:tcW w:w="4060" w:type="dxa"/>
            <w:vAlign w:val="bottom"/>
          </w:tcPr>
          <w:p>
            <w:pPr>
              <w:jc w:val="right"/>
              <w:ind w:right="728"/>
              <w:spacing w:after="0"/>
              <w:rPr>
                <w:sz w:val="20"/>
                <w:szCs w:val="20"/>
                <w:color w:val="auto"/>
              </w:rPr>
            </w:pPr>
            <w:r>
              <w:rPr>
                <w:rFonts w:ascii="Arial" w:cs="Arial" w:eastAsia="Arial" w:hAnsi="Arial"/>
                <w:sz w:val="14"/>
                <w:szCs w:val="14"/>
                <w:color w:val="auto"/>
              </w:rPr>
              <w:t>0.2</w:t>
            </w:r>
          </w:p>
        </w:tc>
        <w:tc>
          <w:tcPr>
            <w:tcW w:w="112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29"/>
        </w:trPr>
        <w:tc>
          <w:tcPr>
            <w:tcW w:w="5220" w:type="dxa"/>
            <w:vAlign w:val="bottom"/>
          </w:tcPr>
          <w:p>
            <w:pPr>
              <w:spacing w:after="0"/>
              <w:rPr>
                <w:sz w:val="20"/>
                <w:szCs w:val="20"/>
                <w:color w:val="auto"/>
              </w:rPr>
            </w:pPr>
            <w:r>
              <w:rPr>
                <w:rFonts w:ascii="Arial" w:cs="Arial" w:eastAsia="Arial" w:hAnsi="Arial"/>
                <w:sz w:val="14"/>
                <w:szCs w:val="14"/>
                <w:color w:val="auto"/>
              </w:rPr>
              <w:t>Other assets</w:t>
            </w:r>
          </w:p>
        </w:tc>
        <w:tc>
          <w:tcPr>
            <w:tcW w:w="4060" w:type="dxa"/>
            <w:vAlign w:val="bottom"/>
          </w:tcPr>
          <w:p>
            <w:pPr>
              <w:jc w:val="right"/>
              <w:ind w:right="728"/>
              <w:spacing w:after="0"/>
              <w:rPr>
                <w:sz w:val="20"/>
                <w:szCs w:val="20"/>
                <w:color w:val="auto"/>
              </w:rPr>
            </w:pPr>
            <w:r>
              <w:rPr>
                <w:rFonts w:ascii="Arial" w:cs="Arial" w:eastAsia="Arial" w:hAnsi="Arial"/>
                <w:sz w:val="14"/>
                <w:szCs w:val="14"/>
                <w:color w:val="auto"/>
              </w:rPr>
              <w:t>23.7</w:t>
            </w:r>
          </w:p>
        </w:tc>
        <w:tc>
          <w:tcPr>
            <w:tcW w:w="1120" w:type="dxa"/>
            <w:vAlign w:val="bottom"/>
          </w:tcPr>
          <w:p>
            <w:pPr>
              <w:jc w:val="right"/>
              <w:spacing w:after="0"/>
              <w:rPr>
                <w:sz w:val="20"/>
                <w:szCs w:val="20"/>
                <w:color w:val="auto"/>
              </w:rPr>
            </w:pPr>
            <w:r>
              <w:rPr>
                <w:rFonts w:ascii="Arial" w:cs="Arial" w:eastAsia="Arial" w:hAnsi="Arial"/>
                <w:sz w:val="14"/>
                <w:szCs w:val="14"/>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28575</wp:posOffset>
            </wp:positionV>
            <wp:extent cx="25457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0" w:type="dxa"/>
            <w:vAlign w:val="bottom"/>
          </w:tcPr>
          <w:p>
            <w:pPr>
              <w:ind w:left="520"/>
              <w:spacing w:after="0"/>
              <w:rPr>
                <w:sz w:val="20"/>
                <w:szCs w:val="20"/>
                <w:color w:val="auto"/>
              </w:rPr>
            </w:pPr>
            <w:r>
              <w:rPr>
                <w:rFonts w:ascii="Arial" w:cs="Arial" w:eastAsia="Arial" w:hAnsi="Arial"/>
                <w:sz w:val="14"/>
                <w:szCs w:val="14"/>
                <w:b w:val="1"/>
                <w:bCs w:val="1"/>
                <w:color w:val="auto"/>
              </w:rPr>
              <w:t>Total assets</w:t>
            </w:r>
          </w:p>
        </w:tc>
        <w:tc>
          <w:tcPr>
            <w:tcW w:w="2840" w:type="dxa"/>
            <w:vAlign w:val="bottom"/>
          </w:tcPr>
          <w:p>
            <w:pPr>
              <w:jc w:val="right"/>
              <w:ind w:right="688"/>
              <w:spacing w:after="0"/>
              <w:rPr>
                <w:sz w:val="20"/>
                <w:szCs w:val="20"/>
                <w:color w:val="auto"/>
              </w:rPr>
            </w:pPr>
            <w:r>
              <w:rPr>
                <w:rFonts w:ascii="Arial" w:cs="Arial" w:eastAsia="Arial" w:hAnsi="Arial"/>
                <w:sz w:val="14"/>
                <w:szCs w:val="14"/>
                <w:b w:val="1"/>
                <w:bCs w:val="1"/>
                <w:color w:val="auto"/>
              </w:rPr>
              <w:t>$846.7</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$455.5</w:t>
            </w:r>
          </w:p>
        </w:tc>
        <w:tc>
          <w:tcPr>
            <w:tcW w:w="0" w:type="dxa"/>
            <w:vAlign w:val="bottom"/>
          </w:tcPr>
          <w:p>
            <w:pPr>
              <w:spacing w:after="0"/>
              <w:rPr>
                <w:sz w:val="1"/>
                <w:szCs w:val="1"/>
                <w:color w:val="auto"/>
              </w:rPr>
            </w:pPr>
          </w:p>
        </w:tc>
      </w:tr>
      <w:tr>
        <w:trPr>
          <w:trHeight w:val="43"/>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Liabilites and stockholders' equity</w:t>
            </w:r>
          </w:p>
        </w:tc>
        <w:tc>
          <w:tcPr>
            <w:tcW w:w="28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Arial" w:cs="Arial" w:eastAsia="Arial" w:hAnsi="Arial"/>
                <w:sz w:val="14"/>
                <w:szCs w:val="14"/>
                <w:color w:val="auto"/>
              </w:rPr>
              <w:t>Current liabilites</w:t>
            </w:r>
          </w:p>
        </w:tc>
        <w:tc>
          <w:tcPr>
            <w:tcW w:w="2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4"/>
                <w:szCs w:val="14"/>
                <w:color w:val="auto"/>
              </w:rPr>
              <w:t>Accounts payable and accrued liabilites</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$49.2</w:t>
            </w:r>
          </w:p>
        </w:tc>
        <w:tc>
          <w:tcPr>
            <w:tcW w:w="1160" w:type="dxa"/>
            <w:vAlign w:val="bottom"/>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29"/>
        </w:trPr>
        <w:tc>
          <w:tcPr>
            <w:tcW w:w="6400" w:type="dxa"/>
            <w:vAlign w:val="bottom"/>
          </w:tcPr>
          <w:p>
            <w:pPr>
              <w:ind w:left="200"/>
              <w:spacing w:after="0"/>
              <w:rPr>
                <w:sz w:val="20"/>
                <w:szCs w:val="20"/>
                <w:color w:val="auto"/>
              </w:rPr>
            </w:pPr>
            <w:r>
              <w:rPr>
                <w:rFonts w:ascii="Arial" w:cs="Arial" w:eastAsia="Arial" w:hAnsi="Arial"/>
                <w:sz w:val="14"/>
                <w:szCs w:val="14"/>
                <w:color w:val="auto"/>
              </w:rPr>
              <w:t>Customer funds payable</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28.2</w:t>
            </w:r>
          </w:p>
        </w:tc>
        <w:tc>
          <w:tcPr>
            <w:tcW w:w="11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4"/>
                <w:szCs w:val="14"/>
                <w:color w:val="auto"/>
              </w:rPr>
              <w:t>Deferred revenue, current</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4.4</w:t>
            </w:r>
          </w:p>
        </w:tc>
        <w:tc>
          <w:tcPr>
            <w:tcW w:w="11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4"/>
                <w:szCs w:val="14"/>
                <w:color w:val="auto"/>
              </w:rPr>
              <w:t>Due to related party</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1.8</w:t>
            </w: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4"/>
                <w:szCs w:val="14"/>
                <w:color w:val="auto"/>
              </w:rPr>
              <w:t>Safeguarding obligaton for crypto</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505.7</w:t>
            </w:r>
          </w:p>
        </w:tc>
        <w:tc>
          <w:tcPr>
            <w:tcW w:w="116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9"/>
        </w:trPr>
        <w:tc>
          <w:tcPr>
            <w:tcW w:w="6400" w:type="dxa"/>
            <w:vAlign w:val="bottom"/>
          </w:tcPr>
          <w:p>
            <w:pPr>
              <w:ind w:left="200"/>
              <w:spacing w:after="0"/>
              <w:rPr>
                <w:sz w:val="20"/>
                <w:szCs w:val="20"/>
                <w:color w:val="auto"/>
              </w:rPr>
            </w:pPr>
            <w:r>
              <w:rPr>
                <w:rFonts w:ascii="Arial" w:cs="Arial" w:eastAsia="Arial" w:hAnsi="Arial"/>
                <w:sz w:val="14"/>
                <w:szCs w:val="14"/>
                <w:color w:val="auto"/>
              </w:rPr>
              <w:t>Other current liabilites</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4.3</w:t>
            </w: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45"/>
        </w:trPr>
        <w:tc>
          <w:tcPr>
            <w:tcW w:w="64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520"/>
              <w:spacing w:after="0"/>
              <w:rPr>
                <w:sz w:val="20"/>
                <w:szCs w:val="20"/>
                <w:color w:val="auto"/>
              </w:rPr>
            </w:pPr>
            <w:r>
              <w:rPr>
                <w:rFonts w:ascii="Arial" w:cs="Arial" w:eastAsia="Arial" w:hAnsi="Arial"/>
                <w:sz w:val="14"/>
                <w:szCs w:val="14"/>
                <w:b w:val="1"/>
                <w:bCs w:val="1"/>
                <w:color w:val="auto"/>
              </w:rPr>
              <w:t>Total current liabilites</w:t>
            </w:r>
          </w:p>
        </w:tc>
        <w:tc>
          <w:tcPr>
            <w:tcW w:w="2840" w:type="dxa"/>
            <w:vAlign w:val="bottom"/>
          </w:tcPr>
          <w:p>
            <w:pPr>
              <w:jc w:val="right"/>
              <w:ind w:right="688"/>
              <w:spacing w:after="0"/>
              <w:rPr>
                <w:sz w:val="20"/>
                <w:szCs w:val="20"/>
                <w:color w:val="auto"/>
              </w:rPr>
            </w:pPr>
            <w:r>
              <w:rPr>
                <w:rFonts w:ascii="Arial" w:cs="Arial" w:eastAsia="Arial" w:hAnsi="Arial"/>
                <w:sz w:val="14"/>
                <w:szCs w:val="14"/>
                <w:b w:val="1"/>
                <w:bCs w:val="1"/>
                <w:color w:val="auto"/>
              </w:rPr>
              <w:t>593.6</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92.1</w:t>
            </w:r>
          </w:p>
        </w:tc>
        <w:tc>
          <w:tcPr>
            <w:tcW w:w="0" w:type="dxa"/>
            <w:vAlign w:val="bottom"/>
          </w:tcPr>
          <w:p>
            <w:pPr>
              <w:spacing w:after="0"/>
              <w:rPr>
                <w:sz w:val="1"/>
                <w:szCs w:val="1"/>
                <w:color w:val="auto"/>
              </w:rPr>
            </w:pPr>
          </w:p>
        </w:tc>
      </w:tr>
      <w:tr>
        <w:trPr>
          <w:trHeight w:val="227"/>
        </w:trPr>
        <w:tc>
          <w:tcPr>
            <w:tcW w:w="6400" w:type="dxa"/>
            <w:vAlign w:val="bottom"/>
          </w:tcPr>
          <w:p>
            <w:pPr>
              <w:spacing w:after="0"/>
              <w:rPr>
                <w:sz w:val="20"/>
                <w:szCs w:val="20"/>
                <w:color w:val="auto"/>
              </w:rPr>
            </w:pPr>
            <w:r>
              <w:rPr>
                <w:rFonts w:ascii="Arial" w:cs="Arial" w:eastAsia="Arial" w:hAnsi="Arial"/>
                <w:sz w:val="14"/>
                <w:szCs w:val="14"/>
                <w:color w:val="auto"/>
              </w:rPr>
              <w:t>Deferred revenue, noncurrent</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2.9</w:t>
            </w:r>
          </w:p>
        </w:tc>
        <w:tc>
          <w:tcPr>
            <w:tcW w:w="11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4"/>
                <w:szCs w:val="14"/>
                <w:color w:val="auto"/>
              </w:rPr>
              <w:t>Warrant liability</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1.6</w:t>
            </w:r>
          </w:p>
        </w:tc>
        <w:tc>
          <w:tcPr>
            <w:tcW w:w="116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4"/>
                <w:szCs w:val="14"/>
                <w:color w:val="auto"/>
              </w:rPr>
              <w:t>Other noncurrent liabilites</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37.6</w:t>
            </w:r>
          </w:p>
        </w:tc>
        <w:tc>
          <w:tcPr>
            <w:tcW w:w="116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45"/>
        </w:trPr>
        <w:tc>
          <w:tcPr>
            <w:tcW w:w="64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360"/>
              <w:spacing w:after="0"/>
              <w:rPr>
                <w:sz w:val="20"/>
                <w:szCs w:val="20"/>
                <w:color w:val="auto"/>
              </w:rPr>
            </w:pPr>
            <w:r>
              <w:rPr>
                <w:rFonts w:ascii="Arial" w:cs="Arial" w:eastAsia="Arial" w:hAnsi="Arial"/>
                <w:sz w:val="14"/>
                <w:szCs w:val="14"/>
                <w:b w:val="1"/>
                <w:bCs w:val="1"/>
                <w:color w:val="auto"/>
              </w:rPr>
              <w:t>Total liabilites</w:t>
            </w:r>
          </w:p>
        </w:tc>
        <w:tc>
          <w:tcPr>
            <w:tcW w:w="2840" w:type="dxa"/>
            <w:vAlign w:val="bottom"/>
          </w:tcPr>
          <w:p>
            <w:pPr>
              <w:jc w:val="right"/>
              <w:ind w:right="688"/>
              <w:spacing w:after="0"/>
              <w:rPr>
                <w:sz w:val="20"/>
                <w:szCs w:val="20"/>
                <w:color w:val="auto"/>
              </w:rPr>
            </w:pPr>
            <w:r>
              <w:rPr>
                <w:rFonts w:ascii="Arial" w:cs="Arial" w:eastAsia="Arial" w:hAnsi="Arial"/>
                <w:sz w:val="14"/>
                <w:szCs w:val="14"/>
                <w:b w:val="1"/>
                <w:bCs w:val="1"/>
                <w:color w:val="auto"/>
              </w:rPr>
              <w:t>635.7</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119.4</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2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400" w:type="dxa"/>
            <w:vAlign w:val="bottom"/>
          </w:tcPr>
          <w:p>
            <w:pPr>
              <w:spacing w:after="0"/>
              <w:rPr>
                <w:sz w:val="20"/>
                <w:szCs w:val="20"/>
                <w:color w:val="auto"/>
              </w:rPr>
            </w:pPr>
            <w:r>
              <w:rPr>
                <w:rFonts w:ascii="Arial" w:cs="Arial" w:eastAsia="Arial" w:hAnsi="Arial"/>
                <w:sz w:val="14"/>
                <w:szCs w:val="14"/>
                <w:color w:val="auto"/>
                <w:w w:val="96"/>
              </w:rPr>
              <w:t>Class A common stock ($0.0001 par value, 750,000,000 shares authorized, 91,414,923 shares issued and</w:t>
            </w:r>
          </w:p>
        </w:tc>
        <w:tc>
          <w:tcPr>
            <w:tcW w:w="2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4"/>
                <w:szCs w:val="14"/>
                <w:color w:val="auto"/>
              </w:rPr>
              <w:t>outstanding as of 9/30/23 and 80,926,843 shares outstanding as of 12/31/22)</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0.0</w:t>
            </w:r>
          </w:p>
        </w:tc>
        <w:tc>
          <w:tcPr>
            <w:tcW w:w="116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4"/>
                <w:szCs w:val="14"/>
                <w:color w:val="auto"/>
                <w:w w:val="95"/>
              </w:rPr>
              <w:t>Class V common stock ($0.0001 par value, 250,000,000 shares authorized, 183,249,426 shares issued and</w:t>
            </w:r>
          </w:p>
        </w:tc>
        <w:tc>
          <w:tcPr>
            <w:tcW w:w="2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Arial" w:cs="Arial" w:eastAsia="Arial" w:hAnsi="Arial"/>
                <w:sz w:val="14"/>
                <w:szCs w:val="14"/>
                <w:color w:val="auto"/>
              </w:rPr>
              <w:t>outstanding as of 9/30/23 and 183,482,777 shares outstanding as of 12/31/22)</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0.0</w:t>
            </w:r>
          </w:p>
        </w:tc>
        <w:tc>
          <w:tcPr>
            <w:tcW w:w="116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4"/>
                <w:szCs w:val="14"/>
                <w:color w:val="auto"/>
              </w:rPr>
              <w:t>Additonal paid-in capital</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794.2</w:t>
            </w:r>
          </w:p>
        </w:tc>
        <w:tc>
          <w:tcPr>
            <w:tcW w:w="1160" w:type="dxa"/>
            <w:vAlign w:val="bottom"/>
          </w:tcPr>
          <w:p>
            <w:pPr>
              <w:jc w:val="right"/>
              <w:spacing w:after="0"/>
              <w:rPr>
                <w:sz w:val="20"/>
                <w:szCs w:val="20"/>
                <w:color w:val="auto"/>
              </w:rPr>
            </w:pPr>
            <w:r>
              <w:rPr>
                <w:rFonts w:ascii="Arial" w:cs="Arial" w:eastAsia="Arial" w:hAnsi="Arial"/>
                <w:sz w:val="14"/>
                <w:szCs w:val="14"/>
                <w:color w:val="auto"/>
              </w:rPr>
              <w:t>773.0</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(0.3)</w:t>
            </w:r>
          </w:p>
        </w:tc>
        <w:tc>
          <w:tcPr>
            <w:tcW w:w="11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4"/>
                <w:szCs w:val="14"/>
                <w:color w:val="auto"/>
              </w:rPr>
              <w:t>Accumulated defcit</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(724.6)</w:t>
            </w:r>
          </w:p>
        </w:tc>
        <w:tc>
          <w:tcPr>
            <w:tcW w:w="1160" w:type="dxa"/>
            <w:vAlign w:val="bottom"/>
          </w:tcPr>
          <w:p>
            <w:pPr>
              <w:jc w:val="right"/>
              <w:spacing w:after="0"/>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45"/>
        </w:trPr>
        <w:tc>
          <w:tcPr>
            <w:tcW w:w="64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360"/>
              <w:spacing w:after="0"/>
              <w:rPr>
                <w:sz w:val="20"/>
                <w:szCs w:val="20"/>
                <w:color w:val="auto"/>
              </w:rPr>
            </w:pPr>
            <w:r>
              <w:rPr>
                <w:rFonts w:ascii="Arial" w:cs="Arial" w:eastAsia="Arial" w:hAnsi="Arial"/>
                <w:sz w:val="14"/>
                <w:szCs w:val="14"/>
                <w:b w:val="1"/>
                <w:bCs w:val="1"/>
                <w:color w:val="auto"/>
              </w:rPr>
              <w:t>Total stockholders' equity</w:t>
            </w:r>
          </w:p>
        </w:tc>
        <w:tc>
          <w:tcPr>
            <w:tcW w:w="2840" w:type="dxa"/>
            <w:vAlign w:val="bottom"/>
          </w:tcPr>
          <w:p>
            <w:pPr>
              <w:jc w:val="right"/>
              <w:ind w:right="688"/>
              <w:spacing w:after="0"/>
              <w:rPr>
                <w:sz w:val="20"/>
                <w:szCs w:val="20"/>
                <w:color w:val="auto"/>
              </w:rPr>
            </w:pPr>
            <w:r>
              <w:rPr>
                <w:rFonts w:ascii="Arial" w:cs="Arial" w:eastAsia="Arial" w:hAnsi="Arial"/>
                <w:sz w:val="14"/>
                <w:szCs w:val="14"/>
                <w:b w:val="1"/>
                <w:bCs w:val="1"/>
                <w:color w:val="auto"/>
              </w:rPr>
              <w:t>69.3</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96.3</w:t>
            </w: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2840" w:type="dxa"/>
            <w:vAlign w:val="bottom"/>
          </w:tcPr>
          <w:p>
            <w:pPr>
              <w:jc w:val="right"/>
              <w:ind w:right="688"/>
              <w:spacing w:after="0"/>
              <w:rPr>
                <w:sz w:val="20"/>
                <w:szCs w:val="20"/>
                <w:color w:val="auto"/>
              </w:rPr>
            </w:pPr>
            <w:r>
              <w:rPr>
                <w:rFonts w:ascii="Arial" w:cs="Arial" w:eastAsia="Arial" w:hAnsi="Arial"/>
                <w:sz w:val="14"/>
                <w:szCs w:val="14"/>
                <w:color w:val="auto"/>
              </w:rPr>
              <w:t>141.7</w:t>
            </w:r>
          </w:p>
        </w:tc>
        <w:tc>
          <w:tcPr>
            <w:tcW w:w="1160" w:type="dxa"/>
            <w:vAlign w:val="bottom"/>
          </w:tcPr>
          <w:p>
            <w:pPr>
              <w:jc w:val="right"/>
              <w:spacing w:after="0"/>
              <w:rPr>
                <w:sz w:val="20"/>
                <w:szCs w:val="20"/>
                <w:color w:val="auto"/>
              </w:rPr>
            </w:pPr>
            <w:r>
              <w:rPr>
                <w:rFonts w:ascii="Arial" w:cs="Arial" w:eastAsia="Arial" w:hAnsi="Arial"/>
                <w:sz w:val="14"/>
                <w:szCs w:val="14"/>
                <w:color w:val="auto"/>
              </w:rPr>
              <w:t>239.8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28575</wp:posOffset>
            </wp:positionV>
            <wp:extent cx="25457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ectPr>
          <w:pgSz w:w="11900" w:h="16838" w:orient="portrait"/>
          <w:cols w:equalWidth="0" w:num="1">
            <w:col w:w="10420"/>
          </w:cols>
          <w:pgMar w:left="320" w:top="1440" w:right="1159" w:bottom="1440" w:gutter="0" w:footer="0" w:header="0"/>
        </w:sectPr>
      </w:pPr>
    </w:p>
    <w:p>
      <w:pPr>
        <w:spacing w:after="0" w:line="6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equity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Total liabilites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66179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0"/>
        <w:spacing w:after="0"/>
        <w:tabs>
          <w:tab w:leader="none" w:pos="1960" w:val="left"/>
        </w:tabs>
        <w:rPr>
          <w:sz w:val="20"/>
          <w:szCs w:val="20"/>
          <w:color w:val="auto"/>
        </w:rPr>
      </w:pPr>
      <w:r>
        <w:rPr>
          <w:rFonts w:ascii="Arial" w:cs="Arial" w:eastAsia="Arial" w:hAnsi="Arial"/>
          <w:sz w:val="14"/>
          <w:szCs w:val="14"/>
          <w:b w:val="1"/>
          <w:bCs w:val="1"/>
          <w:color w:val="auto"/>
        </w:rPr>
        <w:t>211.1</w:t>
      </w:r>
      <w:r>
        <w:rPr>
          <w:sz w:val="20"/>
          <w:szCs w:val="20"/>
          <w:color w:val="auto"/>
        </w:rPr>
        <w:tab/>
      </w:r>
      <w:r>
        <w:rPr>
          <w:rFonts w:ascii="Arial" w:cs="Arial" w:eastAsia="Arial" w:hAnsi="Arial"/>
          <w:sz w:val="13"/>
          <w:szCs w:val="13"/>
          <w:b w:val="1"/>
          <w:bCs w:val="1"/>
          <w:color w:val="auto"/>
        </w:rPr>
        <w:t>336.1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41910</wp:posOffset>
            </wp:positionV>
            <wp:extent cx="25457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62" w:lineRule="exact"/>
        <w:rPr>
          <w:sz w:val="20"/>
          <w:szCs w:val="20"/>
          <w:color w:val="auto"/>
        </w:rPr>
      </w:pPr>
    </w:p>
    <w:p>
      <w:pPr>
        <w:spacing w:after="0"/>
        <w:tabs>
          <w:tab w:leader="none" w:pos="1880" w:val="left"/>
        </w:tabs>
        <w:rPr>
          <w:sz w:val="20"/>
          <w:szCs w:val="20"/>
          <w:color w:val="auto"/>
        </w:rPr>
      </w:pPr>
      <w:r>
        <w:rPr>
          <w:rFonts w:ascii="Arial" w:cs="Arial" w:eastAsia="Arial" w:hAnsi="Arial"/>
          <w:sz w:val="14"/>
          <w:szCs w:val="14"/>
          <w:b w:val="1"/>
          <w:bCs w:val="1"/>
          <w:color w:val="auto"/>
        </w:rPr>
        <w:t>$846.7</w:t>
      </w:r>
      <w:r>
        <w:rPr>
          <w:sz w:val="20"/>
          <w:szCs w:val="20"/>
          <w:color w:val="auto"/>
        </w:rPr>
        <w:tab/>
      </w:r>
      <w:r>
        <w:rPr>
          <w:rFonts w:ascii="Arial" w:cs="Arial" w:eastAsia="Arial" w:hAnsi="Arial"/>
          <w:sz w:val="13"/>
          <w:szCs w:val="13"/>
          <w:b w:val="1"/>
          <w:bCs w:val="1"/>
          <w:color w:val="auto"/>
        </w:rPr>
        <w:t>$455.5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41910</wp:posOffset>
            </wp:positionV>
            <wp:extent cx="25457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5715" cy="8255"/>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59055</wp:posOffset>
            </wp:positionV>
            <wp:extent cx="25457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2320"/>
          </w:cols>
          <w:pgMar w:left="320" w:top="1440"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420"/>
          </w:cols>
          <w:pgMar w:left="320" w:top="1440" w:right="1159" w:bottom="1440" w:gutter="0" w:footer="0" w:header="0"/>
          <w:type w:val="continuous"/>
        </w:sectPr>
      </w:pPr>
    </w:p>
    <w:bookmarkStart w:id="12" w:name="page13"/>
    <w:bookmarkEnd w:id="12"/>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Operatons (unaudited)</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694372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372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Crypto services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Loyalty services, net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Operatng expenses: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Crypto costs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Executon, clearing and brokerage fees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Compensaton and benefts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Professional services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Technology and communicaton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Selling, general and administratve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Acquisiton-related expenses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Depreciaton and amortzaton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Related party expenses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 and intangible assets impairments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long-lived assets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operatng expenses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operatng expenses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Operatng loss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income, net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(Loss) gain from change in fair value of warrant liability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income,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Loss before income taxes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Income tax (expense) beneft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loss atributable to noncontrolling interest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atributable to Bakkt Holdings, Inc.</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loss per share atributable to Class A common stockholders</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6943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FFFFFF"/>
              </w:rPr>
              <w:t>3Q23</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FFFFFF"/>
              </w:rPr>
              <w:t>3Q22</w:t>
            </w:r>
          </w:p>
        </w:tc>
      </w:tr>
      <w:tr>
        <w:trPr>
          <w:trHeight w:val="511"/>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$191.8</w:t>
            </w:r>
          </w:p>
        </w:tc>
        <w:tc>
          <w:tcPr>
            <w:tcW w:w="11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13.0</w:t>
            </w:r>
          </w:p>
        </w:tc>
        <w:tc>
          <w:tcPr>
            <w:tcW w:w="112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54"/>
        </w:trPr>
        <w:tc>
          <w:tcPr>
            <w:tcW w:w="2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204.8</w:t>
            </w: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511"/>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189.4</w:t>
            </w: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0.7</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24.6</w:t>
            </w:r>
          </w:p>
        </w:tc>
        <w:tc>
          <w:tcPr>
            <w:tcW w:w="112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2.0</w:t>
            </w: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5.5</w:t>
            </w: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6"/>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7.4</w:t>
            </w: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(0.7)</w:t>
            </w:r>
          </w:p>
        </w:tc>
        <w:tc>
          <w:tcPr>
            <w:tcW w:w="11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4.0</w:t>
            </w:r>
          </w:p>
        </w:tc>
        <w:tc>
          <w:tcPr>
            <w:tcW w:w="11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1.0</w:t>
            </w:r>
          </w:p>
        </w:tc>
        <w:tc>
          <w:tcPr>
            <w:tcW w:w="11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6"/>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23.3</w:t>
            </w:r>
          </w:p>
        </w:tc>
        <w:tc>
          <w:tcPr>
            <w:tcW w:w="1120" w:type="dxa"/>
            <w:vAlign w:val="bottom"/>
          </w:tcPr>
          <w:p>
            <w:pPr>
              <w:jc w:val="right"/>
              <w:spacing w:after="0"/>
              <w:rPr>
                <w:sz w:val="20"/>
                <w:szCs w:val="20"/>
                <w:color w:val="auto"/>
              </w:rPr>
            </w:pPr>
            <w:r>
              <w:rPr>
                <w:rFonts w:ascii="Arial" w:cs="Arial" w:eastAsia="Arial" w:hAnsi="Arial"/>
                <w:sz w:val="16"/>
                <w:szCs w:val="16"/>
                <w:color w:val="auto"/>
              </w:rPr>
              <w:t>1,547.7</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0.1</w:t>
            </w:r>
          </w:p>
        </w:tc>
        <w:tc>
          <w:tcPr>
            <w:tcW w:w="11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0.3</w:t>
            </w:r>
          </w:p>
        </w:tc>
        <w:tc>
          <w:tcPr>
            <w:tcW w:w="11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55"/>
        </w:trPr>
        <w:tc>
          <w:tcPr>
            <w:tcW w:w="2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257.6</w:t>
            </w:r>
          </w:p>
        </w:tc>
        <w:tc>
          <w:tcPr>
            <w:tcW w:w="1120" w:type="dxa"/>
            <w:vAlign w:val="bottom"/>
          </w:tcPr>
          <w:p>
            <w:pPr>
              <w:jc w:val="right"/>
              <w:spacing w:after="0"/>
              <w:rPr>
                <w:sz w:val="20"/>
                <w:szCs w:val="20"/>
                <w:color w:val="auto"/>
              </w:rPr>
            </w:pPr>
            <w:r>
              <w:rPr>
                <w:rFonts w:ascii="Arial" w:cs="Arial" w:eastAsia="Arial" w:hAnsi="Arial"/>
                <w:sz w:val="16"/>
                <w:szCs w:val="16"/>
                <w:color w:val="auto"/>
              </w:rPr>
              <w:t>1,608.1</w:t>
            </w:r>
          </w:p>
        </w:tc>
      </w:tr>
      <w:tr>
        <w:trPr>
          <w:trHeight w:val="53"/>
        </w:trPr>
        <w:tc>
          <w:tcPr>
            <w:tcW w:w="2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9"/>
        </w:trPr>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(52.9)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(1,594.9)</w:t>
            </w:r>
          </w:p>
        </w:tc>
      </w:tr>
      <w:tr>
        <w:trPr>
          <w:trHeight w:val="253"/>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1.2</w:t>
            </w:r>
          </w:p>
        </w:tc>
        <w:tc>
          <w:tcPr>
            <w:tcW w:w="11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56"/>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(0.2)</w:t>
            </w: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0.4</w:t>
            </w: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54"/>
        </w:trPr>
        <w:tc>
          <w:tcPr>
            <w:tcW w:w="2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9"/>
        </w:trPr>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(51.5)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(1,593.2)</w:t>
            </w:r>
          </w:p>
        </w:tc>
      </w:tr>
      <w:tr>
        <w:trPr>
          <w:trHeight w:val="253"/>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(0.2)</w:t>
            </w:r>
          </w:p>
        </w:tc>
        <w:tc>
          <w:tcPr>
            <w:tcW w:w="11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55"/>
        </w:trPr>
        <w:tc>
          <w:tcPr>
            <w:tcW w:w="2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9"/>
        </w:trPr>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(51.7)</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(1,592.5)</w:t>
            </w:r>
          </w:p>
        </w:tc>
      </w:tr>
      <w:tr>
        <w:trPr>
          <w:trHeight w:val="253"/>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(34.4)</w:t>
            </w:r>
          </w:p>
        </w:tc>
        <w:tc>
          <w:tcPr>
            <w:tcW w:w="1120" w:type="dxa"/>
            <w:vAlign w:val="bottom"/>
          </w:tcPr>
          <w:p>
            <w:pPr>
              <w:jc w:val="right"/>
              <w:spacing w:after="0"/>
              <w:rPr>
                <w:sz w:val="20"/>
                <w:szCs w:val="20"/>
                <w:color w:val="auto"/>
              </w:rPr>
            </w:pPr>
            <w:r>
              <w:rPr>
                <w:rFonts w:ascii="Arial" w:cs="Arial" w:eastAsia="Arial" w:hAnsi="Arial"/>
                <w:sz w:val="16"/>
                <w:szCs w:val="16"/>
                <w:color w:val="auto"/>
              </w:rPr>
              <w:t>(1,124.4)</w:t>
            </w:r>
          </w:p>
        </w:tc>
      </w:tr>
      <w:tr>
        <w:trPr>
          <w:trHeight w:val="54"/>
        </w:trPr>
        <w:tc>
          <w:tcPr>
            <w:tcW w:w="2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9"/>
        </w:trPr>
        <w:tc>
          <w:tcPr>
            <w:tcW w:w="2100" w:type="dxa"/>
            <w:vAlign w:val="bottom"/>
          </w:tcPr>
          <w:p>
            <w:pPr>
              <w:jc w:val="right"/>
              <w:ind w:right="419"/>
              <w:spacing w:after="0"/>
              <w:rPr>
                <w:sz w:val="20"/>
                <w:szCs w:val="20"/>
                <w:color w:val="auto"/>
              </w:rPr>
            </w:pPr>
            <w:r>
              <w:rPr>
                <w:rFonts w:ascii="Arial" w:cs="Arial" w:eastAsia="Arial" w:hAnsi="Arial"/>
                <w:sz w:val="16"/>
                <w:szCs w:val="16"/>
                <w:b w:val="1"/>
                <w:bCs w:val="1"/>
                <w:color w:val="auto"/>
              </w:rPr>
              <w:t>$(17.3)</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$(468.1)</w:t>
            </w:r>
          </w:p>
        </w:tc>
      </w:tr>
      <w:tr>
        <w:trPr>
          <w:trHeight w:val="51"/>
        </w:trPr>
        <w:tc>
          <w:tcPr>
            <w:tcW w:w="2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28"/>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$(0.19)</w:t>
            </w:r>
          </w:p>
        </w:tc>
        <w:tc>
          <w:tcPr>
            <w:tcW w:w="112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57"/>
        </w:trPr>
        <w:tc>
          <w:tcPr>
            <w:tcW w:w="2100" w:type="dxa"/>
            <w:vAlign w:val="bottom"/>
          </w:tcPr>
          <w:p>
            <w:pPr>
              <w:jc w:val="right"/>
              <w:ind w:right="419"/>
              <w:spacing w:after="0"/>
              <w:rPr>
                <w:sz w:val="20"/>
                <w:szCs w:val="20"/>
                <w:color w:val="auto"/>
              </w:rPr>
            </w:pPr>
            <w:r>
              <w:rPr>
                <w:rFonts w:ascii="Arial" w:cs="Arial" w:eastAsia="Arial" w:hAnsi="Arial"/>
                <w:sz w:val="16"/>
                <w:szCs w:val="16"/>
                <w:color w:val="auto"/>
              </w:rPr>
              <w:t>$(0.19)</w:t>
            </w:r>
          </w:p>
        </w:tc>
        <w:tc>
          <w:tcPr>
            <w:tcW w:w="1120" w:type="dxa"/>
            <w:vAlign w:val="bottom"/>
          </w:tcPr>
          <w:p>
            <w:pPr>
              <w:jc w:val="right"/>
              <w:spacing w:after="0"/>
              <w:rPr>
                <w:sz w:val="20"/>
                <w:szCs w:val="20"/>
                <w:color w:val="auto"/>
              </w:rPr>
            </w:pPr>
            <w:r>
              <w:rPr>
                <w:rFonts w:ascii="Arial" w:cs="Arial" w:eastAsia="Arial" w:hAnsi="Arial"/>
                <w:sz w:val="16"/>
                <w:szCs w:val="16"/>
                <w:color w:val="auto"/>
              </w:rPr>
              <w:t>$(6.11)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-6325870</wp:posOffset>
            </wp:positionV>
            <wp:extent cx="1028700" cy="540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7000" w:space="720"/>
            <w:col w:w="3220"/>
          </w:cols>
          <w:pgMar w:left="320" w:top="14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1440" w:right="6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6311900</wp:posOffset>
            </wp:positionH>
            <wp:positionV relativeFrom="page">
              <wp:posOffset>217805</wp:posOffset>
            </wp:positionV>
            <wp:extent cx="1028700" cy="540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 (unaudited)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360" w:type="dxa"/>
            <w:vAlign w:val="bottom"/>
            <w:tcBorders>
              <w:bottom w:val="single" w:sz="8" w:color="auto"/>
            </w:tcBorders>
            <w:shd w:val="clear" w:color="auto" w:fill="000000"/>
          </w:tcPr>
          <w:p>
            <w:pPr>
              <w:ind w:left="40"/>
              <w:spacing w:after="0"/>
              <w:rPr>
                <w:sz w:val="20"/>
                <w:szCs w:val="20"/>
                <w:color w:val="auto"/>
              </w:rPr>
            </w:pPr>
            <w:r>
              <w:rPr>
                <w:rFonts w:ascii="Arial" w:cs="Arial" w:eastAsia="Arial" w:hAnsi="Arial"/>
                <w:sz w:val="16"/>
                <w:szCs w:val="16"/>
                <w:color w:val="FFFFFF"/>
              </w:rPr>
              <w:t>$ in millions</w:t>
            </w:r>
          </w:p>
        </w:tc>
        <w:tc>
          <w:tcPr>
            <w:tcW w:w="15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6"/>
                <w:szCs w:val="16"/>
                <w:color w:val="FFFFFF"/>
              </w:rPr>
              <w:t>3Q23</w:t>
            </w:r>
          </w:p>
        </w:tc>
        <w:tc>
          <w:tcPr>
            <w:tcW w:w="158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6"/>
                <w:szCs w:val="16"/>
                <w:color w:val="FFFFFF"/>
              </w:rPr>
              <w:t>3Q22</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fows from operatng actvites:</w:t>
            </w:r>
          </w:p>
        </w:tc>
        <w:tc>
          <w:tcPr>
            <w:tcW w:w="1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560" w:type="dxa"/>
            <w:vAlign w:val="bottom"/>
          </w:tcPr>
          <w:p>
            <w:pPr>
              <w:jc w:val="right"/>
              <w:spacing w:after="0"/>
              <w:rPr>
                <w:sz w:val="20"/>
                <w:szCs w:val="20"/>
                <w:color w:val="auto"/>
              </w:rPr>
            </w:pPr>
            <w:r>
              <w:rPr>
                <w:rFonts w:ascii="Arial" w:cs="Arial" w:eastAsia="Arial" w:hAnsi="Arial"/>
                <w:sz w:val="16"/>
                <w:szCs w:val="16"/>
                <w:color w:val="auto"/>
              </w:rPr>
              <w:t>$(51.7)</w:t>
            </w:r>
          </w:p>
        </w:tc>
        <w:tc>
          <w:tcPr>
            <w:tcW w:w="1580" w:type="dxa"/>
            <w:vAlign w:val="bottom"/>
          </w:tcPr>
          <w:p>
            <w:pPr>
              <w:jc w:val="right"/>
              <w:spacing w:after="0"/>
              <w:rPr>
                <w:sz w:val="20"/>
                <w:szCs w:val="20"/>
                <w:color w:val="auto"/>
              </w:rPr>
            </w:pPr>
            <w:r>
              <w:rPr>
                <w:rFonts w:ascii="Arial" w:cs="Arial" w:eastAsia="Arial" w:hAnsi="Arial"/>
                <w:sz w:val="16"/>
                <w:szCs w:val="16"/>
                <w:color w:val="auto"/>
              </w:rPr>
              <w:t>$(1,592.5)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Adjustments to reconcile net loss to net cash used in operatng actvites:</w:t>
            </w:r>
          </w:p>
        </w:tc>
        <w:tc>
          <w:tcPr>
            <w:tcW w:w="15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Depreciaton and amortzaton</w:t>
            </w: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c>
          <w:tcPr>
            <w:tcW w:w="158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Non-cash lease expense</w:t>
            </w:r>
          </w:p>
        </w:tc>
        <w:tc>
          <w:tcPr>
            <w:tcW w:w="1560" w:type="dxa"/>
            <w:vAlign w:val="bottom"/>
          </w:tcPr>
          <w:p>
            <w:pPr>
              <w:jc w:val="right"/>
              <w:spacing w:after="0"/>
              <w:rPr>
                <w:sz w:val="20"/>
                <w:szCs w:val="20"/>
                <w:color w:val="auto"/>
              </w:rPr>
            </w:pPr>
            <w:r>
              <w:rPr>
                <w:rFonts w:ascii="Arial" w:cs="Arial" w:eastAsia="Arial" w:hAnsi="Arial"/>
                <w:sz w:val="16"/>
                <w:szCs w:val="16"/>
                <w:color w:val="auto"/>
              </w:rPr>
              <w:t>0.8</w:t>
            </w:r>
          </w:p>
        </w:tc>
        <w:tc>
          <w:tcPr>
            <w:tcW w:w="1580" w:type="dxa"/>
            <w:vAlign w:val="bottom"/>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Share-based compensaton expense</w:t>
            </w:r>
          </w:p>
        </w:tc>
        <w:tc>
          <w:tcPr>
            <w:tcW w:w="1560" w:type="dxa"/>
            <w:vAlign w:val="bottom"/>
          </w:tcPr>
          <w:p>
            <w:pPr>
              <w:jc w:val="right"/>
              <w:spacing w:after="0"/>
              <w:rPr>
                <w:sz w:val="20"/>
                <w:szCs w:val="20"/>
                <w:color w:val="auto"/>
              </w:rPr>
            </w:pPr>
            <w:r>
              <w:rPr>
                <w:rFonts w:ascii="Arial" w:cs="Arial" w:eastAsia="Arial" w:hAnsi="Arial"/>
                <w:sz w:val="16"/>
                <w:szCs w:val="16"/>
                <w:color w:val="auto"/>
              </w:rPr>
              <w:t>3.0</w:t>
            </w:r>
          </w:p>
        </w:tc>
        <w:tc>
          <w:tcPr>
            <w:tcW w:w="158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300"/>
              <w:spacing w:after="0"/>
              <w:rPr>
                <w:sz w:val="20"/>
                <w:szCs w:val="20"/>
                <w:color w:val="auto"/>
              </w:rPr>
            </w:pPr>
            <w:r>
              <w:rPr>
                <w:rFonts w:ascii="Arial" w:cs="Arial" w:eastAsia="Arial" w:hAnsi="Arial"/>
                <w:sz w:val="16"/>
                <w:szCs w:val="16"/>
                <w:color w:val="auto"/>
              </w:rPr>
              <w:t>Unit-based compensaton expense</w:t>
            </w:r>
          </w:p>
        </w:tc>
        <w:tc>
          <w:tcPr>
            <w:tcW w:w="1560" w:type="dxa"/>
            <w:vAlign w:val="bottom"/>
          </w:tcPr>
          <w:p>
            <w:pPr>
              <w:jc w:val="right"/>
              <w:spacing w:after="0"/>
              <w:rPr>
                <w:sz w:val="20"/>
                <w:szCs w:val="20"/>
                <w:color w:val="auto"/>
              </w:rPr>
            </w:pPr>
            <w:r>
              <w:rPr>
                <w:rFonts w:ascii="Arial" w:cs="Arial" w:eastAsia="Arial" w:hAnsi="Arial"/>
                <w:sz w:val="16"/>
                <w:szCs w:val="16"/>
                <w:color w:val="auto"/>
              </w:rPr>
              <w:t>0.4</w:t>
            </w: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Forfeiture and cancellaton of common units</w:t>
            </w:r>
          </w:p>
        </w:tc>
        <w:tc>
          <w:tcPr>
            <w:tcW w:w="1560" w:type="dxa"/>
            <w:vAlign w:val="bottom"/>
          </w:tcPr>
          <w:p>
            <w:pPr>
              <w:jc w:val="right"/>
              <w:spacing w:after="0"/>
              <w:rPr>
                <w:sz w:val="20"/>
                <w:szCs w:val="20"/>
                <w:color w:val="auto"/>
              </w:rPr>
            </w:pPr>
            <w:r>
              <w:rPr>
                <w:rFonts w:ascii="Arial" w:cs="Arial" w:eastAsia="Arial" w:hAnsi="Arial"/>
                <w:sz w:val="16"/>
                <w:szCs w:val="16"/>
                <w:color w:val="auto"/>
              </w:rPr>
              <w:t>(0.0)</w:t>
            </w:r>
          </w:p>
        </w:tc>
        <w:tc>
          <w:tcPr>
            <w:tcW w:w="158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Impairment of long-lived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0.1</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300"/>
              <w:spacing w:after="0"/>
              <w:rPr>
                <w:sz w:val="20"/>
                <w:szCs w:val="20"/>
                <w:color w:val="auto"/>
              </w:rPr>
            </w:pPr>
            <w:r>
              <w:rPr>
                <w:rFonts w:ascii="Arial" w:cs="Arial" w:eastAsia="Arial" w:hAnsi="Arial"/>
                <w:sz w:val="16"/>
                <w:szCs w:val="16"/>
                <w:color w:val="auto"/>
              </w:rPr>
              <w:t>Goodwill and intangible assets impairments</w:t>
            </w:r>
          </w:p>
        </w:tc>
        <w:tc>
          <w:tcPr>
            <w:tcW w:w="1560" w:type="dxa"/>
            <w:vAlign w:val="bottom"/>
          </w:tcPr>
          <w:p>
            <w:pPr>
              <w:jc w:val="right"/>
              <w:spacing w:after="0"/>
              <w:rPr>
                <w:sz w:val="20"/>
                <w:szCs w:val="20"/>
                <w:color w:val="auto"/>
              </w:rPr>
            </w:pPr>
            <w:r>
              <w:rPr>
                <w:rFonts w:ascii="Arial" w:cs="Arial" w:eastAsia="Arial" w:hAnsi="Arial"/>
                <w:sz w:val="16"/>
                <w:szCs w:val="16"/>
                <w:color w:val="auto"/>
              </w:rPr>
              <w:t>23.3</w:t>
            </w:r>
          </w:p>
        </w:tc>
        <w:tc>
          <w:tcPr>
            <w:tcW w:w="1580" w:type="dxa"/>
            <w:vAlign w:val="bottom"/>
          </w:tcPr>
          <w:p>
            <w:pPr>
              <w:jc w:val="right"/>
              <w:spacing w:after="0"/>
              <w:rPr>
                <w:sz w:val="20"/>
                <w:szCs w:val="20"/>
                <w:color w:val="auto"/>
              </w:rPr>
            </w:pPr>
            <w:r>
              <w:rPr>
                <w:rFonts w:ascii="Arial" w:cs="Arial" w:eastAsia="Arial" w:hAnsi="Arial"/>
                <w:sz w:val="16"/>
                <w:szCs w:val="16"/>
                <w:color w:val="auto"/>
              </w:rPr>
              <w:t>1,547.7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Loss on disposal of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0.1</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Loss (gain) from change in fair value of warrant liability</w:t>
            </w:r>
          </w:p>
        </w:tc>
        <w:tc>
          <w:tcPr>
            <w:tcW w:w="1560" w:type="dxa"/>
            <w:vAlign w:val="bottom"/>
          </w:tcPr>
          <w:p>
            <w:pPr>
              <w:jc w:val="right"/>
              <w:spacing w:after="0"/>
              <w:rPr>
                <w:sz w:val="20"/>
                <w:szCs w:val="20"/>
                <w:color w:val="auto"/>
              </w:rPr>
            </w:pPr>
            <w:r>
              <w:rPr>
                <w:rFonts w:ascii="Arial" w:cs="Arial" w:eastAsia="Arial" w:hAnsi="Arial"/>
                <w:sz w:val="16"/>
                <w:szCs w:val="16"/>
                <w:color w:val="auto"/>
              </w:rPr>
              <w:t>0.2</w:t>
            </w:r>
          </w:p>
        </w:tc>
        <w:tc>
          <w:tcPr>
            <w:tcW w:w="158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Other</w:t>
            </w:r>
          </w:p>
        </w:tc>
        <w:tc>
          <w:tcPr>
            <w:tcW w:w="1560" w:type="dxa"/>
            <w:vAlign w:val="bottom"/>
          </w:tcPr>
          <w:p>
            <w:pPr>
              <w:jc w:val="right"/>
              <w:spacing w:after="0"/>
              <w:rPr>
                <w:sz w:val="20"/>
                <w:szCs w:val="20"/>
                <w:color w:val="auto"/>
              </w:rPr>
            </w:pPr>
            <w:r>
              <w:rPr>
                <w:rFonts w:ascii="Arial" w:cs="Arial" w:eastAsia="Arial" w:hAnsi="Arial"/>
                <w:sz w:val="16"/>
                <w:szCs w:val="16"/>
                <w:color w:val="auto"/>
              </w:rPr>
              <w:t>0.0</w:t>
            </w:r>
          </w:p>
        </w:tc>
        <w:tc>
          <w:tcPr>
            <w:tcW w:w="158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Changes in operatng assets and liabilites:</w:t>
            </w:r>
          </w:p>
        </w:tc>
        <w:tc>
          <w:tcPr>
            <w:tcW w:w="15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620"/>
              <w:spacing w:after="0"/>
              <w:rPr>
                <w:sz w:val="20"/>
                <w:szCs w:val="20"/>
                <w:color w:val="auto"/>
              </w:rPr>
            </w:pPr>
            <w:r>
              <w:rPr>
                <w:rFonts w:ascii="Arial" w:cs="Arial" w:eastAsia="Arial" w:hAnsi="Arial"/>
                <w:sz w:val="16"/>
                <w:szCs w:val="16"/>
                <w:color w:val="auto"/>
              </w:rPr>
              <w:t>Accounts receivable</w:t>
            </w:r>
          </w:p>
        </w:tc>
        <w:tc>
          <w:tcPr>
            <w:tcW w:w="1560" w:type="dxa"/>
            <w:vAlign w:val="bottom"/>
          </w:tcPr>
          <w:p>
            <w:pPr>
              <w:jc w:val="right"/>
              <w:spacing w:after="0"/>
              <w:rPr>
                <w:sz w:val="20"/>
                <w:szCs w:val="20"/>
                <w:color w:val="auto"/>
              </w:rPr>
            </w:pPr>
            <w:r>
              <w:rPr>
                <w:rFonts w:ascii="Arial" w:cs="Arial" w:eastAsia="Arial" w:hAnsi="Arial"/>
                <w:sz w:val="16"/>
                <w:szCs w:val="16"/>
                <w:color w:val="auto"/>
              </w:rPr>
              <w:t>(0.7)</w:t>
            </w:r>
          </w:p>
        </w:tc>
        <w:tc>
          <w:tcPr>
            <w:tcW w:w="158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620"/>
              <w:spacing w:after="0"/>
              <w:rPr>
                <w:sz w:val="20"/>
                <w:szCs w:val="20"/>
                <w:color w:val="auto"/>
              </w:rPr>
            </w:pPr>
            <w:r>
              <w:rPr>
                <w:rFonts w:ascii="Arial" w:cs="Arial" w:eastAsia="Arial" w:hAnsi="Arial"/>
                <w:sz w:val="16"/>
                <w:szCs w:val="16"/>
                <w:color w:val="auto"/>
              </w:rPr>
              <w:t>Prepaid insurance</w:t>
            </w:r>
          </w:p>
        </w:tc>
        <w:tc>
          <w:tcPr>
            <w:tcW w:w="1560" w:type="dxa"/>
            <w:vAlign w:val="bottom"/>
          </w:tcPr>
          <w:p>
            <w:pPr>
              <w:jc w:val="right"/>
              <w:spacing w:after="0"/>
              <w:rPr>
                <w:sz w:val="20"/>
                <w:szCs w:val="20"/>
                <w:color w:val="auto"/>
              </w:rPr>
            </w:pPr>
            <w:r>
              <w:rPr>
                <w:rFonts w:ascii="Arial" w:cs="Arial" w:eastAsia="Arial" w:hAnsi="Arial"/>
                <w:sz w:val="16"/>
                <w:szCs w:val="16"/>
                <w:color w:val="auto"/>
              </w:rPr>
              <w:t>3.9</w:t>
            </w:r>
          </w:p>
        </w:tc>
        <w:tc>
          <w:tcPr>
            <w:tcW w:w="158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620"/>
              <w:spacing w:after="0"/>
              <w:rPr>
                <w:sz w:val="20"/>
                <w:szCs w:val="20"/>
                <w:color w:val="auto"/>
              </w:rPr>
            </w:pPr>
            <w:r>
              <w:rPr>
                <w:rFonts w:ascii="Arial" w:cs="Arial" w:eastAsia="Arial" w:hAnsi="Arial"/>
                <w:sz w:val="16"/>
                <w:szCs w:val="16"/>
                <w:color w:val="auto"/>
              </w:rPr>
              <w:t>Deposits with clearinghouse</w:t>
            </w:r>
          </w:p>
        </w:tc>
        <w:tc>
          <w:tcPr>
            <w:tcW w:w="1560" w:type="dxa"/>
            <w:vAlign w:val="bottom"/>
          </w:tcPr>
          <w:p>
            <w:pPr>
              <w:jc w:val="right"/>
              <w:spacing w:after="0"/>
              <w:rPr>
                <w:sz w:val="20"/>
                <w:szCs w:val="20"/>
                <w:color w:val="auto"/>
              </w:rPr>
            </w:pPr>
            <w:r>
              <w:rPr>
                <w:rFonts w:ascii="Arial" w:cs="Arial" w:eastAsia="Arial" w:hAnsi="Arial"/>
                <w:sz w:val="16"/>
                <w:szCs w:val="16"/>
                <w:color w:val="auto"/>
              </w:rPr>
              <w:t>15.2</w:t>
            </w:r>
          </w:p>
        </w:tc>
        <w:tc>
          <w:tcPr>
            <w:tcW w:w="15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620"/>
              <w:spacing w:after="0"/>
              <w:rPr>
                <w:sz w:val="20"/>
                <w:szCs w:val="20"/>
                <w:color w:val="auto"/>
              </w:rPr>
            </w:pPr>
            <w:r>
              <w:rPr>
                <w:rFonts w:ascii="Arial" w:cs="Arial" w:eastAsia="Arial" w:hAnsi="Arial"/>
                <w:sz w:val="16"/>
                <w:szCs w:val="16"/>
                <w:color w:val="auto"/>
              </w:rPr>
              <w:t>Accounts payable and accrued liabilites</w:t>
            </w:r>
          </w:p>
        </w:tc>
        <w:tc>
          <w:tcPr>
            <w:tcW w:w="1560" w:type="dxa"/>
            <w:vAlign w:val="bottom"/>
          </w:tcPr>
          <w:p>
            <w:pPr>
              <w:jc w:val="right"/>
              <w:spacing w:after="0"/>
              <w:rPr>
                <w:sz w:val="20"/>
                <w:szCs w:val="20"/>
                <w:color w:val="auto"/>
              </w:rPr>
            </w:pPr>
            <w:r>
              <w:rPr>
                <w:rFonts w:ascii="Arial" w:cs="Arial" w:eastAsia="Arial" w:hAnsi="Arial"/>
                <w:sz w:val="16"/>
                <w:szCs w:val="16"/>
                <w:color w:val="auto"/>
              </w:rPr>
              <w:t>(3.1)</w:t>
            </w:r>
          </w:p>
        </w:tc>
        <w:tc>
          <w:tcPr>
            <w:tcW w:w="158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620"/>
              <w:spacing w:after="0"/>
              <w:rPr>
                <w:sz w:val="20"/>
                <w:szCs w:val="20"/>
                <w:color w:val="auto"/>
              </w:rPr>
            </w:pPr>
            <w:r>
              <w:rPr>
                <w:rFonts w:ascii="Arial" w:cs="Arial" w:eastAsia="Arial" w:hAnsi="Arial"/>
                <w:sz w:val="16"/>
                <w:szCs w:val="16"/>
                <w:color w:val="auto"/>
              </w:rPr>
              <w:t>Due to related party</w:t>
            </w:r>
          </w:p>
        </w:tc>
        <w:tc>
          <w:tcPr>
            <w:tcW w:w="1560" w:type="dxa"/>
            <w:vAlign w:val="bottom"/>
          </w:tcPr>
          <w:p>
            <w:pPr>
              <w:jc w:val="right"/>
              <w:spacing w:after="0"/>
              <w:rPr>
                <w:sz w:val="20"/>
                <w:szCs w:val="20"/>
                <w:color w:val="auto"/>
              </w:rPr>
            </w:pPr>
            <w:r>
              <w:rPr>
                <w:rFonts w:ascii="Arial" w:cs="Arial" w:eastAsia="Arial" w:hAnsi="Arial"/>
                <w:sz w:val="16"/>
                <w:szCs w:val="16"/>
                <w:color w:val="auto"/>
              </w:rPr>
              <w:t>0.8</w:t>
            </w:r>
          </w:p>
        </w:tc>
        <w:tc>
          <w:tcPr>
            <w:tcW w:w="158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620"/>
              <w:spacing w:after="0"/>
              <w:rPr>
                <w:sz w:val="20"/>
                <w:szCs w:val="20"/>
                <w:color w:val="auto"/>
              </w:rPr>
            </w:pPr>
            <w:r>
              <w:rPr>
                <w:rFonts w:ascii="Arial" w:cs="Arial" w:eastAsia="Arial" w:hAnsi="Arial"/>
                <w:sz w:val="16"/>
                <w:szCs w:val="16"/>
                <w:color w:val="auto"/>
              </w:rPr>
              <w:t>Deferred revenue</w:t>
            </w: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c>
          <w:tcPr>
            <w:tcW w:w="1580" w:type="dxa"/>
            <w:vAlign w:val="bottom"/>
          </w:tcPr>
          <w:p>
            <w:pPr>
              <w:jc w:val="right"/>
              <w:spacing w:after="0"/>
              <w:rPr>
                <w:sz w:val="20"/>
                <w:szCs w:val="20"/>
                <w:color w:val="auto"/>
              </w:rPr>
            </w:pPr>
            <w:r>
              <w:rPr>
                <w:rFonts w:ascii="Arial" w:cs="Arial" w:eastAsia="Arial" w:hAnsi="Arial"/>
                <w:sz w:val="16"/>
                <w:szCs w:val="16"/>
                <w:color w:val="auto"/>
              </w:rPr>
              <w:t>(0.5)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620"/>
              <w:spacing w:after="0"/>
              <w:rPr>
                <w:sz w:val="20"/>
                <w:szCs w:val="20"/>
                <w:color w:val="auto"/>
              </w:rPr>
            </w:pPr>
            <w:r>
              <w:rPr>
                <w:rFonts w:ascii="Arial" w:cs="Arial" w:eastAsia="Arial" w:hAnsi="Arial"/>
                <w:sz w:val="16"/>
                <w:szCs w:val="16"/>
                <w:color w:val="auto"/>
              </w:rPr>
              <w:t>Operatng lease liabilites</w:t>
            </w:r>
          </w:p>
        </w:tc>
        <w:tc>
          <w:tcPr>
            <w:tcW w:w="1560" w:type="dxa"/>
            <w:vAlign w:val="bottom"/>
          </w:tcPr>
          <w:p>
            <w:pPr>
              <w:jc w:val="right"/>
              <w:spacing w:after="0"/>
              <w:rPr>
                <w:sz w:val="20"/>
                <w:szCs w:val="20"/>
                <w:color w:val="auto"/>
              </w:rPr>
            </w:pPr>
            <w:r>
              <w:rPr>
                <w:rFonts w:ascii="Arial" w:cs="Arial" w:eastAsia="Arial" w:hAnsi="Arial"/>
                <w:sz w:val="16"/>
                <w:szCs w:val="16"/>
                <w:color w:val="auto"/>
              </w:rPr>
              <w:t>(0.8)</w:t>
            </w:r>
          </w:p>
        </w:tc>
        <w:tc>
          <w:tcPr>
            <w:tcW w:w="158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620"/>
              <w:spacing w:after="0"/>
              <w:rPr>
                <w:sz w:val="20"/>
                <w:szCs w:val="20"/>
                <w:color w:val="auto"/>
              </w:rPr>
            </w:pPr>
            <w:r>
              <w:rPr>
                <w:rFonts w:ascii="Arial" w:cs="Arial" w:eastAsia="Arial" w:hAnsi="Arial"/>
                <w:sz w:val="16"/>
                <w:szCs w:val="16"/>
                <w:color w:val="auto"/>
              </w:rPr>
              <w:t>Customer funds payable</w:t>
            </w:r>
          </w:p>
        </w:tc>
        <w:tc>
          <w:tcPr>
            <w:tcW w:w="1560" w:type="dxa"/>
            <w:vAlign w:val="bottom"/>
          </w:tcPr>
          <w:p>
            <w:pPr>
              <w:jc w:val="right"/>
              <w:spacing w:after="0"/>
              <w:rPr>
                <w:sz w:val="20"/>
                <w:szCs w:val="20"/>
                <w:color w:val="auto"/>
              </w:rPr>
            </w:pPr>
            <w:r>
              <w:rPr>
                <w:rFonts w:ascii="Arial" w:cs="Arial" w:eastAsia="Arial" w:hAnsi="Arial"/>
                <w:sz w:val="16"/>
                <w:szCs w:val="16"/>
                <w:color w:val="auto"/>
              </w:rPr>
              <w:t>27.7</w:t>
            </w:r>
          </w:p>
        </w:tc>
        <w:tc>
          <w:tcPr>
            <w:tcW w:w="15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620"/>
              <w:spacing w:after="0"/>
              <w:rPr>
                <w:sz w:val="20"/>
                <w:szCs w:val="20"/>
                <w:color w:val="auto"/>
              </w:rPr>
            </w:pPr>
            <w:r>
              <w:rPr>
                <w:rFonts w:ascii="Arial" w:cs="Arial" w:eastAsia="Arial" w:hAnsi="Arial"/>
                <w:sz w:val="16"/>
                <w:szCs w:val="16"/>
                <w:color w:val="auto"/>
              </w:rPr>
              <w:t>Other assets and liabilites</w:t>
            </w:r>
          </w:p>
        </w:tc>
        <w:tc>
          <w:tcPr>
            <w:tcW w:w="1560" w:type="dxa"/>
            <w:vAlign w:val="bottom"/>
          </w:tcPr>
          <w:p>
            <w:pPr>
              <w:jc w:val="right"/>
              <w:spacing w:after="0"/>
              <w:rPr>
                <w:sz w:val="20"/>
                <w:szCs w:val="20"/>
                <w:color w:val="auto"/>
              </w:rPr>
            </w:pPr>
            <w:r>
              <w:rPr>
                <w:rFonts w:ascii="Arial" w:cs="Arial" w:eastAsia="Arial" w:hAnsi="Arial"/>
                <w:sz w:val="16"/>
                <w:szCs w:val="16"/>
                <w:color w:val="auto"/>
              </w:rPr>
              <w:t>0.6</w:t>
            </w: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7360" w:type="dxa"/>
            <w:vAlign w:val="bottom"/>
            <w:vMerge w:val="restart"/>
          </w:tcPr>
          <w:p>
            <w:pPr>
              <w:ind w:left="20"/>
              <w:spacing w:after="0"/>
              <w:rPr>
                <w:sz w:val="20"/>
                <w:szCs w:val="20"/>
                <w:color w:val="auto"/>
              </w:rPr>
            </w:pPr>
            <w:r>
              <w:rPr>
                <w:rFonts w:ascii="Arial" w:cs="Arial" w:eastAsia="Arial" w:hAnsi="Arial"/>
                <w:sz w:val="16"/>
                <w:szCs w:val="16"/>
                <w:color w:val="auto"/>
              </w:rPr>
              <w:t>Net cash provided by (used in) operatng actvites</w:t>
            </w: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24.6</w:t>
            </w:r>
          </w:p>
        </w:tc>
        <w:tc>
          <w:tcPr>
            <w:tcW w:w="1580" w:type="dxa"/>
            <w:vAlign w:val="bottom"/>
          </w:tcPr>
          <w:p>
            <w:pPr>
              <w:jc w:val="right"/>
              <w:spacing w:after="0"/>
              <w:rPr>
                <w:sz w:val="20"/>
                <w:szCs w:val="20"/>
                <w:color w:val="auto"/>
              </w:rPr>
            </w:pPr>
            <w:r>
              <w:rPr>
                <w:rFonts w:ascii="Arial" w:cs="Arial" w:eastAsia="Arial" w:hAnsi="Arial"/>
                <w:sz w:val="16"/>
                <w:szCs w:val="16"/>
                <w:color w:val="auto"/>
              </w:rPr>
              <w:t>(33.4)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fows from investng actvites:</w:t>
            </w: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36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360" w:type="dxa"/>
            <w:vAlign w:val="bottom"/>
          </w:tcPr>
          <w:p>
            <w:pPr>
              <w:ind w:left="300"/>
              <w:spacing w:after="0"/>
              <w:rPr>
                <w:sz w:val="20"/>
                <w:szCs w:val="20"/>
                <w:color w:val="auto"/>
              </w:rPr>
            </w:pPr>
            <w:r>
              <w:rPr>
                <w:rFonts w:ascii="Arial" w:cs="Arial" w:eastAsia="Arial" w:hAnsi="Arial"/>
                <w:sz w:val="16"/>
                <w:szCs w:val="16"/>
                <w:color w:val="auto"/>
              </w:rPr>
              <w:t>Capitalized internal-use sofware development costs and other capital expenditures</w:t>
            </w:r>
          </w:p>
        </w:tc>
        <w:tc>
          <w:tcPr>
            <w:tcW w:w="1560" w:type="dxa"/>
            <w:vAlign w:val="bottom"/>
          </w:tcPr>
          <w:p>
            <w:pPr>
              <w:jc w:val="right"/>
              <w:spacing w:after="0"/>
              <w:rPr>
                <w:sz w:val="20"/>
                <w:szCs w:val="20"/>
                <w:color w:val="auto"/>
              </w:rPr>
            </w:pPr>
            <w:r>
              <w:rPr>
                <w:rFonts w:ascii="Arial" w:cs="Arial" w:eastAsia="Arial" w:hAnsi="Arial"/>
                <w:sz w:val="16"/>
                <w:szCs w:val="16"/>
                <w:color w:val="auto"/>
              </w:rPr>
              <w:t>(1.9)</w:t>
            </w:r>
          </w:p>
        </w:tc>
        <w:tc>
          <w:tcPr>
            <w:tcW w:w="158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Purchase of available-for-sale securites</w:t>
            </w:r>
          </w:p>
        </w:tc>
        <w:tc>
          <w:tcPr>
            <w:tcW w:w="1560" w:type="dxa"/>
            <w:vAlign w:val="bottom"/>
          </w:tcPr>
          <w:p>
            <w:pPr>
              <w:jc w:val="right"/>
              <w:spacing w:after="0"/>
              <w:rPr>
                <w:sz w:val="20"/>
                <w:szCs w:val="20"/>
                <w:color w:val="auto"/>
              </w:rPr>
            </w:pPr>
            <w:r>
              <w:rPr>
                <w:rFonts w:ascii="Arial" w:cs="Arial" w:eastAsia="Arial" w:hAnsi="Arial"/>
                <w:sz w:val="16"/>
                <w:szCs w:val="16"/>
                <w:color w:val="auto"/>
              </w:rPr>
              <w:t>(17.6)</w:t>
            </w:r>
          </w:p>
        </w:tc>
        <w:tc>
          <w:tcPr>
            <w:tcW w:w="158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300"/>
              <w:spacing w:after="0"/>
              <w:rPr>
                <w:sz w:val="20"/>
                <w:szCs w:val="20"/>
                <w:color w:val="auto"/>
              </w:rPr>
            </w:pPr>
            <w:r>
              <w:rPr>
                <w:rFonts w:ascii="Arial" w:cs="Arial" w:eastAsia="Arial" w:hAnsi="Arial"/>
                <w:sz w:val="16"/>
                <w:szCs w:val="16"/>
                <w:color w:val="auto"/>
              </w:rPr>
              <w:t>Proceeds from the maturity of available-for-sale securites</w:t>
            </w: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1580" w:type="dxa"/>
            <w:vAlign w:val="bottom"/>
          </w:tcPr>
          <w:p>
            <w:pPr>
              <w:jc w:val="right"/>
              <w:spacing w:after="0"/>
              <w:rPr>
                <w:sz w:val="20"/>
                <w:szCs w:val="20"/>
                <w:color w:val="auto"/>
              </w:rPr>
            </w:pPr>
            <w:r>
              <w:rPr>
                <w:rFonts w:ascii="Arial" w:cs="Arial" w:eastAsia="Arial" w:hAnsi="Arial"/>
                <w:sz w:val="16"/>
                <w:szCs w:val="16"/>
                <w:color w:val="auto"/>
              </w:rPr>
              <w:t>74.7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Acquisiton of Bumped Financial, LLC</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360" w:type="dxa"/>
            <w:vAlign w:val="bottom"/>
          </w:tcPr>
          <w:p>
            <w:pPr>
              <w:ind w:left="300"/>
              <w:spacing w:after="0"/>
              <w:rPr>
                <w:sz w:val="20"/>
                <w:szCs w:val="20"/>
                <w:color w:val="auto"/>
              </w:rPr>
            </w:pPr>
            <w:r>
              <w:rPr>
                <w:rFonts w:ascii="Arial" w:cs="Arial" w:eastAsia="Arial" w:hAnsi="Arial"/>
                <w:sz w:val="16"/>
                <w:szCs w:val="16"/>
                <w:color w:val="auto"/>
              </w:rPr>
              <w:t>Acquisiton of Apex Crypto LLC, net of cash acquired</w:t>
            </w:r>
          </w:p>
        </w:tc>
        <w:tc>
          <w:tcPr>
            <w:tcW w:w="1560" w:type="dxa"/>
            <w:vAlign w:val="bottom"/>
          </w:tcPr>
          <w:p>
            <w:pPr>
              <w:jc w:val="right"/>
              <w:spacing w:after="0"/>
              <w:rPr>
                <w:sz w:val="20"/>
                <w:szCs w:val="20"/>
                <w:color w:val="auto"/>
              </w:rPr>
            </w:pPr>
            <w:r>
              <w:rPr>
                <w:rFonts w:ascii="Arial" w:cs="Arial" w:eastAsia="Arial" w:hAnsi="Arial"/>
                <w:sz w:val="16"/>
                <w:szCs w:val="16"/>
                <w:color w:val="auto"/>
              </w:rPr>
              <w:t>0.0</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7360" w:type="dxa"/>
            <w:vAlign w:val="bottom"/>
            <w:vMerge w:val="restart"/>
          </w:tcPr>
          <w:p>
            <w:pPr>
              <w:ind w:left="20"/>
              <w:spacing w:after="0"/>
              <w:rPr>
                <w:sz w:val="20"/>
                <w:szCs w:val="20"/>
                <w:color w:val="auto"/>
              </w:rPr>
            </w:pPr>
            <w:r>
              <w:rPr>
                <w:rFonts w:ascii="Arial" w:cs="Arial" w:eastAsia="Arial" w:hAnsi="Arial"/>
                <w:sz w:val="16"/>
                <w:szCs w:val="16"/>
                <w:color w:val="auto"/>
              </w:rPr>
              <w:t>Net cash (used in) provided by investng actvites</w:t>
            </w: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(9.4)</w:t>
            </w:r>
          </w:p>
        </w:tc>
        <w:tc>
          <w:tcPr>
            <w:tcW w:w="1580" w:type="dxa"/>
            <w:vAlign w:val="bottom"/>
          </w:tcPr>
          <w:p>
            <w:pPr>
              <w:jc w:val="right"/>
              <w:spacing w:after="0"/>
              <w:rPr>
                <w:sz w:val="20"/>
                <w:szCs w:val="20"/>
                <w:color w:val="auto"/>
              </w:rPr>
            </w:pPr>
            <w:r>
              <w:rPr>
                <w:rFonts w:ascii="Arial" w:cs="Arial" w:eastAsia="Arial" w:hAnsi="Arial"/>
                <w:sz w:val="16"/>
                <w:szCs w:val="16"/>
                <w:color w:val="auto"/>
              </w:rPr>
              <w:t>67.4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fows from fnancing actvites:</w:t>
            </w:r>
          </w:p>
        </w:tc>
        <w:tc>
          <w:tcPr>
            <w:tcW w:w="15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360" w:type="dxa"/>
            <w:vAlign w:val="bottom"/>
          </w:tcPr>
          <w:p>
            <w:pPr>
              <w:ind w:left="300"/>
              <w:spacing w:after="0"/>
              <w:rPr>
                <w:sz w:val="20"/>
                <w:szCs w:val="20"/>
                <w:color w:val="auto"/>
              </w:rPr>
            </w:pPr>
            <w:r>
              <w:rPr>
                <w:rFonts w:ascii="Arial" w:cs="Arial" w:eastAsia="Arial" w:hAnsi="Arial"/>
                <w:sz w:val="16"/>
                <w:szCs w:val="16"/>
                <w:color w:val="auto"/>
              </w:rPr>
              <w:t>Proceeds from the exercise of warrants</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360" w:type="dxa"/>
            <w:vAlign w:val="bottom"/>
          </w:tcPr>
          <w:p>
            <w:pPr>
              <w:ind w:left="300"/>
              <w:spacing w:after="0"/>
              <w:rPr>
                <w:sz w:val="20"/>
                <w:szCs w:val="20"/>
                <w:color w:val="auto"/>
              </w:rPr>
            </w:pPr>
            <w:r>
              <w:rPr>
                <w:rFonts w:ascii="Arial" w:cs="Arial" w:eastAsia="Arial" w:hAnsi="Arial"/>
                <w:sz w:val="16"/>
                <w:szCs w:val="16"/>
                <w:color w:val="auto"/>
              </w:rPr>
              <w:t>Repurchase and retrement of Class A common stock</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7360" w:type="dxa"/>
            <w:vAlign w:val="bottom"/>
            <w:vMerge w:val="restart"/>
          </w:tcPr>
          <w:p>
            <w:pPr>
              <w:ind w:left="20"/>
              <w:spacing w:after="0"/>
              <w:rPr>
                <w:sz w:val="20"/>
                <w:szCs w:val="20"/>
                <w:color w:val="auto"/>
              </w:rPr>
            </w:pPr>
            <w:r>
              <w:rPr>
                <w:rFonts w:ascii="Arial" w:cs="Arial" w:eastAsia="Arial" w:hAnsi="Arial"/>
                <w:sz w:val="16"/>
                <w:szCs w:val="16"/>
                <w:color w:val="auto"/>
              </w:rPr>
              <w:t>Net cash provided by fnancing actvites</w:t>
            </w: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360" w:type="dxa"/>
            <w:vAlign w:val="bottom"/>
            <w:vMerge w:val="restart"/>
          </w:tcPr>
          <w:p>
            <w:pPr>
              <w:ind w:left="300"/>
              <w:spacing w:after="0"/>
              <w:rPr>
                <w:sz w:val="20"/>
                <w:szCs w:val="20"/>
                <w:color w:val="auto"/>
              </w:rPr>
            </w:pPr>
            <w:r>
              <w:rPr>
                <w:rFonts w:ascii="Arial" w:cs="Arial" w:eastAsia="Arial" w:hAnsi="Arial"/>
                <w:sz w:val="16"/>
                <w:szCs w:val="16"/>
                <w:color w:val="auto"/>
              </w:rPr>
              <w:t>Efect of exchange rate changes</w:t>
            </w: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w:t>
            </w:r>
          </w:p>
        </w:tc>
        <w:tc>
          <w:tcPr>
            <w:tcW w:w="1580" w:type="dxa"/>
            <w:vAlign w:val="bottom"/>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7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increase in cash, cash equivalents, restricted cash and customer funds</w:t>
            </w: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360" w:type="dxa"/>
            <w:vAlign w:val="bottom"/>
            <w:vMerge w:val="continue"/>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14.8</w:t>
            </w:r>
          </w:p>
        </w:tc>
        <w:tc>
          <w:tcPr>
            <w:tcW w:w="1580" w:type="dxa"/>
            <w:vAlign w:val="bottom"/>
          </w:tcPr>
          <w:p>
            <w:pPr>
              <w:jc w:val="right"/>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360" w:type="dxa"/>
            <w:vAlign w:val="bottom"/>
          </w:tcPr>
          <w:p>
            <w:pPr>
              <w:ind w:left="20"/>
              <w:spacing w:after="0"/>
              <w:rPr>
                <w:sz w:val="20"/>
                <w:szCs w:val="20"/>
                <w:color w:val="auto"/>
              </w:rPr>
            </w:pPr>
            <w:r>
              <w:rPr>
                <w:rFonts w:ascii="Arial" w:cs="Arial" w:eastAsia="Arial" w:hAnsi="Arial"/>
                <w:sz w:val="16"/>
                <w:szCs w:val="16"/>
                <w:color w:val="auto"/>
              </w:rPr>
              <w:t>Cash, cash equivalents, restricted cash and customer funds at the beginning of the period</w:t>
            </w:r>
          </w:p>
        </w:tc>
        <w:tc>
          <w:tcPr>
            <w:tcW w:w="1560" w:type="dxa"/>
            <w:vAlign w:val="bottom"/>
          </w:tcPr>
          <w:p>
            <w:pPr>
              <w:jc w:val="right"/>
              <w:spacing w:after="0"/>
              <w:rPr>
                <w:sz w:val="20"/>
                <w:szCs w:val="20"/>
                <w:color w:val="auto"/>
              </w:rPr>
            </w:pPr>
            <w:r>
              <w:rPr>
                <w:rFonts w:ascii="Arial" w:cs="Arial" w:eastAsia="Arial" w:hAnsi="Arial"/>
                <w:sz w:val="16"/>
                <w:szCs w:val="16"/>
                <w:color w:val="auto"/>
              </w:rPr>
              <w:t>109.9</w:t>
            </w:r>
          </w:p>
        </w:tc>
        <w:tc>
          <w:tcPr>
            <w:tcW w:w="1580" w:type="dxa"/>
            <w:vAlign w:val="bottom"/>
          </w:tcPr>
          <w:p>
            <w:pPr>
              <w:jc w:val="right"/>
              <w:spacing w:after="0"/>
              <w:rPr>
                <w:sz w:val="20"/>
                <w:szCs w:val="20"/>
                <w:color w:val="auto"/>
              </w:rPr>
            </w:pPr>
            <w:r>
              <w:rPr>
                <w:rFonts w:ascii="Arial" w:cs="Arial" w:eastAsia="Arial" w:hAnsi="Arial"/>
                <w:sz w:val="16"/>
                <w:szCs w:val="16"/>
                <w:color w:val="auto"/>
              </w:rPr>
              <w:t>372.3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736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Arial" w:cs="Arial" w:eastAsia="Arial" w:hAnsi="Arial"/>
                <w:sz w:val="16"/>
                <w:szCs w:val="16"/>
                <w:color w:val="auto"/>
              </w:rPr>
              <w:t>Cash, cash equivalents, restricted cash and customer funds at the end of the period</w:t>
            </w:r>
          </w:p>
        </w:tc>
        <w:tc>
          <w:tcPr>
            <w:tcW w:w="1560" w:type="dxa"/>
            <w:vAlign w:val="bottom"/>
          </w:tcPr>
          <w:p>
            <w:pPr>
              <w:jc w:val="right"/>
              <w:spacing w:after="0"/>
              <w:rPr>
                <w:sz w:val="20"/>
                <w:szCs w:val="20"/>
                <w:color w:val="auto"/>
              </w:rPr>
            </w:pPr>
            <w:r>
              <w:rPr>
                <w:rFonts w:ascii="Arial" w:cs="Arial" w:eastAsia="Arial" w:hAnsi="Arial"/>
                <w:sz w:val="16"/>
                <w:szCs w:val="16"/>
                <w:color w:val="auto"/>
              </w:rPr>
              <w:t>$124.7</w:t>
            </w:r>
          </w:p>
        </w:tc>
        <w:tc>
          <w:tcPr>
            <w:tcW w:w="1580" w:type="dxa"/>
            <w:vAlign w:val="bottom"/>
          </w:tcPr>
          <w:p>
            <w:pPr>
              <w:jc w:val="right"/>
              <w:spacing w:after="0"/>
              <w:rPr>
                <w:sz w:val="20"/>
                <w:szCs w:val="20"/>
                <w:color w:val="auto"/>
              </w:rPr>
            </w:pPr>
            <w:r>
              <w:rPr>
                <w:rFonts w:ascii="Arial" w:cs="Arial" w:eastAsia="Arial" w:hAnsi="Arial"/>
                <w:sz w:val="16"/>
                <w:szCs w:val="16"/>
                <w:color w:val="auto"/>
              </w:rPr>
              <w:t>$405.5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36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3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11</w:t>
      </w:r>
    </w:p>
    <w:sectPr>
      <w:pgSz w:w="11900" w:h="16838" w:orient="portrait"/>
      <w:cols w:equalWidth="0" w:num="1">
        <w:col w:w="10520"/>
      </w:cols>
      <w:pgMar w:left="320" w:top="1440"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2023-11-14T06:48:15Z</dcterms:created>
  <dcterms:modified xsi:type="dcterms:W3CDTF">2023-11-14T06:48:15Z</dcterms:modified>
</cp:coreProperties>
</file>