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27,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20" w:type="dxa"/>
        <w:tblCellMar>
          <w:top w:w="0" w:type="dxa"/>
          <w:left w:w="0" w:type="dxa"/>
          <w:bottom w:w="0" w:type="dxa"/>
          <w:right w:w="0" w:type="dxa"/>
        </w:tblCellMar>
      </w:tblPr>
      <w:tr>
        <w:trPr>
          <w:trHeight w:val="214"/>
        </w:trPr>
        <w:tc>
          <w:tcPr>
            <w:tcW w:w="3860" w:type="dxa"/>
            <w:vAlign w:val="bottom"/>
          </w:tcPr>
          <w:p>
            <w:pPr>
              <w:jc w:val="center"/>
              <w:ind w:right="18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48"/>
        </w:trPr>
        <w:tc>
          <w:tcPr>
            <w:tcW w:w="386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right="18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Bakkt Holdings, Inc. 2021 Omnibus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5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Jared M. Fishman</w:t>
            </w:r>
          </w:p>
        </w:tc>
        <w:tc>
          <w:tcPr>
            <w:tcW w:w="5260" w:type="dxa"/>
            <w:vAlign w:val="bottom"/>
          </w:tcPr>
          <w:p>
            <w:pPr>
              <w:spacing w:after="0"/>
              <w:rPr>
                <w:sz w:val="24"/>
                <w:szCs w:val="24"/>
                <w:color w:val="auto"/>
              </w:rPr>
            </w:pP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260" w:type="dxa"/>
            <w:vAlign w:val="bottom"/>
          </w:tcPr>
          <w:p>
            <w:pPr>
              <w:spacing w:after="0"/>
              <w:rPr>
                <w:sz w:val="18"/>
                <w:szCs w:val="18"/>
                <w:color w:val="auto"/>
              </w:rPr>
            </w:pP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26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Sullivan &amp; Cromwell LLP</w:t>
            </w:r>
          </w:p>
        </w:tc>
        <w:tc>
          <w:tcPr>
            <w:tcW w:w="526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26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26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Alpharetta, Georgia 30009</w:t>
            </w:r>
          </w:p>
        </w:tc>
      </w:tr>
      <w:tr>
        <w:trPr>
          <w:trHeight w:val="238"/>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26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Bakkt Holdings, Inc. (the “Registrant” or the “Company”) is filing this Registration Statement with the Securities and Exchange Commission (the “SEC”) to register 979,201 shares of Class A Common Stock to be issued under Bakkt Holdings, Inc.’s 2021 Omnibus Incentive Plan (the “Plan”). These 979,201 shares represent an increase in the number of shares of Class A Common Stock reserved for issuance under the Plan, which increase was approved by the stockholders on June 17, 2025. As a result of the foregoing, the total number of shares of common stock registered for offer and sale under the Plan is now 4,014,123.</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incorporates by reference the following documents that the Registrant has previously filed with the SEC:</w:t>
      </w:r>
    </w:p>
    <w:p>
      <w:pPr>
        <w:spacing w:after="0" w:line="131" w:lineRule="exact"/>
        <w:rPr>
          <w:sz w:val="20"/>
          <w:szCs w:val="20"/>
          <w:color w:val="auto"/>
        </w:rPr>
      </w:pPr>
    </w:p>
    <w:p>
      <w:pPr>
        <w:ind w:left="960" w:right="2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20, 2025 (the “Annual Report”);</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Registrant’s Definitive Proxy Statement on </w:t>
      </w:r>
      <w:hyperlink r:id="rId2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the Annual Report, filed with the SEC on April 28, 2025;</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Commission on May 12, 2025;</w:t>
      </w:r>
    </w:p>
    <w:p>
      <w:pPr>
        <w:spacing w:after="0" w:line="130"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1"/>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auto"/>
          </w:rPr>
          <w:t xml:space="preserve">The Registrant’s Current Reports on Form 8-K filed with the Commission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22, 2025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June 10, 2025</w:t>
        </w:r>
      </w:hyperlink>
      <w:hyperlink r:id="rId2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June 10, 2025</w:t>
        </w:r>
      </w:hyperlink>
      <w:hyperlink r:id="rId2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 xml:space="preserve">June 13, 2025 </w:t>
        </w:r>
      </w:hyperlink>
      <w:hyperlink r:id="rId2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 xml:space="preserve">June 20, 2025 </w:t>
        </w:r>
      </w:hyperlink>
      <w:hyperlink r:id="rId23">
        <w:r>
          <w:rPr>
            <w:rFonts w:ascii="Times New Roman" w:cs="Times New Roman" w:eastAsia="Times New Roman" w:hAnsi="Times New Roman"/>
            <w:sz w:val="18"/>
            <w:szCs w:val="18"/>
            <w:color w:val="000000"/>
          </w:rPr>
          <w:t>and Current Report on</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 xml:space="preserve">Form 8-K/A </w:t>
        </w:r>
      </w:hyperlink>
      <w:hyperlink r:id="rId23">
        <w:r>
          <w:rPr>
            <w:rFonts w:ascii="Times New Roman" w:cs="Times New Roman" w:eastAsia="Times New Roman" w:hAnsi="Times New Roman"/>
            <w:sz w:val="18"/>
            <w:szCs w:val="18"/>
            <w:color w:val="000000"/>
          </w:rPr>
          <w:t>filed with the Commission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March 20, 2025; and</w:t>
      </w:r>
    </w:p>
    <w:p>
      <w:pPr>
        <w:spacing w:after="0" w:line="81" w:lineRule="exact"/>
        <w:rPr>
          <w:rFonts w:ascii="Times New Roman" w:cs="Times New Roman" w:eastAsia="Times New Roman" w:hAnsi="Times New Roman"/>
          <w:sz w:val="18"/>
          <w:szCs w:val="18"/>
          <w:color w:val="0000EE"/>
        </w:rPr>
      </w:pPr>
    </w:p>
    <w:p>
      <w:pPr>
        <w:ind w:left="960" w:right="10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001-39544) filed with the SEC on October 15, 2021, pursuant to Section 12(b) of the Exchange Act, including any amendment or report filed for the purpose of updating such description, including </w:t>
      </w:r>
      <w:hyperlink r:id="rId30">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w:t>
      </w:r>
    </w:p>
    <w:p>
      <w:pPr>
        <w:spacing w:after="0" w:line="176"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All documents filed by the Registrant with the SEC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SEC (including, without limitation, information furnished under Item 2.02 or Item 7.01 of Current Reports on Form 8-K and the exhibits related to such items furnished under Item 9.01) shall not be deemed incorporated by reference into this Registration Statement.</w:t>
      </w:r>
    </w:p>
    <w:p>
      <w:pPr>
        <w:spacing w:after="0" w:line="187" w:lineRule="exact"/>
        <w:rPr>
          <w:rFonts w:ascii="Times New Roman" w:cs="Times New Roman" w:eastAsia="Times New Roman" w:hAnsi="Times New Roman"/>
          <w:sz w:val="18"/>
          <w:szCs w:val="18"/>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66" w:right="459" w:bottom="1440"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information contained in any Current Report on Form 8-K, or any exhibit thereto, is or was furnished to, rather than filed with, the SEC, such information or exhibit is specifically not incorporated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8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Company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In addition, the Company’s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 w:name="page4"/>
    <w:bookmarkEnd w:id="3"/>
    <w:p>
      <w:pPr>
        <w:ind w:left="4"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of the Company’s non-employee directors may, through their relationships with their employers, be insured and/or indemnified against certain liabilities incurred in their capacity as members of the board of directors.</w:t>
      </w:r>
    </w:p>
    <w:p>
      <w:pPr>
        <w:spacing w:after="0" w:line="162" w:lineRule="exact"/>
        <w:rPr>
          <w:sz w:val="20"/>
          <w:szCs w:val="20"/>
          <w:color w:val="auto"/>
        </w:rPr>
      </w:pPr>
    </w:p>
    <w:p>
      <w:pPr>
        <w:jc w:val="both"/>
        <w:ind w:left="4" w:right="3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4"/>
                <w:szCs w:val="24"/>
                <w:color w:val="auto"/>
              </w:rPr>
            </w:pP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4" w:right="300" w:hanging="884"/>
        <w:spacing w:after="0" w:line="282" w:lineRule="auto"/>
        <w:tabs>
          <w:tab w:leader="none" w:pos="97"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hyperlink r:id="rId33">
        <w:r>
          <w:rPr>
            <w:rFonts w:ascii="Times New Roman" w:cs="Times New Roman" w:eastAsia="Times New Roman" w:hAnsi="Times New Roman"/>
            <w:sz w:val="18"/>
            <w:szCs w:val="18"/>
            <w:u w:val="single" w:color="auto"/>
            <w:color w:val="0000EE"/>
          </w:rPr>
          <w:t>Certificate of Incorporation of the Company, as currently in effect (incorporated by reference to Exhibit 3.1 to the Company’s Form 8-K</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filed with the SEC on October 21, 2021)</w:t>
        </w:r>
      </w:hyperlink>
    </w:p>
    <w:p>
      <w:pPr>
        <w:spacing w:after="0" w:line="53" w:lineRule="exact"/>
        <w:rPr>
          <w:rFonts w:ascii="Times New Roman" w:cs="Times New Roman" w:eastAsia="Times New Roman" w:hAnsi="Times New Roman"/>
          <w:sz w:val="18"/>
          <w:szCs w:val="18"/>
          <w:u w:val="single" w:color="auto"/>
          <w:color w:val="0000EE"/>
        </w:rPr>
      </w:pPr>
    </w:p>
    <w:p>
      <w:pPr>
        <w:ind w:left="884" w:right="120" w:hanging="884"/>
        <w:spacing w:after="0" w:line="282" w:lineRule="auto"/>
        <w:tabs>
          <w:tab w:leader="none" w:pos="97"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hyperlink r:id="rId34">
        <w:r>
          <w:rPr>
            <w:rFonts w:ascii="Times New Roman" w:cs="Times New Roman" w:eastAsia="Times New Roman" w:hAnsi="Times New Roman"/>
            <w:sz w:val="18"/>
            <w:szCs w:val="18"/>
            <w:u w:val="single" w:color="auto"/>
            <w:color w:val="0000EE"/>
          </w:rPr>
          <w:t>Certificate of Amendment to the Company’s Certificate of Incorporation, dated April 26, 2024 (incorporated by reference to Exhibit 3.1 to</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the Company’s Form 8-K filed with the SEC on April 29, 2024).</w:t>
        </w:r>
      </w:hyperlink>
    </w:p>
    <w:p>
      <w:pPr>
        <w:spacing w:after="0" w:line="53" w:lineRule="exact"/>
        <w:rPr>
          <w:rFonts w:ascii="Times New Roman" w:cs="Times New Roman" w:eastAsia="Times New Roman" w:hAnsi="Times New Roman"/>
          <w:sz w:val="18"/>
          <w:szCs w:val="18"/>
          <w:u w:val="single" w:color="auto"/>
          <w:color w:val="0000EE"/>
        </w:rPr>
      </w:pPr>
    </w:p>
    <w:p>
      <w:pPr>
        <w:ind w:left="884" w:right="180" w:hanging="884"/>
        <w:spacing w:after="0" w:line="282" w:lineRule="auto"/>
        <w:tabs>
          <w:tab w:leader="none" w:pos="97"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hyperlink r:id="rId35">
        <w:r>
          <w:rPr>
            <w:rFonts w:ascii="Times New Roman" w:cs="Times New Roman" w:eastAsia="Times New Roman" w:hAnsi="Times New Roman"/>
            <w:sz w:val="18"/>
            <w:szCs w:val="18"/>
            <w:u w:val="single" w:color="auto"/>
            <w:color w:val="0000EE"/>
          </w:rPr>
          <w:t>Certificate of Amendment to the Company’s Certificate of Incorporation, dated June 17, 2025 (incorporated by reference to Exhibit 3.1 to</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the Company’s Form 8-K filed with the SEC on June 20,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180" w:hanging="884"/>
        <w:spacing w:after="0" w:line="282" w:lineRule="auto"/>
        <w:tabs>
          <w:tab w:leader="none" w:pos="97"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hyperlink r:id="rId36">
        <w:r>
          <w:rPr>
            <w:rFonts w:ascii="Times New Roman" w:cs="Times New Roman" w:eastAsia="Times New Roman" w:hAnsi="Times New Roman"/>
            <w:sz w:val="18"/>
            <w:szCs w:val="18"/>
            <w:u w:val="single" w:color="auto"/>
            <w:color w:val="0000EE"/>
          </w:rPr>
          <w:t>Certificate of Amendment to the Company’s Certificate of Incorporation, dated June 17, 2025 (incorporated by reference to Exhibit 3.2 to</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the Company’s Form 8-K filed with the SEC on June 20,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20" w:hanging="884"/>
        <w:spacing w:after="0" w:line="282" w:lineRule="auto"/>
        <w:tabs>
          <w:tab w:leader="none" w:pos="97"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3.5</w:t>
      </w:r>
      <w:hyperlink r:id="rId37">
        <w:r>
          <w:rPr>
            <w:rFonts w:ascii="Times New Roman" w:cs="Times New Roman" w:eastAsia="Times New Roman" w:hAnsi="Times New Roman"/>
            <w:sz w:val="18"/>
            <w:szCs w:val="18"/>
            <w:u w:val="single" w:color="auto"/>
            <w:color w:val="0000EE"/>
          </w:rPr>
          <w:t>By-Laws of the Company, as currently in effect (incorporated by reference to Exhibit 3.2 to the Company’s Form 8-K filed with the SEC on</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October 21, 2021)</w:t>
        </w:r>
      </w:hyperlink>
    </w:p>
    <w:p>
      <w:pPr>
        <w:spacing w:after="0" w:line="40" w:lineRule="exact"/>
        <w:rPr>
          <w:rFonts w:ascii="Times New Roman" w:cs="Times New Roman" w:eastAsia="Times New Roman" w:hAnsi="Times New Roman"/>
          <w:sz w:val="18"/>
          <w:szCs w:val="18"/>
          <w:color w:val="auto"/>
        </w:rPr>
      </w:pPr>
    </w:p>
    <w:tbl>
      <w:tblPr>
        <w:tblLayout w:type="fixed"/>
        <w:tblInd w:w="4"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100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Specimen Class A Common Stock Certificate of the Registrant (incorporated by reference to Exhibit 4.1 to the Registrant’s Form 8-K filed</w:t>
              </w:r>
            </w:hyperlink>
          </w:p>
        </w:tc>
      </w:tr>
      <w:tr>
        <w:trPr>
          <w:trHeight w:val="196"/>
        </w:trPr>
        <w:tc>
          <w:tcPr>
            <w:tcW w:w="880" w:type="dxa"/>
            <w:vAlign w:val="bottom"/>
          </w:tcPr>
          <w:p>
            <w:pPr>
              <w:spacing w:after="0"/>
              <w:rPr>
                <w:sz w:val="17"/>
                <w:szCs w:val="17"/>
                <w:color w:val="auto"/>
              </w:rPr>
            </w:pPr>
          </w:p>
        </w:tc>
        <w:tc>
          <w:tcPr>
            <w:tcW w:w="10000" w:type="dxa"/>
            <w:vAlign w:val="bottom"/>
            <w:gridSpan w:val="2"/>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with the SEC on October 21, 2021).</w:t>
              </w:r>
            </w:hyperlink>
          </w:p>
        </w:tc>
      </w:tr>
      <w:tr>
        <w:trPr>
          <w:trHeight w:val="20"/>
        </w:trPr>
        <w:tc>
          <w:tcPr>
            <w:tcW w:w="88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bl>
    <w:p>
      <w:pPr>
        <w:spacing w:after="0" w:line="117" w:lineRule="exact"/>
        <w:rPr>
          <w:sz w:val="20"/>
          <w:szCs w:val="20"/>
          <w:color w:val="auto"/>
        </w:rPr>
      </w:pPr>
    </w:p>
    <w:p>
      <w:pPr>
        <w:ind w:left="884" w:right="260" w:hanging="884"/>
        <w:spacing w:after="0" w:line="282" w:lineRule="auto"/>
        <w:tabs>
          <w:tab w:leader="none" w:pos="97"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39">
        <w:r>
          <w:rPr>
            <w:rFonts w:ascii="Times New Roman" w:cs="Times New Roman" w:eastAsia="Times New Roman" w:hAnsi="Times New Roman"/>
            <w:sz w:val="18"/>
            <w:szCs w:val="18"/>
            <w:u w:val="single" w:color="auto"/>
            <w:color w:val="0000EE"/>
          </w:rPr>
          <w:t>Bakkt Holdings, Inc. 2021 Omnibus Incentive Plan (incorporated by reference to Exhibit 10.9 to the Registrant’s Form 8-K filed with the</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SEC on October 21, 2021).</w:t>
        </w:r>
      </w:hyperlink>
    </w:p>
    <w:p>
      <w:pPr>
        <w:spacing w:after="0" w:line="53" w:lineRule="exact"/>
        <w:rPr>
          <w:rFonts w:ascii="Times New Roman" w:cs="Times New Roman" w:eastAsia="Times New Roman" w:hAnsi="Times New Roman"/>
          <w:sz w:val="18"/>
          <w:szCs w:val="18"/>
          <w:u w:val="single" w:color="auto"/>
          <w:color w:val="0000EE"/>
        </w:rPr>
      </w:pPr>
    </w:p>
    <w:p>
      <w:pPr>
        <w:ind w:left="884" w:right="340" w:hanging="884"/>
        <w:spacing w:after="0" w:line="282" w:lineRule="auto"/>
        <w:tabs>
          <w:tab w:leader="none" w:pos="97"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hyperlink r:id="rId40">
        <w:r>
          <w:rPr>
            <w:rFonts w:ascii="Times New Roman" w:cs="Times New Roman" w:eastAsia="Times New Roman" w:hAnsi="Times New Roman"/>
            <w:sz w:val="18"/>
            <w:szCs w:val="18"/>
            <w:u w:val="single" w:color="auto"/>
            <w:color w:val="0000EE"/>
          </w:rPr>
          <w:t>Amendment No. 1 to Bakkt Holdings, Inc. 2021 Omnibus Incentive Plan (incorporated by reference to Exhibit 10.11 to the Registrant’s</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Form 10-K filed with the SEC on March 20, 2025).</w:t>
        </w:r>
      </w:hyperlink>
    </w:p>
    <w:p>
      <w:pPr>
        <w:spacing w:after="0" w:line="53" w:lineRule="exact"/>
        <w:rPr>
          <w:rFonts w:ascii="Times New Roman" w:cs="Times New Roman" w:eastAsia="Times New Roman" w:hAnsi="Times New Roman"/>
          <w:sz w:val="18"/>
          <w:szCs w:val="18"/>
          <w:u w:val="single" w:color="auto"/>
          <w:color w:val="0000EE"/>
        </w:rPr>
      </w:pPr>
    </w:p>
    <w:p>
      <w:pPr>
        <w:ind w:left="884" w:right="340" w:hanging="884"/>
        <w:spacing w:after="0" w:line="282" w:lineRule="auto"/>
        <w:tabs>
          <w:tab w:leader="none" w:pos="97"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hyperlink r:id="rId41">
        <w:r>
          <w:rPr>
            <w:rFonts w:ascii="Times New Roman" w:cs="Times New Roman" w:eastAsia="Times New Roman" w:hAnsi="Times New Roman"/>
            <w:sz w:val="18"/>
            <w:szCs w:val="18"/>
            <w:u w:val="single" w:color="auto"/>
            <w:color w:val="0000EE"/>
          </w:rPr>
          <w:t>Amendment No. 2 to Bakkt Holdings, Inc. 2021 Omnibus Incentive Plan (incorporated by reference to Exhibit 10.12 to the Registrant’s</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Form 10-K filed with the SEC on March 20, 2025).</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7"/>
          <w:szCs w:val="17"/>
          <w:u w:val="single" w:color="auto"/>
          <w:color w:val="0000EE"/>
        </w:rPr>
        <w:t>Amendment No. 3 to Bakkt Holdings, Inc. 2021 Omnibus Incentive Plan.</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Sullivan &amp; Cromwell LLP.</w:t>
      </w:r>
    </w:p>
    <w:p>
      <w:pPr>
        <w:spacing w:after="0" w:line="129"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 of the Company</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KPMG LLP, independent registered public accounting firm of the Company</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u w:val="single" w:color="auto"/>
          <w:color w:val="0000EE"/>
        </w:rPr>
        <w:t>Consent of Sullivan &amp; Cromwell LLP (included in Exhibit 5.1).</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w:t>
      </w:r>
    </w:p>
    <w:p>
      <w:pPr>
        <w:spacing w:after="0" w:line="117" w:lineRule="exact"/>
        <w:rPr>
          <w:rFonts w:ascii="Times New Roman" w:cs="Times New Roman" w:eastAsia="Times New Roman" w:hAnsi="Times New Roman"/>
          <w:sz w:val="18"/>
          <w:szCs w:val="18"/>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8" w:lineRule="exact"/>
        <w:rPr>
          <w:rFonts w:ascii="Times New Roman" w:cs="Times New Roman" w:eastAsia="Times New Roman" w:hAnsi="Times New Roman"/>
          <w:sz w:val="18"/>
          <w:szCs w:val="18"/>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Alpharetta, State of Georgia, on the 27th day of June,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Andrew A. Main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Co-Chief Executive Officer, President and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Andrew A. Main, Akshay Naheta, Marc D’Annunzio and Karen Alexander, and each or any one of them,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10"/>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A. Main</w:t>
            </w:r>
          </w:p>
        </w:tc>
        <w:tc>
          <w:tcPr>
            <w:tcW w:w="10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 President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Andrew A. Main</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Brown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Clifton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David C. Clifton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360"/>
        </w:trPr>
        <w:tc>
          <w:tcPr>
            <w:tcW w:w="4260" w:type="dxa"/>
            <w:vAlign w:val="bottom"/>
          </w:tcPr>
          <w:p>
            <w:pPr>
              <w:spacing w:after="0"/>
              <w:rPr>
                <w:sz w:val="24"/>
                <w:szCs w:val="24"/>
                <w:color w:val="auto"/>
              </w:rPr>
            </w:pPr>
          </w:p>
        </w:tc>
        <w:tc>
          <w:tcPr>
            <w:tcW w:w="6760" w:type="dxa"/>
            <w:vAlign w:val="bottom"/>
            <w:gridSpan w:val="2"/>
          </w:tcPr>
          <w:p>
            <w:pPr>
              <w:jc w:val="right"/>
              <w:ind w:right="5392"/>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020"/>
          </w:cols>
          <w:pgMar w:left="440" w:top="266"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09"/>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De’Ana Dow</w:t>
            </w:r>
          </w:p>
        </w:tc>
        <w:tc>
          <w:tcPr>
            <w:tcW w:w="10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De’Ana Dow</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J. Goldberg</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Michelle J. Goldberg</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Jill Simeone</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Gordon Watson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Gordon Watson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360"/>
        </w:trPr>
        <w:tc>
          <w:tcPr>
            <w:tcW w:w="4260" w:type="dxa"/>
            <w:vAlign w:val="bottom"/>
          </w:tcPr>
          <w:p>
            <w:pPr>
              <w:spacing w:after="0"/>
              <w:rPr>
                <w:sz w:val="24"/>
                <w:szCs w:val="24"/>
                <w:color w:val="auto"/>
              </w:rPr>
            </w:pPr>
          </w:p>
        </w:tc>
        <w:tc>
          <w:tcPr>
            <w:tcW w:w="6760" w:type="dxa"/>
            <w:vAlign w:val="bottom"/>
            <w:gridSpan w:val="2"/>
          </w:tcPr>
          <w:p>
            <w:pPr>
              <w:jc w:val="right"/>
              <w:ind w:right="5394"/>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020"/>
          </w:cols>
          <w:pgMar w:left="440" w:top="263"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2021 Omnibus Incentive Plan</w:t>
      </w:r>
    </w:p>
    <w:p>
      <w:pPr>
        <w:spacing w:after="0" w:line="207"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This Amendment No. 3 dated April 10, 2025 (this “Amendment”) amends the 2021 Omnibus Incentive Plan, as amended (the “Plan”), of Bakkt Holdings, Inc. (the “Company”). Except as otherwise explicitly set forth herein, all provisions of the Plan shall remain in full force and effect. Capitalized terms used in the Amendment without definition shall have meanings set forth in the Plan.</w:t>
      </w:r>
    </w:p>
    <w:p>
      <w:pPr>
        <w:spacing w:after="0" w:line="17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amend the Plan as hereinafter provided in order to increase the number of shares of Common Stock issuable under the Plan from 3,034,922 to 4,014,123; and</w:t>
      </w:r>
    </w:p>
    <w:p>
      <w:pPr>
        <w:spacing w:after="0" w:line="162"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approved the substance of this Amendment as of April 10, 2025, and accordingly, the Company desires to amend the Plan as hereinafter provided.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the Plan is hereby amended as follows:</w:t>
      </w:r>
    </w:p>
    <w:p>
      <w:pPr>
        <w:spacing w:after="0" w:line="13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in Number of Shares Subject to the Plan</w:t>
      </w:r>
      <w:r>
        <w:rPr>
          <w:rFonts w:ascii="Times New Roman" w:cs="Times New Roman" w:eastAsia="Times New Roman" w:hAnsi="Times New Roman"/>
          <w:sz w:val="18"/>
          <w:szCs w:val="18"/>
          <w:color w:val="auto"/>
        </w:rPr>
        <w:t>. Section 1.3.1 of the Plan is amended to read in its entirety as follows:</w:t>
      </w:r>
    </w:p>
    <w:p>
      <w:pPr>
        <w:spacing w:after="0" w:line="117" w:lineRule="exact"/>
        <w:rPr>
          <w:sz w:val="20"/>
          <w:szCs w:val="20"/>
          <w:color w:val="auto"/>
        </w:rPr>
      </w:pPr>
    </w:p>
    <w:p>
      <w:pPr>
        <w:ind w:left="984" w:right="20"/>
        <w:spacing w:after="0" w:line="253" w:lineRule="auto"/>
        <w:rPr>
          <w:sz w:val="20"/>
          <w:szCs w:val="20"/>
          <w:color w:val="auto"/>
        </w:rPr>
      </w:pPr>
      <w:r>
        <w:rPr>
          <w:rFonts w:ascii="Times New Roman" w:cs="Times New Roman" w:eastAsia="Times New Roman" w:hAnsi="Times New Roman"/>
          <w:sz w:val="18"/>
          <w:szCs w:val="18"/>
          <w:color w:val="auto"/>
        </w:rPr>
        <w:t>Subject to the other provisions of this Section 1.3, the total number of Shares that may be granted under the Plan will be 4,014,123 (the “Share Limit”).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(“Acquisition Awards”) will not count against the number of Shares that may be granted under the Plan or be subject to the minimum vesting provisions in Section 2.4.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Section 1.3.3) may be delivered through Incentive Stock Options.</w:t>
      </w:r>
    </w:p>
    <w:p>
      <w:pPr>
        <w:spacing w:after="0" w:line="97" w:lineRule="exact"/>
        <w:rPr>
          <w:sz w:val="20"/>
          <w:szCs w:val="20"/>
          <w:color w:val="auto"/>
        </w:rPr>
      </w:pPr>
    </w:p>
    <w:p>
      <w:pPr>
        <w:ind w:left="424" w:right="76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amendments to the Plan pursuant to Section 1 of this Amendment shall be effective upon receipt of approval of such amendments by the Company’s stockholders, and shall be subject to and contingent upon receipt of such approval.</w:t>
      </w:r>
    </w:p>
    <w:p>
      <w:pPr>
        <w:sectPr>
          <w:pgSz w:w="11900" w:h="16838" w:orient="portrait"/>
          <w:cols w:equalWidth="0" w:num="1">
            <w:col w:w="11024"/>
          </w:cols>
          <w:pgMar w:left="436" w:top="117"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380365</wp:posOffset>
            </wp:positionV>
            <wp:extent cx="2665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665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TELEPHONE: 1-212-558-4000</w:t>
      </w:r>
    </w:p>
    <w:p>
      <w:pPr>
        <w:spacing w:after="0" w:line="3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FACSIMILE: 1-212-558-3588</w:t>
      </w:r>
    </w:p>
    <w:p>
      <w:pPr>
        <w:spacing w:after="0" w:line="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WWW.SULLCROM.COM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125 Broad Street</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New York, New York 10004-2498</w:t>
      </w:r>
    </w:p>
    <w:p>
      <w:pPr>
        <w:spacing w:after="0" w:line="230"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1017905</wp:posOffset>
            </wp:positionH>
            <wp:positionV relativeFrom="paragraph">
              <wp:posOffset>-5080</wp:posOffset>
            </wp:positionV>
            <wp:extent cx="571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6" w:lineRule="exact"/>
        <w:rPr>
          <w:sz w:val="20"/>
          <w:szCs w:val="20"/>
          <w:color w:val="auto"/>
        </w:rPr>
      </w:pPr>
    </w:p>
    <w:p>
      <w:pPr>
        <w:jc w:val="center"/>
        <w:ind w:right="600"/>
        <w:spacing w:after="0" w:line="401" w:lineRule="auto"/>
        <w:rPr>
          <w:sz w:val="20"/>
          <w:szCs w:val="20"/>
          <w:color w:val="auto"/>
        </w:rPr>
      </w:pPr>
      <w:r>
        <w:rPr>
          <w:rFonts w:ascii="Times New Roman" w:cs="Times New Roman" w:eastAsia="Times New Roman" w:hAnsi="Times New Roman"/>
          <w:sz w:val="18"/>
          <w:szCs w:val="18"/>
          <w:color w:val="auto"/>
        </w:rPr>
        <w:t>LOS ANGELES • PALO ALTO • WASHINGTON, D.C. BRUSSELS • FRANKFURT • LONDON • PARIS BEIJING • HONG KONG • TOKYO MELBOURNE • SYDNEY</w:t>
      </w:r>
    </w:p>
    <w:p>
      <w:pPr>
        <w:spacing w:after="0" w:line="18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June 27, 2025</w:t>
      </w:r>
    </w:p>
    <w:p>
      <w:pPr>
        <w:spacing w:after="0" w:line="1387" w:lineRule="exact"/>
        <w:rPr>
          <w:sz w:val="20"/>
          <w:szCs w:val="20"/>
          <w:color w:val="auto"/>
        </w:rPr>
      </w:pPr>
    </w:p>
    <w:p>
      <w:pPr>
        <w:sectPr>
          <w:pgSz w:w="11900" w:h="16838" w:orient="portrait"/>
          <w:cols w:equalWidth="0" w:num="2">
            <w:col w:w="5600" w:space="720"/>
            <w:col w:w="4700"/>
          </w:cols>
          <w:pgMar w:left="440" w:top="117" w:right="439" w:bottom="1440" w:gutter="0" w:footer="0" w:header="0"/>
        </w:sectPr>
      </w:pPr>
    </w:p>
    <w:p>
      <w:pPr>
        <w:spacing w:after="0" w:line="25" w:lineRule="exact"/>
        <w:rPr>
          <w:sz w:val="20"/>
          <w:szCs w:val="20"/>
          <w:color w:val="auto"/>
        </w:rPr>
      </w:pPr>
    </w:p>
    <w:p>
      <w:pPr>
        <w:ind w:right="140" w:firstLine="1432"/>
        <w:spacing w:after="0" w:line="261"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979,201 shares of Class A common stock, par value $0.0001 per share (the “Securities”), of Bakkt Holdings, Inc., a Delaware corporation (the “Company”), issuable under the Company’s 2021 Omnibus Incentive Plan (the “Plan”), we, as your counsel, have examined such corporate records, certificates and other documents, and such questions of law, as we have considered necessary or appropriate for the purposes of this opinion.</w:t>
      </w:r>
    </w:p>
    <w:p>
      <w:pPr>
        <w:spacing w:after="0" w:line="180" w:lineRule="exact"/>
        <w:rPr>
          <w:sz w:val="20"/>
          <w:szCs w:val="20"/>
          <w:color w:val="auto"/>
        </w:rPr>
      </w:pPr>
    </w:p>
    <w:p>
      <w:pPr>
        <w:jc w:val="both"/>
        <w:ind w:right="40" w:firstLine="1432"/>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and the Securities have been duly issued in accordance with the terms of the Plan, the Securities will be validly issued, fully paid and nonassessable.</w:t>
      </w:r>
    </w:p>
    <w:p>
      <w:pPr>
        <w:spacing w:after="0" w:line="176" w:lineRule="exact"/>
        <w:rPr>
          <w:sz w:val="20"/>
          <w:szCs w:val="20"/>
          <w:color w:val="auto"/>
        </w:rPr>
      </w:pPr>
    </w:p>
    <w:p>
      <w:pPr>
        <w:ind w:right="380" w:firstLine="1432"/>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2" w:lineRule="exact"/>
        <w:rPr>
          <w:sz w:val="20"/>
          <w:szCs w:val="20"/>
          <w:color w:val="auto"/>
        </w:rPr>
      </w:pPr>
    </w:p>
    <w:p>
      <w:pPr>
        <w:ind w:right="60" w:firstLine="1432"/>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ectPr>
          <w:pgSz w:w="11900" w:h="16838" w:orient="portrait"/>
          <w:cols w:equalWidth="0" w:num="1">
            <w:col w:w="11020"/>
          </w:cols>
          <w:pgMar w:left="440" w:top="117" w:right="439" w:bottom="1440" w:gutter="0" w:footer="0" w:header="0"/>
          <w:type w:val="continuous"/>
        </w:sectPr>
      </w:pPr>
    </w:p>
    <w:bookmarkStart w:id="8" w:name="page9"/>
    <w:bookmarkEnd w:id="8"/>
    <w:p>
      <w:pPr>
        <w:spacing w:after="0"/>
        <w:tabs>
          <w:tab w:leader="none" w:pos="10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w:t>
      </w:r>
      <w:r>
        <w:rPr>
          <w:sz w:val="20"/>
          <w:szCs w:val="20"/>
          <w:color w:val="auto"/>
        </w:rPr>
        <w:tab/>
      </w:r>
      <w:r>
        <w:rPr>
          <w:rFonts w:ascii="Times New Roman" w:cs="Times New Roman" w:eastAsia="Times New Roman" w:hAnsi="Times New Roman"/>
          <w:sz w:val="20"/>
          <w:szCs w:val="20"/>
          <w:color w:val="auto"/>
        </w:rPr>
        <w:t>-2-</w:t>
      </w:r>
    </w:p>
    <w:p>
      <w:pPr>
        <w:sectPr>
          <w:pgSz w:w="11900" w:h="16838" w:orient="portrait"/>
          <w:cols w:equalWidth="0" w:num="1">
            <w:col w:w="11020"/>
          </w:cols>
          <w:pgMar w:left="440" w:top="265" w:right="439" w:bottom="1440" w:gutter="0" w:footer="0" w:header="0"/>
        </w:sectPr>
      </w:pPr>
    </w:p>
    <w:p>
      <w:pPr>
        <w:spacing w:after="0" w:line="39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 SULLIVAN &amp; CROMWELL LLP</w:t>
      </w:r>
    </w:p>
    <w:p>
      <w:pPr>
        <w:sectPr>
          <w:pgSz w:w="11900" w:h="16838" w:orient="portrait"/>
          <w:cols w:equalWidth="0" w:num="1">
            <w:col w:w="11020"/>
          </w:cols>
          <w:pgMar w:left="440" w:top="265" w:right="4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registration of an aggregate of 979,201 shares of Class A Common Stock to be issued under the 2021 Omnibus Incentive Plan of Bakkt Holdings, Inc.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2025</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w:t>
      </w:r>
    </w:p>
    <w:p>
      <w:pPr>
        <w:spacing w:after="0" w:line="17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2025</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2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0" w:type="dxa"/>
            <w:vAlign w:val="bottom"/>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60" w:type="dxa"/>
            <w:vAlign w:val="bottom"/>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Price Per</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80"/>
        </w:trPr>
        <w:tc>
          <w:tcPr>
            <w:tcW w:w="88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5"/>
              </w:rPr>
              <w:t>Security Type</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78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3"/>
                <w:szCs w:val="13"/>
                <w:color w:val="auto"/>
                <w:w w:val="97"/>
              </w:rPr>
              <w:t>Registered</w:t>
            </w:r>
            <w:r>
              <w:rPr>
                <w:rFonts w:ascii="Times New Roman" w:cs="Times New Roman" w:eastAsia="Times New Roman" w:hAnsi="Times New Roman"/>
                <w:sz w:val="18"/>
                <w:szCs w:val="18"/>
                <w:color w:val="auto"/>
                <w:w w:val="97"/>
                <w:vertAlign w:val="superscript"/>
              </w:rPr>
              <w:t>(1)</w:t>
            </w:r>
            <w:r>
              <w:rPr>
                <w:rFonts w:ascii="Times New Roman" w:cs="Times New Roman" w:eastAsia="Times New Roman" w:hAnsi="Times New Roman"/>
                <w:sz w:val="13"/>
                <w:szCs w:val="13"/>
                <w:color w:val="auto"/>
                <w:w w:val="97"/>
              </w:rPr>
              <w:t xml:space="preserve">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5"/>
        </w:trPr>
        <w:tc>
          <w:tcPr>
            <w:tcW w:w="880" w:type="dxa"/>
            <w:vAlign w:val="bottom"/>
            <w:tcBorders>
              <w:left w:val="single" w:sz="8" w:color="auto"/>
              <w:right w:val="single" w:sz="8" w:color="auto"/>
            </w:tcBorders>
          </w:tcPr>
          <w:p>
            <w:pPr>
              <w:jc w:val="center"/>
              <w:ind w:left="44"/>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8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Class A Common stock,</w:t>
            </w:r>
          </w:p>
        </w:tc>
        <w:tc>
          <w:tcPr>
            <w:tcW w:w="60" w:type="dxa"/>
            <w:vAlign w:val="bottom"/>
          </w:tcPr>
          <w:p>
            <w:pPr>
              <w:spacing w:after="0"/>
              <w:rPr>
                <w:sz w:val="17"/>
                <w:szCs w:val="17"/>
                <w:color w:val="auto"/>
              </w:rPr>
            </w:pPr>
          </w:p>
        </w:tc>
        <w:tc>
          <w:tcPr>
            <w:tcW w:w="9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Rule 457(c)</w:t>
            </w: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 $0.0001 per</w:t>
            </w:r>
          </w:p>
        </w:tc>
        <w:tc>
          <w:tcPr>
            <w:tcW w:w="60" w:type="dxa"/>
            <w:vAlign w:val="bottom"/>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$153.10 per</w:t>
            </w:r>
          </w:p>
        </w:tc>
        <w:tc>
          <w:tcPr>
            <w:tcW w:w="820" w:type="dxa"/>
            <w:vAlign w:val="bottom"/>
            <w:tcBorders>
              <w:right w:val="single" w:sz="8" w:color="auto"/>
            </w:tcBorders>
          </w:tcPr>
          <w:p>
            <w:pPr>
              <w:spacing w:after="0"/>
              <w:rPr>
                <w:sz w:val="18"/>
                <w:szCs w:val="18"/>
                <w:color w:val="auto"/>
              </w:rPr>
            </w:pPr>
          </w:p>
        </w:tc>
      </w:tr>
      <w:tr>
        <w:trPr>
          <w:trHeight w:val="248"/>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6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979,201</w:t>
            </w:r>
          </w:p>
        </w:tc>
        <w:tc>
          <w:tcPr>
            <w:tcW w:w="8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rPr>
              <w:t>$12.88</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$12,612,108.88</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$1,930.91</w:t>
            </w:r>
          </w:p>
        </w:tc>
      </w:tr>
      <w:tr>
        <w:trPr>
          <w:trHeight w:val="232"/>
        </w:trPr>
        <w:tc>
          <w:tcPr>
            <w:tcW w:w="880" w:type="dxa"/>
            <w:vAlign w:val="bottom"/>
            <w:tcBorders>
              <w:left w:val="single" w:sz="8" w:color="auto"/>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$12,612,108.88</w:t>
            </w:r>
          </w:p>
        </w:tc>
        <w:tc>
          <w:tcPr>
            <w:tcW w:w="9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$1,930.91</w:t>
            </w:r>
          </w:p>
        </w:tc>
      </w:tr>
      <w:tr>
        <w:trPr>
          <w:trHeight w:val="236"/>
        </w:trPr>
        <w:tc>
          <w:tcPr>
            <w:tcW w:w="880" w:type="dxa"/>
            <w:vAlign w:val="bottom"/>
            <w:tcBorders>
              <w:left w:val="single" w:sz="8" w:color="auto"/>
              <w:bottom w:val="single" w:sz="8" w:color="auto"/>
            </w:tcBorders>
          </w:tcPr>
          <w:p>
            <w:pPr>
              <w:spacing w:after="0"/>
              <w:rPr>
                <w:sz w:val="20"/>
                <w:szCs w:val="20"/>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880" w:type="dxa"/>
            <w:vAlign w:val="bottom"/>
            <w:tcBorders>
              <w:left w:val="single" w:sz="8" w:color="auto"/>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left="879"/>
              <w:spacing w:after="0"/>
              <w:rPr>
                <w:sz w:val="20"/>
                <w:szCs w:val="20"/>
                <w:color w:val="auto"/>
              </w:rPr>
            </w:pPr>
            <w:r>
              <w:rPr>
                <w:rFonts w:ascii="Times New Roman" w:cs="Times New Roman" w:eastAsia="Times New Roman" w:hAnsi="Times New Roman"/>
                <w:sz w:val="18"/>
                <w:szCs w:val="18"/>
                <w:color w:val="auto"/>
              </w:rPr>
              <w:t>Net Fee Due</w:t>
            </w:r>
          </w:p>
        </w:tc>
        <w:tc>
          <w:tcPr>
            <w:tcW w:w="92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$1,930.91</w:t>
            </w:r>
          </w:p>
        </w:tc>
      </w:tr>
    </w:tbl>
    <w:p>
      <w:pPr>
        <w:spacing w:after="0" w:line="225" w:lineRule="exact"/>
        <w:rPr>
          <w:sz w:val="20"/>
          <w:szCs w:val="20"/>
          <w:color w:val="auto"/>
        </w:rPr>
      </w:pPr>
    </w:p>
    <w:p>
      <w:pPr>
        <w:ind w:left="424" w:right="100" w:hanging="424"/>
        <w:spacing w:after="0" w:line="253"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covers shares of Class A common stock, $0.0001 par value per share, of Bakkt Holdings, Inc., or the Registrant, authorized for issuance pursuant to the Registrant’s 2021 Omnibus Incentive Plan, as amended (the “Plan”). Pursuant to Rule 416(a) of the Securities Act of 1933, as amended (the “Securities Act”), this Registration Statement also covers any additional shares that may become issuable under the Plan by reason of any substitutions or adjustments to shares to account for any change in corporate capitalization, such as a merger, consolidation, reorganization, recapitalization, separation, partial or complete liquidation, stock dividend, stock split, reverse stock split, split up, spin-off or other distribution of stock or property of the Registrant, combination or exchange of shares, dividend in kind or other like change in capital structure.</w:t>
      </w:r>
    </w:p>
    <w:p>
      <w:pPr>
        <w:spacing w:after="0" w:line="2" w:lineRule="exact"/>
        <w:rPr>
          <w:rFonts w:ascii="Times New Roman" w:cs="Times New Roman" w:eastAsia="Times New Roman" w:hAnsi="Times New Roman"/>
          <w:sz w:val="18"/>
          <w:szCs w:val="18"/>
          <w:color w:val="auto"/>
        </w:rPr>
      </w:pPr>
    </w:p>
    <w:p>
      <w:pPr>
        <w:ind w:left="424" w:right="300"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 of calculating the registration fee. Pursuant to Rule 457(c) and Rule 457(h) under the Securities Act, the proposed maximum offering price per unit and maximum aggregate offering price are based on the reported average of the high and low prices of the Registrant’s Class A common stock as reported on the New York Stock Exchange on June 23, 2025 (rounded up to the nearest cent).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
      <w:numFmt w:val="bullet"/>
      <w:start w:val="1"/>
    </w:lvl>
  </w:abstractNum>
  <w:abstractNum w:abstractNumId="3">
    <w:nsid w:val="507ED7AB"/>
    <w:multiLevelType w:val="hybridMultilevel"/>
    <w:lvl w:ilvl="0">
      <w:lvlJc w:val="left"/>
      <w:lvlText w:val=" "/>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jpeg"/><Relationship Id="rId47" Type="http://schemas.openxmlformats.org/officeDocument/2006/relationships/image" Target="media/image20.png"/><Relationship Id="rId48" Type="http://schemas.openxmlformats.org/officeDocument/2006/relationships/image" Target="media/image21.png"/><Relationship Id="rId20" Type="http://schemas.openxmlformats.org/officeDocument/2006/relationships/hyperlink" Target="http://www.sec.gov/ix?doc=/Archives/edgar/data/1820302/000162828025013959/bakkt-20241231.htm" TargetMode="External"/><Relationship Id="rId21" Type="http://schemas.openxmlformats.org/officeDocument/2006/relationships/hyperlink" Target="http://www.sec.gov/ix?doc=/Archives/edgar/data/1820302/000162828025020274/bakkt-20250428.htm" TargetMode="External"/><Relationship Id="rId22" Type="http://schemas.openxmlformats.org/officeDocument/2006/relationships/hyperlink" Target="http://www.sec.gov/ix?doc=/Archives/edgar/data/1820302/000162828025024743/bakkt-20250331.htm" TargetMode="External"/><Relationship Id="rId23" Type="http://schemas.openxmlformats.org/officeDocument/2006/relationships/hyperlink" Target="http://www.sec.gov/ix?doc=/Archives/edgar/data/1820302/000162828025018854/bakkt-20250421.htm" TargetMode="External"/><Relationship Id="rId24" Type="http://schemas.openxmlformats.org/officeDocument/2006/relationships/hyperlink" Target="http://www.sec.gov/ix?doc=/Archives/edgar/data/1820302/000119312525138191/d76438d8k.htm" TargetMode="External"/><Relationship Id="rId25" Type="http://schemas.openxmlformats.org/officeDocument/2006/relationships/hyperlink" Target="http://www.sec.gov/ix?doc=/Archives/edgar/data/1820302/000162828025030475/bakkt-20250610.htm" TargetMode="External"/><Relationship Id="rId26" Type="http://schemas.openxmlformats.org/officeDocument/2006/relationships/hyperlink" Target="http://www.sec.gov/ix?doc=/Archives/edgar/data/1820302/000162828025031314/bakkt-20250609.htm" TargetMode="External"/><Relationship Id="rId27" Type="http://schemas.openxmlformats.org/officeDocument/2006/relationships/hyperlink" Target="http://www.sec.gov/ix?doc=/Archives/edgar/data/1820302/000119312525142918/d80998d8k.htm" TargetMode="External"/><Relationship Id="rId28" Type="http://schemas.openxmlformats.org/officeDocument/2006/relationships/hyperlink" Target="http://www.sec.gov/ix?doc=/Archives/edgar/data/1820302/000162828025013995/bakkt-20250319.htm" TargetMode="External"/><Relationship Id="rId29" Type="http://schemas.openxmlformats.org/officeDocument/2006/relationships/hyperlink" Target="http://www.sec.gov/Archives/edgar/data/1820302/000119312521299620/d211377d8a12b.htm" TargetMode="External"/><Relationship Id="rId30" Type="http://schemas.openxmlformats.org/officeDocument/2006/relationships/hyperlink" Target="http://www.sec.gov/Archives/edgar/data/1820302/000182030222000005/a46-descriptionofsecurit.htm" TargetMode="External"/><Relationship Id="rId33" Type="http://schemas.openxmlformats.org/officeDocument/2006/relationships/hyperlink" Target="http://www.sec.gov/Archives/edgar/data/1820302/000119312521303985/d219325dex31.htm" TargetMode="External"/><Relationship Id="rId34" Type="http://schemas.openxmlformats.org/officeDocument/2006/relationships/hyperlink" Target="http://www.sec.gov/Archives/edgar/data/1820302/000182030224000080/bakkt-charteramendmentreve.htm" TargetMode="External"/><Relationship Id="rId35" Type="http://schemas.openxmlformats.org/officeDocument/2006/relationships/hyperlink" Target="http://www.sec.gov/Archives/edgar/data/1820302/000119312525142918/d80998dex31.htm" TargetMode="External"/><Relationship Id="rId36" Type="http://schemas.openxmlformats.org/officeDocument/2006/relationships/hyperlink" Target="http://www.sec.gov/Archives/edgar/data/1820302/000119312525142918/d80998dex32.htm" TargetMode="External"/><Relationship Id="rId37" Type="http://schemas.openxmlformats.org/officeDocument/2006/relationships/hyperlink" Target="http://www.sec.gov/Archives/edgar/data/1820302/000119312521303985/d219325dex32.htm" TargetMode="External"/><Relationship Id="rId38" Type="http://schemas.openxmlformats.org/officeDocument/2006/relationships/hyperlink" Target="http://www.sec.gov/Archives/edgar/data/1820302/000119312521303985/d219325dex41.htm" TargetMode="External"/><Relationship Id="rId39" Type="http://schemas.openxmlformats.org/officeDocument/2006/relationships/hyperlink" Target="http://www.sec.gov/Archives/edgar/data/1820302/000119312521303985/d219325dex109.htm" TargetMode="External"/><Relationship Id="rId40" Type="http://schemas.openxmlformats.org/officeDocument/2006/relationships/hyperlink" Target="http://www.sec.gov/Archives/edgar/data/1820302/000182030224000056/ex1011amendno1toequityplan.htm" TargetMode="External"/><Relationship Id="rId41" Type="http://schemas.openxmlformats.org/officeDocument/2006/relationships/hyperlink" Target="http://www.sec.gov/Archives/edgar/data/1820302/000119312524176416/d133420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2025-06-27T15:48:23Z</dcterms:created>
  <dcterms:modified xsi:type="dcterms:W3CDTF">2025-06-27T15:48:23Z</dcterms:modified>
</cp:coreProperties>
</file>