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LaBenne Andrew</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01/21/2022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01/21/2022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200,000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266,667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January 21, 2022, provided that the Reporting Person continues to be employed by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266,667 shares of Class A Common Stock subject to RSU awards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Andrew</w:t>
      </w:r>
      <w:r>
        <w:rPr>
          <w:sz w:val="20"/>
          <w:szCs w:val="20"/>
          <w:color w:val="auto"/>
        </w:rPr>
        <w:tab/>
      </w:r>
      <w:r>
        <w:rPr>
          <w:rFonts w:ascii="Arial" w:cs="Arial" w:eastAsia="Arial" w:hAnsi="Arial"/>
          <w:sz w:val="15"/>
          <w:szCs w:val="15"/>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6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7231"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2022-01-25T16:18:22Z</dcterms:created>
  <dcterms:modified xsi:type="dcterms:W3CDTF">2022-01-25T16:18:22Z</dcterms:modified>
</cp:coreProperties>
</file>