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_doc.xml.htm"/>
      <w:bookmarkStart w:id="1" w:name="ksprimary_do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Michael Gavin Constantine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BAKKT HOLDINGS,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10000 AVALON BOULEVARD, SUITE 1000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ALPHARETTA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GA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30009</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Bakkt Holdings, Inc.</w:t>
              </w:r>
            </w:hyperlink>
            <w:r>
              <w:rPr/>
              <w:t xml:space="preserve"> [ </w:t>
            </w:r>
            <w:r>
              <w:rPr>
                <w:rFonts w:ascii="Times;serif" w:hAnsi="Times;serif"/>
                <w:color w:val="0000FF"/>
                <w:sz w:val="24"/>
                <w:highlight w:val="white"/>
              </w:rPr>
              <w:t>BKKT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CEO and President</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04/17/2023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highlight w:val="white"/>
              </w:rPr>
              <w:t>04/19/2023</w:t>
            </w:r>
            <w:r>
              <w:rPr/>
              <w:t xml:space="preserve"> </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17"/>
        <w:gridCol w:w="900"/>
        <w:gridCol w:w="771"/>
        <w:gridCol w:w="598"/>
        <w:gridCol w:w="342"/>
        <w:gridCol w:w="1047"/>
        <w:gridCol w:w="438"/>
        <w:gridCol w:w="700"/>
        <w:gridCol w:w="1301"/>
        <w:gridCol w:w="977"/>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5"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3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1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04/17/2023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4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4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520,500</w:t>
            </w:r>
            <w:r>
              <w:rPr>
                <w:rFonts w:ascii="Times;serif" w:hAnsi="Times;serif"/>
                <w:color w:val="008000"/>
                <w:position w:val="7"/>
                <w:sz w:val="16"/>
                <w:sz w:val="20"/>
                <w:highlight w:val="white"/>
              </w:rPr>
              <w:t>(1)</w:t>
            </w:r>
            <w:r>
              <w:rPr/>
              <w:t xml:space="preserve"> </w:t>
            </w:r>
          </w:p>
        </w:tc>
        <w:tc>
          <w:tcPr>
            <w:tcW w:w="43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(1)</w:t>
            </w:r>
            <w:r>
              <w:rPr/>
              <w:t xml:space="preserve"> </w:t>
            </w:r>
          </w:p>
        </w:tc>
        <w:tc>
          <w:tcPr>
            <w:tcW w:w="13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3,063,914</w:t>
            </w:r>
            <w:r>
              <w:rPr>
                <w:rFonts w:ascii="Times;serif" w:hAnsi="Times;serif"/>
                <w:color w:val="008000"/>
                <w:position w:val="7"/>
                <w:sz w:val="16"/>
                <w:sz w:val="20"/>
                <w:highlight w:val="white"/>
              </w:rPr>
              <w:t>(2)</w:t>
            </w:r>
            <w:r>
              <w:rPr/>
              <w:t xml:space="preserve"> </w:t>
            </w:r>
          </w:p>
        </w:tc>
        <w:tc>
          <w:tcPr>
            <w:tcW w:w="97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04/17/2023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4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4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91,137</w:t>
            </w:r>
            <w:r>
              <w:rPr>
                <w:rFonts w:ascii="Times;serif" w:hAnsi="Times;serif"/>
                <w:color w:val="008000"/>
                <w:position w:val="7"/>
                <w:sz w:val="16"/>
                <w:sz w:val="20"/>
                <w:highlight w:val="white"/>
              </w:rPr>
              <w:t>(3)</w:t>
            </w:r>
            <w:r>
              <w:rPr/>
              <w:t xml:space="preserve"> </w:t>
            </w:r>
          </w:p>
        </w:tc>
        <w:tc>
          <w:tcPr>
            <w:tcW w:w="43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(3)</w:t>
            </w:r>
            <w:r>
              <w:rPr/>
              <w:t xml:space="preserve"> </w:t>
            </w:r>
          </w:p>
        </w:tc>
        <w:tc>
          <w:tcPr>
            <w:tcW w:w="13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3,155,051</w:t>
            </w:r>
            <w:r>
              <w:rPr>
                <w:rFonts w:ascii="Times;serif" w:hAnsi="Times;serif"/>
                <w:color w:val="008000"/>
                <w:position w:val="7"/>
                <w:sz w:val="16"/>
                <w:sz w:val="20"/>
                <w:highlight w:val="white"/>
              </w:rPr>
              <w:t>(2)</w:t>
            </w:r>
            <w:r>
              <w:rPr/>
              <w:t xml:space="preserve"> </w:t>
            </w:r>
          </w:p>
        </w:tc>
        <w:tc>
          <w:tcPr>
            <w:tcW w:w="97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04/17/2023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4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4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287,838</w:t>
            </w:r>
            <w:r>
              <w:rPr>
                <w:rFonts w:ascii="Times;serif" w:hAnsi="Times;serif"/>
                <w:color w:val="008000"/>
                <w:position w:val="7"/>
                <w:sz w:val="16"/>
                <w:sz w:val="20"/>
                <w:highlight w:val="white"/>
              </w:rPr>
              <w:t>(4)</w:t>
            </w:r>
            <w:r>
              <w:rPr/>
              <w:t xml:space="preserve"> </w:t>
            </w:r>
          </w:p>
        </w:tc>
        <w:tc>
          <w:tcPr>
            <w:tcW w:w="43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1.47</w:t>
            </w:r>
            <w:r>
              <w:rPr>
                <w:rFonts w:ascii="Times;serif" w:hAnsi="Times;serif"/>
                <w:color w:val="008000"/>
                <w:position w:val="7"/>
                <w:sz w:val="16"/>
                <w:sz w:val="20"/>
                <w:highlight w:val="white"/>
              </w:rPr>
              <w:t>(4)</w:t>
            </w:r>
            <w:r>
              <w:rPr/>
              <w:t xml:space="preserve"> </w:t>
            </w:r>
          </w:p>
        </w:tc>
        <w:tc>
          <w:tcPr>
            <w:tcW w:w="13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2,867,213</w:t>
            </w:r>
            <w:r>
              <w:rPr>
                <w:rFonts w:ascii="Times;serif" w:hAnsi="Times;serif"/>
                <w:color w:val="008000"/>
                <w:position w:val="7"/>
                <w:sz w:val="16"/>
                <w:sz w:val="20"/>
                <w:highlight w:val="white"/>
              </w:rPr>
              <w:t>(2)</w:t>
            </w:r>
            <w:r>
              <w:rPr/>
              <w:t xml:space="preserve"> </w:t>
            </w:r>
          </w:p>
        </w:tc>
        <w:tc>
          <w:tcPr>
            <w:tcW w:w="97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04/17/2023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4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4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50,400</w:t>
            </w:r>
            <w:r>
              <w:rPr>
                <w:rFonts w:ascii="Times;serif" w:hAnsi="Times;serif"/>
                <w:color w:val="008000"/>
                <w:position w:val="7"/>
                <w:sz w:val="16"/>
                <w:sz w:val="20"/>
                <w:highlight w:val="white"/>
              </w:rPr>
              <w:t>(4)</w:t>
            </w:r>
            <w:r>
              <w:rPr/>
              <w:t xml:space="preserve"> </w:t>
            </w:r>
          </w:p>
        </w:tc>
        <w:tc>
          <w:tcPr>
            <w:tcW w:w="43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1.47</w:t>
            </w:r>
            <w:r>
              <w:rPr>
                <w:rFonts w:ascii="Times;serif" w:hAnsi="Times;serif"/>
                <w:color w:val="008000"/>
                <w:position w:val="7"/>
                <w:sz w:val="16"/>
                <w:sz w:val="20"/>
                <w:highlight w:val="white"/>
              </w:rPr>
              <w:t>(4)</w:t>
            </w:r>
            <w:r>
              <w:rPr/>
              <w:t xml:space="preserve"> </w:t>
            </w:r>
          </w:p>
        </w:tc>
        <w:tc>
          <w:tcPr>
            <w:tcW w:w="13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2,816,813</w:t>
            </w:r>
            <w:r>
              <w:rPr>
                <w:rFonts w:ascii="Times;serif" w:hAnsi="Times;serif"/>
                <w:color w:val="008000"/>
                <w:position w:val="7"/>
                <w:sz w:val="16"/>
                <w:sz w:val="20"/>
                <w:highlight w:val="white"/>
              </w:rPr>
              <w:t>(2)</w:t>
            </w:r>
            <w:r>
              <w:rPr/>
              <w:t xml:space="preserve"> </w:t>
            </w:r>
          </w:p>
        </w:tc>
        <w:tc>
          <w:tcPr>
            <w:tcW w:w="97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the issuance of shares of Class A common stock resulting from vesting of one-third of performance stock units ("PSUs") granted on 01/21/2022 and the attainment of performance goals.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Includes 2,109,617 shares of Class A Common Stock subject to restricted stock units awards that remain subject to vesting.</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Represents the issuance of shares of Class A common stock resulting from vesting of one-third of PSUs granted on 02/01/2022 and the attainment of performance goals.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In connection with the vesting of PSUs on April 17, 2023, the issuer withheld Class A Common Stock that would otherwise have been issued to the reporting person to satisfy such person's tax withholding obligations. The number of shares withheld was determined based on the closing price per share of Class A Common Stock on April 17, 2023.</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Marc D'Annunzio Attorney-in-Fact for Gavin Constantine Michael</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05/02/2023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1512" TargetMode="External"/><Relationship Id="rId4" Type="http://schemas.openxmlformats.org/officeDocument/2006/relationships/hyperlink" Target="http://www.sec.gov/cgi-bin/browse-edgar?action=getcompany&amp;CIK=000182030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737</Words>
  <CharactersWithSpaces>4660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