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(Amendment No. 1)*</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Bakkt Holdings, Inc. (formerly known as VPC Impact Acquisition Holdings)</w:t>
      </w: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Class A Common Stock, Par Value $0.0001 Per Share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05759B107 (a)</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December 31,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14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179"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165"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166" w:lineRule="exact"/>
        <w:rPr>
          <w:sz w:val="24"/>
          <w:szCs w:val="24"/>
          <w:color w:val="auto"/>
        </w:rPr>
      </w:pPr>
    </w:p>
    <w:p>
      <w:pPr>
        <w:ind w:right="3459"/>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ind w:right="3379"/>
        <w:spacing w:after="0" w:line="23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80" w:lineRule="exact"/>
        <w:rPr>
          <w:sz w:val="24"/>
          <w:szCs w:val="24"/>
          <w:color w:val="auto"/>
        </w:rPr>
      </w:pPr>
    </w:p>
    <w:p>
      <w:pPr>
        <w:ind w:left="300" w:hanging="292"/>
        <w:spacing w:after="0"/>
        <w:tabs>
          <w:tab w:leader="none" w:pos="300" w:val="left"/>
        </w:tabs>
        <w:numPr>
          <w:ilvl w:val="0"/>
          <w:numId w:val="2"/>
        </w:numPr>
        <w:rPr>
          <w:rFonts w:ascii="Arial" w:cs="Arial" w:eastAsia="Arial" w:hAnsi="Arial"/>
          <w:sz w:val="21"/>
          <w:szCs w:val="21"/>
          <w:color w:val="auto"/>
        </w:rPr>
      </w:pPr>
      <w:r>
        <w:rPr>
          <w:rFonts w:ascii="Arial" w:cs="Arial" w:eastAsia="Arial" w:hAnsi="Arial"/>
          <w:sz w:val="17"/>
          <w:szCs w:val="17"/>
          <w:color w:val="auto"/>
        </w:rPr>
        <w:t>Former filings with VPC Impact Acquisition Holdings under CINS number 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897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05759B107</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70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Point72 Asset Management, L.P.</w:t>
            </w:r>
          </w:p>
        </w:tc>
        <w:tc>
          <w:tcPr>
            <w:tcW w:w="72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20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2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70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2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7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20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720" w:type="dxa"/>
            <w:vAlign w:val="bottom"/>
            <w:tcBorders>
              <w:bottom w:val="single" w:sz="8" w:color="auto"/>
            </w:tcBorders>
          </w:tcPr>
          <w:p>
            <w:pPr>
              <w:spacing w:after="0"/>
              <w:rPr>
                <w:sz w:val="21"/>
                <w:szCs w:val="21"/>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70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70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 (see Item 4)</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70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70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 (see Item 4)</w:t>
            </w:r>
          </w:p>
        </w:tc>
        <w:tc>
          <w:tcPr>
            <w:tcW w:w="72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20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2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(see Item 4)</w:t>
            </w:r>
          </w:p>
        </w:tc>
        <w:tc>
          <w:tcPr>
            <w:tcW w:w="77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22"/>
        </w:trPr>
        <w:tc>
          <w:tcPr>
            <w:tcW w:w="1052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2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7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0% (see Item 4)</w:t>
            </w:r>
          </w:p>
        </w:tc>
        <w:tc>
          <w:tcPr>
            <w:tcW w:w="720" w:type="dxa"/>
            <w:vAlign w:val="bottom"/>
            <w:tcBorders>
              <w:bottom w:val="single" w:sz="8" w:color="auto"/>
            </w:tcBorders>
          </w:tcPr>
          <w:p>
            <w:pPr>
              <w:spacing w:after="0"/>
              <w:rPr>
                <w:sz w:val="21"/>
                <w:szCs w:val="21"/>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PN</w:t>
            </w:r>
          </w:p>
        </w:tc>
        <w:tc>
          <w:tcPr>
            <w:tcW w:w="720" w:type="dxa"/>
            <w:vAlign w:val="bottom"/>
            <w:tcBorders>
              <w:bottom w:val="single" w:sz="8" w:color="auto"/>
            </w:tcBorders>
          </w:tcPr>
          <w:p>
            <w:pPr>
              <w:spacing w:after="0"/>
              <w:rPr>
                <w:sz w:val="21"/>
                <w:szCs w:val="21"/>
                <w:color w:val="auto"/>
              </w:rPr>
            </w:pPr>
          </w:p>
        </w:tc>
      </w:tr>
      <w:tr>
        <w:trPr>
          <w:trHeight w:val="426"/>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97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05759B107</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10200" w:type="dxa"/>
            <w:vAlign w:val="bottom"/>
            <w:tcBorders>
              <w:top w:val="single" w:sz="8" w:color="auto"/>
              <w:bottom w:val="single" w:sz="8" w:color="auto"/>
              <w:right w:val="single" w:sz="8" w:color="auto"/>
            </w:tcBorders>
            <w:gridSpan w:val="2"/>
          </w:tcPr>
          <w:p>
            <w:pPr>
              <w:ind w:left="20"/>
              <w:spacing w:after="0" w:line="250" w:lineRule="exact"/>
              <w:rPr>
                <w:sz w:val="20"/>
                <w:szCs w:val="20"/>
                <w:color w:val="auto"/>
              </w:rPr>
            </w:pPr>
            <w:r>
              <w:rPr>
                <w:rFonts w:ascii="Arial" w:cs="Arial" w:eastAsia="Arial" w:hAnsi="Arial"/>
                <w:sz w:val="22"/>
                <w:szCs w:val="22"/>
                <w:color w:val="auto"/>
              </w:rPr>
              <w:t>Names of reporting persons  Point72 Capital Advisors, Inc.</w:t>
            </w:r>
          </w:p>
        </w:tc>
        <w:tc>
          <w:tcPr>
            <w:tcW w:w="72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20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2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7920" w:type="dxa"/>
            <w:vAlign w:val="bottom"/>
            <w:tcBorders>
              <w:bottom w:val="single" w:sz="8" w:color="auto"/>
              <w:right w:val="single" w:sz="8" w:color="auto"/>
            </w:tcBorders>
          </w:tcPr>
          <w:p>
            <w:pPr>
              <w:ind w:left="600"/>
              <w:spacing w:after="0" w:line="243" w:lineRule="exact"/>
              <w:rPr>
                <w:sz w:val="20"/>
                <w:szCs w:val="20"/>
                <w:color w:val="auto"/>
              </w:rPr>
            </w:pPr>
            <w:r>
              <w:rPr>
                <w:rFonts w:ascii="Arial" w:cs="Arial" w:eastAsia="Arial" w:hAnsi="Arial"/>
                <w:sz w:val="22"/>
                <w:szCs w:val="22"/>
                <w:color w:val="auto"/>
              </w:rPr>
              <w:t>(see instructions)</w:t>
            </w:r>
          </w:p>
        </w:tc>
        <w:tc>
          <w:tcPr>
            <w:tcW w:w="72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28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9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20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720" w:type="dxa"/>
            <w:vAlign w:val="bottom"/>
            <w:tcBorders>
              <w:bottom w:val="single" w:sz="8" w:color="auto"/>
            </w:tcBorders>
          </w:tcPr>
          <w:p>
            <w:pPr>
              <w:spacing w:after="0"/>
              <w:rPr>
                <w:sz w:val="21"/>
                <w:szCs w:val="21"/>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28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920" w:type="dxa"/>
            <w:vAlign w:val="bottom"/>
            <w:tcBorders>
              <w:bottom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0</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28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920" w:type="dxa"/>
            <w:vAlign w:val="bottom"/>
            <w:tcBorders>
              <w:bottom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0 (see Item 4)</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28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920" w:type="dxa"/>
            <w:vAlign w:val="bottom"/>
            <w:tcBorders>
              <w:bottom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0</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28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w w:val="91"/>
              </w:rPr>
              <w:t>Shared dispositive power</w:t>
            </w:r>
          </w:p>
        </w:tc>
        <w:tc>
          <w:tcPr>
            <w:tcW w:w="792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 (see Item 4)</w:t>
            </w:r>
          </w:p>
        </w:tc>
        <w:tc>
          <w:tcPr>
            <w:tcW w:w="72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20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2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(see Item 4)</w:t>
            </w:r>
          </w:p>
        </w:tc>
        <w:tc>
          <w:tcPr>
            <w:tcW w:w="792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22"/>
        </w:trPr>
        <w:tc>
          <w:tcPr>
            <w:tcW w:w="1052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20" w:type="dxa"/>
            <w:vAlign w:val="bottom"/>
          </w:tcPr>
          <w:p>
            <w:pPr>
              <w:spacing w:after="0"/>
              <w:rPr>
                <w:sz w:val="19"/>
                <w:szCs w:val="19"/>
                <w:color w:val="auto"/>
              </w:rPr>
            </w:pPr>
          </w:p>
        </w:tc>
      </w:tr>
      <w:tr>
        <w:trPr>
          <w:trHeight w:val="271"/>
        </w:trPr>
        <w:tc>
          <w:tcPr>
            <w:tcW w:w="260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92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0% (see Item 4)</w:t>
            </w:r>
          </w:p>
        </w:tc>
        <w:tc>
          <w:tcPr>
            <w:tcW w:w="720" w:type="dxa"/>
            <w:vAlign w:val="bottom"/>
            <w:tcBorders>
              <w:bottom w:val="single" w:sz="8" w:color="auto"/>
            </w:tcBorders>
          </w:tcPr>
          <w:p>
            <w:pPr>
              <w:spacing w:after="0"/>
              <w:rPr>
                <w:sz w:val="21"/>
                <w:szCs w:val="21"/>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CO</w:t>
            </w:r>
          </w:p>
        </w:tc>
        <w:tc>
          <w:tcPr>
            <w:tcW w:w="720" w:type="dxa"/>
            <w:vAlign w:val="bottom"/>
            <w:tcBorders>
              <w:bottom w:val="single" w:sz="8" w:color="auto"/>
            </w:tcBorders>
          </w:tcPr>
          <w:p>
            <w:pPr>
              <w:spacing w:after="0"/>
              <w:rPr>
                <w:sz w:val="21"/>
                <w:szCs w:val="2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9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05759B107</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70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Steven A. Cohen</w:t>
            </w:r>
          </w:p>
        </w:tc>
        <w:tc>
          <w:tcPr>
            <w:tcW w:w="72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20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2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70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2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7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20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United States</w:t>
            </w:r>
          </w:p>
        </w:tc>
        <w:tc>
          <w:tcPr>
            <w:tcW w:w="720" w:type="dxa"/>
            <w:vAlign w:val="bottom"/>
            <w:tcBorders>
              <w:bottom w:val="single" w:sz="8" w:color="auto"/>
            </w:tcBorders>
          </w:tcPr>
          <w:p>
            <w:pPr>
              <w:spacing w:after="0"/>
              <w:rPr>
                <w:sz w:val="21"/>
                <w:szCs w:val="21"/>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70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70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 (see Item 4)</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70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70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 (see Item 4)</w:t>
            </w:r>
          </w:p>
        </w:tc>
        <w:tc>
          <w:tcPr>
            <w:tcW w:w="72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20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2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(see Item 4)</w:t>
            </w:r>
          </w:p>
        </w:tc>
        <w:tc>
          <w:tcPr>
            <w:tcW w:w="77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22"/>
        </w:trPr>
        <w:tc>
          <w:tcPr>
            <w:tcW w:w="1052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2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7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0% (see Item 4)</w:t>
            </w:r>
          </w:p>
        </w:tc>
        <w:tc>
          <w:tcPr>
            <w:tcW w:w="720" w:type="dxa"/>
            <w:vAlign w:val="bottom"/>
            <w:tcBorders>
              <w:bottom w:val="single" w:sz="8" w:color="auto"/>
            </w:tcBorders>
          </w:tcPr>
          <w:p>
            <w:pPr>
              <w:spacing w:after="0"/>
              <w:rPr>
                <w:sz w:val="21"/>
                <w:szCs w:val="21"/>
                <w:color w:val="auto"/>
              </w:rPr>
            </w:pPr>
          </w:p>
        </w:tc>
      </w:tr>
      <w:tr>
        <w:trPr>
          <w:trHeight w:val="250"/>
        </w:trPr>
        <w:tc>
          <w:tcPr>
            <w:tcW w:w="1052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IN</w:t>
            </w:r>
          </w:p>
        </w:tc>
        <w:tc>
          <w:tcPr>
            <w:tcW w:w="720" w:type="dxa"/>
            <w:vAlign w:val="bottom"/>
            <w:tcBorders>
              <w:bottom w:val="single" w:sz="8" w:color="auto"/>
            </w:tcBorders>
          </w:tcPr>
          <w:p>
            <w:pPr>
              <w:spacing w:after="0"/>
              <w:rPr>
                <w:sz w:val="21"/>
                <w:szCs w:val="21"/>
                <w:color w:val="auto"/>
              </w:rPr>
            </w:pPr>
          </w:p>
        </w:tc>
      </w:tr>
      <w:tr>
        <w:trPr>
          <w:trHeight w:val="1100"/>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Bakkt Holdings,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10000 Avalon Boulevard, Suite 1000, Alpharetta, Georgia 30009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2(a) Name of person filing:</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This statement is filed by: (i) Point72 Asset Management, L.P. (“Point72 Asset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Management”) with respect to shares of Class A Common Stock, par value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$0.0001 per share (“Shares”), of the Issuer held by certain investment funds it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manages; (ii) Point72 Capital Advisors, Inc. (“Point72 Capital Advisors Inc.”)</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Shares held by certain investment funds managed by Point72</w:t>
      </w:r>
    </w:p>
    <w:p>
      <w:pPr>
        <w:spacing w:after="0" w:line="25" w:lineRule="exact"/>
        <w:rPr>
          <w:sz w:val="20"/>
          <w:szCs w:val="20"/>
          <w:color w:val="auto"/>
        </w:rPr>
      </w:pPr>
    </w:p>
    <w:p>
      <w:pPr>
        <w:ind w:right="3719"/>
        <w:spacing w:after="0" w:line="234" w:lineRule="auto"/>
        <w:rPr>
          <w:sz w:val="20"/>
          <w:szCs w:val="20"/>
          <w:color w:val="auto"/>
        </w:rPr>
      </w:pPr>
      <w:r>
        <w:rPr>
          <w:rFonts w:ascii="Arial" w:cs="Arial" w:eastAsia="Arial" w:hAnsi="Arial"/>
          <w:sz w:val="22"/>
          <w:szCs w:val="22"/>
          <w:color w:val="auto"/>
        </w:rPr>
        <w:t>Asset Management; and (iii) Steven A. Cohen (“Mr. Cohen”) with respect to Shares beneficially owned by Point72 Asset Management and Point72 Capital Advisors Inc.</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06" w:lineRule="exact"/>
        <w:rPr>
          <w:sz w:val="20"/>
          <w:szCs w:val="20"/>
          <w:color w:val="auto"/>
        </w:rPr>
      </w:pPr>
    </w:p>
    <w:p>
      <w:pPr>
        <w:jc w:val="both"/>
        <w:ind w:right="3619"/>
        <w:spacing w:after="0"/>
        <w:rPr>
          <w:sz w:val="20"/>
          <w:szCs w:val="20"/>
          <w:color w:val="auto"/>
        </w:rPr>
      </w:pPr>
      <w:r>
        <w:rPr>
          <w:rFonts w:ascii="Arial" w:cs="Arial" w:eastAsia="Arial" w:hAnsi="Arial"/>
          <w:sz w:val="22"/>
          <w:szCs w:val="22"/>
          <w:color w:val="auto"/>
        </w:rPr>
        <w:t>The address of the principal business office of Point72 Asset Management, Point72 Capital Advisors Inc., and Mr. Cohen is 72 Cummings Point Road, Stamford, CT 06902.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is a Delaware limited partnership.</w:t>
      </w:r>
    </w:p>
    <w:p>
      <w:pPr>
        <w:spacing w:after="0" w:line="238" w:lineRule="auto"/>
        <w:rPr>
          <w:sz w:val="20"/>
          <w:szCs w:val="20"/>
          <w:color w:val="auto"/>
        </w:rPr>
      </w:pPr>
      <w:r>
        <w:rPr>
          <w:rFonts w:ascii="Arial" w:cs="Arial" w:eastAsia="Arial" w:hAnsi="Arial"/>
          <w:sz w:val="22"/>
          <w:szCs w:val="22"/>
          <w:color w:val="auto"/>
        </w:rPr>
        <w:t>Point72 Capital Advisors Inc. is a Delaware corporation.</w:t>
      </w:r>
    </w:p>
    <w:p>
      <w:pPr>
        <w:spacing w:after="0"/>
        <w:rPr>
          <w:sz w:val="20"/>
          <w:szCs w:val="20"/>
          <w:color w:val="auto"/>
        </w:rPr>
      </w:pPr>
      <w:r>
        <w:rPr>
          <w:rFonts w:ascii="Arial" w:cs="Arial" w:eastAsia="Arial" w:hAnsi="Arial"/>
          <w:sz w:val="22"/>
          <w:szCs w:val="22"/>
          <w:color w:val="auto"/>
        </w:rPr>
        <w:t>Mr. Cohen is a United States citizen.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Class A Common Stock, Par Value $0.0001 Per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5" w:name="page6"/>
    <w:bookmarkEnd w:id="5"/>
    <w:p>
      <w:pPr>
        <w:spacing w:after="0"/>
        <w:rPr>
          <w:sz w:val="20"/>
          <w:szCs w:val="20"/>
          <w:color w:val="auto"/>
        </w:rPr>
      </w:pPr>
      <w:r>
        <w:rPr>
          <w:rFonts w:ascii="Arial" w:cs="Arial" w:eastAsia="Arial" w:hAnsi="Arial"/>
          <w:sz w:val="22"/>
          <w:szCs w:val="22"/>
          <w:i w:val="1"/>
          <w:iCs w:val="1"/>
          <w:color w:val="auto"/>
        </w:rPr>
        <w:t>Item 3.</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close of business on December 31, 2021:</w:t>
      </w:r>
    </w:p>
    <w:p>
      <w:pPr>
        <w:spacing w:after="0" w:line="23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Point72 Asset Management, L.P.</w:t>
      </w:r>
    </w:p>
    <w:p>
      <w:pPr>
        <w:spacing w:after="0" w:line="8"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(a) Amount beneficially owned: 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(b) Percent of class: 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(c) Number of shares as to which the person has: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 Sole power to vote or to direct the vote: 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 Shared power to vote or to direct the vote: 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(iii) 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0</w:t>
      </w:r>
    </w:p>
    <w:p>
      <w:pPr>
        <w:spacing w:after="0" w:line="215" w:lineRule="exact"/>
        <w:rPr>
          <w:rFonts w:ascii="Arial" w:cs="Arial" w:eastAsia="Arial" w:hAnsi="Arial"/>
          <w:sz w:val="22"/>
          <w:szCs w:val="22"/>
          <w:color w:val="auto"/>
        </w:rPr>
      </w:pPr>
    </w:p>
    <w:p>
      <w:pPr>
        <w:ind w:left="220" w:hanging="212"/>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Point72 Capital Advisors, Inc.</w:t>
      </w:r>
    </w:p>
    <w:p>
      <w:pPr>
        <w:ind w:left="300" w:hanging="292"/>
        <w:spacing w:after="0" w:line="238" w:lineRule="auto"/>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 0</w:t>
      </w:r>
    </w:p>
    <w:p>
      <w:pPr>
        <w:ind w:left="320" w:hanging="312"/>
        <w:spacing w:after="0" w:line="230" w:lineRule="auto"/>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0%</w:t>
      </w:r>
    </w:p>
    <w:p>
      <w:pPr>
        <w:ind w:left="300" w:hanging="292"/>
        <w:spacing w:after="0" w:line="230" w:lineRule="auto"/>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ind w:right="4879" w:firstLine="8"/>
        <w:spacing w:after="0" w:line="308" w:lineRule="auto"/>
        <w:tabs>
          <w:tab w:leader="none" w:pos="378" w:val="left"/>
        </w:tabs>
        <w:numPr>
          <w:ilvl w:val="0"/>
          <w:numId w:val="7"/>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0 (iv) Shared power to dispose or to direct the disposition of: 0</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3. Steven A. Cohen</w:t>
      </w:r>
    </w:p>
    <w:p>
      <w:pPr>
        <w:ind w:left="300" w:hanging="292"/>
        <w:spacing w:after="0" w:line="238" w:lineRule="auto"/>
        <w:tabs>
          <w:tab w:leader="none" w:pos="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Amount beneficially owned: 0</w:t>
      </w:r>
    </w:p>
    <w:p>
      <w:pPr>
        <w:ind w:left="320" w:hanging="312"/>
        <w:spacing w:after="0" w:line="230" w:lineRule="auto"/>
        <w:tabs>
          <w:tab w:leader="none" w:pos="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Percent of class: 0%</w:t>
      </w:r>
    </w:p>
    <w:p>
      <w:pPr>
        <w:ind w:left="300" w:hanging="292"/>
        <w:spacing w:after="0" w:line="230" w:lineRule="auto"/>
        <w:tabs>
          <w:tab w:leader="none" w:pos="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9"/>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ind w:right="4879" w:firstLine="8"/>
        <w:spacing w:after="0" w:line="308" w:lineRule="auto"/>
        <w:tabs>
          <w:tab w:leader="none" w:pos="378" w:val="left"/>
        </w:tabs>
        <w:numPr>
          <w:ilvl w:val="0"/>
          <w:numId w:val="11"/>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0 (iv) Shared power to dispose or to direct the disposition of: 0</w:t>
      </w:r>
    </w:p>
    <w:p>
      <w:pPr>
        <w:spacing w:after="0" w:line="123" w:lineRule="exact"/>
        <w:rPr>
          <w:sz w:val="20"/>
          <w:szCs w:val="20"/>
          <w:color w:val="auto"/>
        </w:rPr>
      </w:pPr>
    </w:p>
    <w:p>
      <w:pPr>
        <w:ind w:right="2779"/>
        <w:spacing w:after="0" w:line="270" w:lineRule="auto"/>
        <w:rPr>
          <w:sz w:val="20"/>
          <w:szCs w:val="20"/>
          <w:color w:val="auto"/>
        </w:rPr>
      </w:pPr>
      <w:r>
        <w:rPr>
          <w:rFonts w:ascii="Arial" w:cs="Arial" w:eastAsia="Arial" w:hAnsi="Arial"/>
          <w:sz w:val="19"/>
          <w:szCs w:val="19"/>
          <w:color w:val="auto"/>
        </w:rPr>
        <w:t>Point72 Asset Management, Point72 Capital Advisors Inc., and Mr. Cohen own directly no Shares. Pursuant to an investment management agreement, Point72 Asset Management maintains investment and voting power with respect to the securities held by certain investment funds it manages. Point72 Capital Advisors Inc. is the general partner of Point72 Asset Management. Mr. Cohen controls each of Point72 Asset Management and Point72 Capital Advisors Inc. Each of</w:t>
      </w:r>
    </w:p>
    <w:p>
      <w:pPr>
        <w:spacing w:after="0" w:line="1" w:lineRule="exact"/>
        <w:rPr>
          <w:sz w:val="20"/>
          <w:szCs w:val="20"/>
          <w:color w:val="auto"/>
        </w:rPr>
      </w:pPr>
    </w:p>
    <w:p>
      <w:pPr>
        <w:ind w:right="3119"/>
        <w:spacing w:after="0" w:line="308" w:lineRule="auto"/>
        <w:rPr>
          <w:sz w:val="20"/>
          <w:szCs w:val="20"/>
          <w:color w:val="auto"/>
        </w:rPr>
      </w:pPr>
      <w:r>
        <w:rPr>
          <w:rFonts w:ascii="Arial" w:cs="Arial" w:eastAsia="Arial" w:hAnsi="Arial"/>
          <w:sz w:val="19"/>
          <w:szCs w:val="19"/>
          <w:color w:val="auto"/>
        </w:rPr>
        <w:t>Point72 Asset Management, Point72 Capital Advisors Inc., and Mr. Cohen disclaims beneficial ownership of any of the securities covered by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6" w:name="page7"/>
    <w:bookmarkEnd w:id="6"/>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4" w:lineRule="exact"/>
        <w:rPr>
          <w:sz w:val="20"/>
          <w:szCs w:val="20"/>
          <w:color w:val="auto"/>
        </w:rPr>
      </w:pPr>
    </w:p>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[X].</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6. </w:t>
      </w:r>
      <w:r>
        <w:rPr>
          <w:rFonts w:ascii="Arial" w:cs="Arial" w:eastAsia="Arial" w:hAnsi="Arial"/>
          <w:sz w:val="22"/>
          <w:szCs w:val="22"/>
          <w:color w:val="auto"/>
        </w:rPr>
        <w:t>Ownership of More than 5 Percent on Behalf of Another Person.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I certify that, to the best of my knowledge and belief,</w:t>
      </w:r>
    </w:p>
    <w:p>
      <w:pPr>
        <w:spacing w:after="0" w:line="8" w:lineRule="exact"/>
        <w:rPr>
          <w:sz w:val="20"/>
          <w:szCs w:val="20"/>
          <w:color w:val="auto"/>
        </w:rPr>
      </w:pPr>
    </w:p>
    <w:p>
      <w:pPr>
        <w:ind w:right="3059"/>
        <w:spacing w:after="0" w:line="266" w:lineRule="auto"/>
        <w:rPr>
          <w:sz w:val="20"/>
          <w:szCs w:val="20"/>
          <w:color w:val="auto"/>
        </w:rPr>
      </w:pPr>
      <w:r>
        <w:rPr>
          <w:rFonts w:ascii="Arial" w:cs="Arial" w:eastAsia="Arial" w:hAnsi="Arial"/>
          <w:sz w:val="19"/>
          <w:szCs w:val="19"/>
          <w:color w:val="auto"/>
        </w:rPr>
        <w:t>the securities referred to above were not acquired and are not held for the purpose of or with the effect of changing or influencing the control of the issuer of</w:t>
      </w:r>
    </w:p>
    <w:p>
      <w:pPr>
        <w:spacing w:after="0" w:line="2" w:lineRule="exact"/>
        <w:rPr>
          <w:sz w:val="20"/>
          <w:szCs w:val="20"/>
          <w:color w:val="auto"/>
        </w:rPr>
      </w:pPr>
    </w:p>
    <w:p>
      <w:pPr>
        <w:jc w:val="both"/>
        <w:ind w:right="3699"/>
        <w:spacing w:after="0" w:line="287" w:lineRule="auto"/>
        <w:rPr>
          <w:sz w:val="20"/>
          <w:szCs w:val="20"/>
          <w:color w:val="auto"/>
        </w:rPr>
      </w:pPr>
      <w:r>
        <w:rPr>
          <w:rFonts w:ascii="Arial" w:cs="Arial" w:eastAsia="Arial" w:hAnsi="Arial"/>
          <w:sz w:val="19"/>
          <w:szCs w:val="19"/>
          <w:color w:val="auto"/>
        </w:rPr>
        <w:t>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 w:name="page8"/>
    <w:bookmarkEnd w:id="7"/>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9"/>
    </w:lvl>
  </w:abstractNum>
  <w:abstractNum w:abstractNumId="5">
    <w:nsid w:val="515F007C"/>
    <w:multiLevelType w:val="hybridMultilevel"/>
    <w:lvl w:ilvl="0">
      <w:lvlJc w:val="left"/>
      <w:lvlText w:val="(%1)"/>
      <w:numFmt w:val="lowerLetter"/>
      <w:start w:val="35"/>
    </w:lvl>
  </w:abstractNum>
  <w:abstractNum w:abstractNumId="6">
    <w:nsid w:val="5BD062C2"/>
    <w:multiLevelType w:val="hybridMultilevel"/>
    <w:lvl w:ilvl="0">
      <w:lvlJc w:val="left"/>
      <w:lvlText w:val="(%1)"/>
      <w:numFmt w:val="lowerLetter"/>
      <w:start w:val="6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2022-02-14T16:13:02Z</dcterms:created>
  <dcterms:modified xsi:type="dcterms:W3CDTF">2022-02-14T16:13:02Z</dcterms:modified>
</cp:coreProperties>
</file>