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83820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left="88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jc w:val="center"/>
        <w:ind w:left="88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left="8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3440"/>
        <w:spacing w:after="0"/>
        <w:rPr>
          <w:sz w:val="20"/>
          <w:szCs w:val="20"/>
          <w:color w:val="auto"/>
        </w:rPr>
      </w:pPr>
      <w:r>
        <w:rPr>
          <w:rFonts w:ascii="Arial" w:cs="Arial" w:eastAsia="Arial" w:hAnsi="Arial"/>
          <w:sz w:val="22"/>
          <w:szCs w:val="22"/>
          <w:b w:val="1"/>
          <w:bCs w:val="1"/>
          <w:color w:val="auto"/>
        </w:rPr>
        <w:t>CURRENT REPORT</w:t>
      </w:r>
    </w:p>
    <w:p>
      <w:pPr>
        <w:jc w:val="center"/>
        <w:ind w:right="3440"/>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440"/>
        <w:spacing w:after="0"/>
        <w:rPr>
          <w:sz w:val="20"/>
          <w:szCs w:val="20"/>
          <w:color w:val="auto"/>
        </w:rPr>
      </w:pPr>
      <w:r>
        <w:rPr>
          <w:rFonts w:ascii="Arial" w:cs="Arial" w:eastAsia="Arial" w:hAnsi="Arial"/>
          <w:sz w:val="19"/>
          <w:szCs w:val="19"/>
          <w:b w:val="1"/>
          <w:bCs w:val="1"/>
          <w:color w:val="auto"/>
        </w:rPr>
        <w:t>Date of Report (Date of earliest event reported)</w:t>
      </w:r>
    </w:p>
    <w:p>
      <w:pPr>
        <w:spacing w:after="0" w:line="22" w:lineRule="exact"/>
        <w:rPr>
          <w:sz w:val="24"/>
          <w:szCs w:val="24"/>
          <w:color w:val="auto"/>
        </w:rPr>
      </w:pPr>
    </w:p>
    <w:p>
      <w:pPr>
        <w:jc w:val="center"/>
        <w:ind w:right="3440"/>
        <w:spacing w:after="0"/>
        <w:rPr>
          <w:sz w:val="20"/>
          <w:szCs w:val="20"/>
          <w:color w:val="auto"/>
        </w:rPr>
      </w:pPr>
      <w:r>
        <w:rPr>
          <w:rFonts w:ascii="Arial" w:cs="Arial" w:eastAsia="Arial" w:hAnsi="Arial"/>
          <w:sz w:val="22"/>
          <w:szCs w:val="22"/>
          <w:b w:val="1"/>
          <w:bCs w:val="1"/>
          <w:color w:val="auto"/>
        </w:rPr>
        <w:t>November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Arial" w:cs="Arial" w:eastAsia="Arial" w:hAnsi="Arial"/>
          <w:sz w:val="36"/>
          <w:szCs w:val="36"/>
          <w:b w:val="1"/>
          <w:bCs w:val="1"/>
          <w:color w:val="auto"/>
        </w:rPr>
        <w:t>Bakkt Holdings, Inc.</w:t>
      </w:r>
    </w:p>
    <w:p>
      <w:pPr>
        <w:ind w:left="2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6" w:lineRule="exact"/>
        <w:rPr>
          <w:sz w:val="24"/>
          <w:szCs w:val="24"/>
          <w:color w:val="auto"/>
        </w:rPr>
      </w:pPr>
    </w:p>
    <w:tbl>
      <w:tblPr>
        <w:tblLayout w:type="fixed"/>
        <w:tblInd w:w="1760" w:type="dxa"/>
        <w:tblCellMar>
          <w:top w:w="0" w:type="dxa"/>
          <w:left w:w="0" w:type="dxa"/>
          <w:bottom w:w="0" w:type="dxa"/>
          <w:right w:w="0" w:type="dxa"/>
        </w:tblCellMar>
      </w:tblPr>
      <w:tr>
        <w:trPr>
          <w:trHeight w:val="234"/>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001-39544</w:t>
            </w:r>
          </w:p>
        </w:tc>
        <w:tc>
          <w:tcPr>
            <w:tcW w:w="2560" w:type="dxa"/>
            <w:vAlign w:val="bottom"/>
          </w:tcPr>
          <w:p>
            <w:pPr>
              <w:jc w:val="center"/>
              <w:ind w:left="1362"/>
              <w:spacing w:after="0"/>
              <w:rPr>
                <w:sz w:val="20"/>
                <w:szCs w:val="20"/>
                <w:color w:val="auto"/>
              </w:rPr>
            </w:pPr>
            <w:r>
              <w:rPr>
                <w:rFonts w:ascii="Arial" w:cs="Arial" w:eastAsia="Arial" w:hAnsi="Arial"/>
                <w:sz w:val="18"/>
                <w:szCs w:val="18"/>
                <w:b w:val="1"/>
                <w:bCs w:val="1"/>
                <w:color w:val="auto"/>
                <w:w w:val="91"/>
              </w:rPr>
              <w:t>98-1550750</w:t>
            </w:r>
          </w:p>
        </w:tc>
      </w:tr>
      <w:tr>
        <w:trPr>
          <w:trHeight w:val="180"/>
        </w:trPr>
        <w:tc>
          <w:tcPr>
            <w:tcW w:w="2240" w:type="dxa"/>
            <w:vAlign w:val="bottom"/>
          </w:tcPr>
          <w:p>
            <w:pPr>
              <w:spacing w:after="0"/>
              <w:rPr>
                <w:sz w:val="20"/>
                <w:szCs w:val="20"/>
                <w:color w:val="auto"/>
              </w:rPr>
            </w:pPr>
            <w:r>
              <w:rPr>
                <w:rFonts w:ascii="Arial" w:cs="Arial" w:eastAsia="Arial" w:hAnsi="Arial"/>
                <w:sz w:val="14"/>
                <w:szCs w:val="14"/>
                <w:b w:val="1"/>
                <w:bCs w:val="1"/>
                <w:color w:val="auto"/>
              </w:rPr>
              <w:t>(Commission</w:t>
            </w:r>
          </w:p>
        </w:tc>
        <w:tc>
          <w:tcPr>
            <w:tcW w:w="2560" w:type="dxa"/>
            <w:vAlign w:val="bottom"/>
          </w:tcPr>
          <w:p>
            <w:pPr>
              <w:jc w:val="center"/>
              <w:ind w:left="13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2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51"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Arial" w:cs="Arial" w:eastAsia="Arial" w:hAnsi="Arial"/>
                <w:sz w:val="18"/>
                <w:szCs w:val="18"/>
                <w:b w:val="1"/>
                <w:bCs w:val="1"/>
                <w:color w:val="auto"/>
                <w:w w:val="89"/>
              </w:rPr>
              <w:t>10000 Avalon Boulevard, Suite 1000,</w:t>
            </w:r>
          </w:p>
        </w:tc>
        <w:tc>
          <w:tcPr>
            <w:tcW w:w="2660" w:type="dxa"/>
            <w:vAlign w:val="bottom"/>
            <w:vMerge w:val="restart"/>
          </w:tcPr>
          <w:p>
            <w:pPr>
              <w:jc w:val="right"/>
              <w:ind w:right="19"/>
              <w:spacing w:after="0"/>
              <w:rPr>
                <w:sz w:val="20"/>
                <w:szCs w:val="20"/>
                <w:color w:val="auto"/>
              </w:rPr>
            </w:pPr>
            <w:r>
              <w:rPr>
                <w:rFonts w:ascii="Arial" w:cs="Arial" w:eastAsia="Arial" w:hAnsi="Arial"/>
                <w:sz w:val="18"/>
                <w:szCs w:val="18"/>
                <w:b w:val="1"/>
                <w:bCs w:val="1"/>
                <w:color w:val="auto"/>
              </w:rPr>
              <w:t>30009</w:t>
            </w:r>
          </w:p>
        </w:tc>
        <w:tc>
          <w:tcPr>
            <w:tcW w:w="0" w:type="dxa"/>
            <w:vAlign w:val="bottom"/>
          </w:tcPr>
          <w:p>
            <w:pPr>
              <w:spacing w:after="0"/>
              <w:rPr>
                <w:sz w:val="1"/>
                <w:szCs w:val="1"/>
                <w:color w:val="auto"/>
              </w:rPr>
            </w:pPr>
          </w:p>
        </w:tc>
      </w:tr>
      <w:tr>
        <w:trPr>
          <w:trHeight w:val="140"/>
        </w:trPr>
        <w:tc>
          <w:tcPr>
            <w:tcW w:w="4800" w:type="dxa"/>
            <w:vAlign w:val="bottom"/>
            <w:vMerge w:val="restart"/>
          </w:tcPr>
          <w:p>
            <w:pPr>
              <w:jc w:val="center"/>
              <w:ind w:right="1936"/>
              <w:spacing w:after="0"/>
              <w:rPr>
                <w:sz w:val="20"/>
                <w:szCs w:val="20"/>
                <w:color w:val="auto"/>
              </w:rPr>
            </w:pPr>
            <w:r>
              <w:rPr>
                <w:rFonts w:ascii="Arial" w:cs="Arial" w:eastAsia="Arial" w:hAnsi="Arial"/>
                <w:sz w:val="18"/>
                <w:szCs w:val="18"/>
                <w:b w:val="1"/>
                <w:bCs w:val="1"/>
                <w:color w:val="auto"/>
                <w:w w:val="92"/>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4800" w:type="dxa"/>
            <w:vAlign w:val="bottom"/>
          </w:tcPr>
          <w:p>
            <w:pPr>
              <w:jc w:val="center"/>
              <w:ind w:right="193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60" w:type="dxa"/>
            <w:vAlign w:val="bottom"/>
          </w:tcPr>
          <w:p>
            <w:pPr>
              <w:jc w:val="center"/>
              <w:ind w:left="191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188595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52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18"/>
        </w:trPr>
        <w:tc>
          <w:tcPr>
            <w:tcW w:w="5520" w:type="dxa"/>
            <w:vAlign w:val="bottom"/>
          </w:tcPr>
          <w:p>
            <w:pPr>
              <w:jc w:val="center"/>
              <w:ind w:left="176"/>
              <w:spacing w:after="0"/>
              <w:rPr>
                <w:sz w:val="20"/>
                <w:szCs w:val="20"/>
                <w:color w:val="auto"/>
              </w:rPr>
            </w:pPr>
            <w:r>
              <w:rPr>
                <w:rFonts w:ascii="Arial" w:cs="Arial" w:eastAsia="Arial" w:hAnsi="Arial"/>
                <w:sz w:val="18"/>
                <w:szCs w:val="18"/>
                <w:b w:val="1"/>
                <w:bCs w:val="1"/>
                <w:color w:val="auto"/>
                <w:w w:val="89"/>
              </w:rPr>
              <w:t>Class A Common Stock, par value $0.0001 per share</w:t>
            </w:r>
          </w:p>
        </w:tc>
        <w:tc>
          <w:tcPr>
            <w:tcW w:w="2240" w:type="dxa"/>
            <w:vAlign w:val="bottom"/>
          </w:tcPr>
          <w:p>
            <w:pPr>
              <w:jc w:val="center"/>
              <w:ind w:left="36"/>
              <w:spacing w:after="0"/>
              <w:rPr>
                <w:sz w:val="20"/>
                <w:szCs w:val="20"/>
                <w:color w:val="auto"/>
              </w:rPr>
            </w:pPr>
            <w:r>
              <w:rPr>
                <w:rFonts w:ascii="Arial" w:cs="Arial" w:eastAsia="Arial" w:hAnsi="Arial"/>
                <w:sz w:val="18"/>
                <w:szCs w:val="18"/>
                <w:b w:val="1"/>
                <w:bCs w:val="1"/>
                <w:color w:val="auto"/>
              </w:rPr>
              <w:t>BKKT</w:t>
            </w:r>
          </w:p>
        </w:tc>
        <w:tc>
          <w:tcPr>
            <w:tcW w:w="348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34"/>
        </w:trPr>
        <w:tc>
          <w:tcPr>
            <w:tcW w:w="5520" w:type="dxa"/>
            <w:vAlign w:val="bottom"/>
          </w:tcPr>
          <w:p>
            <w:pPr>
              <w:jc w:val="center"/>
              <w:ind w:left="176"/>
              <w:spacing w:after="0"/>
              <w:rPr>
                <w:sz w:val="20"/>
                <w:szCs w:val="20"/>
                <w:color w:val="auto"/>
              </w:rPr>
            </w:pPr>
            <w:r>
              <w:rPr>
                <w:rFonts w:ascii="Arial" w:cs="Arial" w:eastAsia="Arial" w:hAnsi="Arial"/>
                <w:sz w:val="18"/>
                <w:szCs w:val="18"/>
                <w:b w:val="1"/>
                <w:bCs w:val="1"/>
                <w:color w:val="auto"/>
                <w:w w:val="90"/>
              </w:rPr>
              <w:t>Warrants to purchase Class A Common Stock</w:t>
            </w:r>
          </w:p>
        </w:tc>
        <w:tc>
          <w:tcPr>
            <w:tcW w:w="2240" w:type="dxa"/>
            <w:vAlign w:val="bottom"/>
          </w:tcPr>
          <w:p>
            <w:pPr>
              <w:jc w:val="center"/>
              <w:ind w:left="36"/>
              <w:spacing w:after="0"/>
              <w:rPr>
                <w:sz w:val="20"/>
                <w:szCs w:val="20"/>
                <w:color w:val="auto"/>
              </w:rPr>
            </w:pPr>
            <w:r>
              <w:rPr>
                <w:rFonts w:ascii="Arial" w:cs="Arial" w:eastAsia="Arial" w:hAnsi="Arial"/>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both"/>
        <w:ind w:right="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1175385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56515</wp:posOffset>
            </wp:positionV>
            <wp:extent cx="4663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81915</wp:posOffset>
            </wp:positionV>
            <wp:extent cx="4663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8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On November 7, 2022, Kristyn Cook informed Bakkt Holdings, Inc. (the “Company”), that she intended to resign from the Company’s Board of Directors due to a promotion in her current role at State Farm and time considerations, with the effective date of the resignation expected to be on or before December 31, 2022. Ms. Cook’s resignation was not the result of any disagreement with the Company on any matter relating to the Company’s operations,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3163570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2022</w:t>
      </w:r>
    </w:p>
    <w:p>
      <w:pPr>
        <w:spacing w:after="0" w:line="262"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BAKKT HOLDINGS, INC.</w:t>
      </w:r>
    </w:p>
    <w:p>
      <w:pPr>
        <w:spacing w:after="0" w:line="256"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343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6240"/>
        <w:spacing w:after="0"/>
        <w:tabs>
          <w:tab w:leader="none" w:pos="7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D’Annunzio</w:t>
      </w:r>
    </w:p>
    <w:p>
      <w:pPr>
        <w:spacing w:after="0" w:line="23" w:lineRule="exact"/>
        <w:rPr>
          <w:sz w:val="20"/>
          <w:szCs w:val="20"/>
          <w:color w:val="auto"/>
        </w:rPr>
      </w:pPr>
    </w:p>
    <w:p>
      <w:pPr>
        <w:ind w:left="6240"/>
        <w:spacing w:after="0"/>
        <w:tabs>
          <w:tab w:leader="none" w:pos="7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 and Secretary</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2022-11-10T17:53:59Z</dcterms:created>
  <dcterms:modified xsi:type="dcterms:W3CDTF">2022-11-10T17:53:59Z</dcterms:modified>
</cp:coreProperties>
</file>