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624"/>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097280"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spacing w:after="0" w:line="7" w:lineRule="exact"/>
        <w:rPr>
          <w:sz w:val="24"/>
          <w:szCs w:val="24"/>
          <w:color w:val="auto"/>
        </w:rPr>
      </w:pPr>
    </w:p>
    <w:p>
      <w:pPr>
        <w:ind w:left="7624"/>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112" w:lineRule="exact"/>
        <w:rPr>
          <w:sz w:val="24"/>
          <w:szCs w:val="24"/>
          <w:color w:val="auto"/>
        </w:rPr>
      </w:pPr>
    </w:p>
    <w:p>
      <w:pPr>
        <w:ind w:left="7624"/>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27" w:lineRule="exact"/>
        <w:rPr>
          <w:sz w:val="24"/>
          <w:szCs w:val="24"/>
          <w:color w:val="auto"/>
        </w:rPr>
      </w:pPr>
    </w:p>
    <w:p>
      <w:pPr>
        <w:ind w:left="7624"/>
        <w:spacing w:after="0"/>
        <w:rPr>
          <w:sz w:val="20"/>
          <w:szCs w:val="20"/>
          <w:color w:val="auto"/>
        </w:rPr>
      </w:pPr>
      <w:r>
        <w:rPr>
          <w:rFonts w:ascii="Times New Roman" w:cs="Times New Roman" w:eastAsia="Times New Roman" w:hAnsi="Times New Roman"/>
          <w:sz w:val="18"/>
          <w:szCs w:val="18"/>
          <w:color w:val="auto"/>
        </w:rPr>
        <w:t>Palo Alto, California 94304-1050</w:t>
      </w:r>
    </w:p>
    <w:p>
      <w:pPr>
        <w:spacing w:after="0" w:line="112" w:lineRule="exact"/>
        <w:rPr>
          <w:sz w:val="24"/>
          <w:szCs w:val="24"/>
          <w:color w:val="auto"/>
        </w:rPr>
      </w:pPr>
    </w:p>
    <w:p>
      <w:pPr>
        <w:ind w:left="7624"/>
        <w:spacing w:after="0"/>
        <w:rPr>
          <w:sz w:val="20"/>
          <w:szCs w:val="20"/>
          <w:color w:val="auto"/>
        </w:rPr>
      </w:pPr>
      <w:r>
        <w:rPr>
          <w:rFonts w:ascii="Times New Roman" w:cs="Times New Roman" w:eastAsia="Times New Roman" w:hAnsi="Times New Roman"/>
          <w:sz w:val="15"/>
          <w:szCs w:val="15"/>
          <w:color w:val="auto"/>
        </w:rPr>
        <w:t>O</w:t>
      </w:r>
      <w:r>
        <w:rPr>
          <w:rFonts w:ascii="Times New Roman" w:cs="Times New Roman" w:eastAsia="Times New Roman" w:hAnsi="Times New Roman"/>
          <w:sz w:val="17"/>
          <w:szCs w:val="17"/>
          <w:color w:val="auto"/>
        </w:rPr>
        <w:t>: 650.493.9300</w:t>
      </w:r>
    </w:p>
    <w:p>
      <w:pPr>
        <w:spacing w:after="0" w:line="39" w:lineRule="exact"/>
        <w:rPr>
          <w:sz w:val="24"/>
          <w:szCs w:val="24"/>
          <w:color w:val="auto"/>
        </w:rPr>
      </w:pPr>
    </w:p>
    <w:p>
      <w:pPr>
        <w:ind w:left="7624"/>
        <w:spacing w:after="0"/>
        <w:rPr>
          <w:sz w:val="20"/>
          <w:szCs w:val="20"/>
          <w:color w:val="auto"/>
        </w:rPr>
      </w:pPr>
      <w:r>
        <w:rPr>
          <w:rFonts w:ascii="Times New Roman" w:cs="Times New Roman" w:eastAsia="Times New Roman" w:hAnsi="Times New Roman"/>
          <w:sz w:val="15"/>
          <w:szCs w:val="15"/>
          <w:color w:val="auto"/>
        </w:rPr>
        <w:t>F</w:t>
      </w:r>
      <w:r>
        <w:rPr>
          <w:rFonts w:ascii="Times New Roman" w:cs="Times New Roman" w:eastAsia="Times New Roman" w:hAnsi="Times New Roman"/>
          <w:sz w:val="17"/>
          <w:szCs w:val="17"/>
          <w:color w:val="auto"/>
        </w:rPr>
        <w:t>: 866.974.7329</w:t>
      </w:r>
    </w:p>
    <w:p>
      <w:pPr>
        <w:spacing w:after="0" w:line="23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Attn: Sandra Hunter Berkheimer and David Lin</w:t>
      </w:r>
    </w:p>
    <w:p>
      <w:pPr>
        <w:spacing w:after="0" w:line="108"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tab/>
        <w:t>Bakkt Holdings, Inc. Amendment No. 2 to Registration Statement on Form S-3 Filed February 14, 2024 (File No. 333-271438)</w:t>
      </w:r>
    </w:p>
    <w:p>
      <w:pPr>
        <w:spacing w:after="0" w:line="1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Dear Ms. Berkheimer and Mr. Lin:</w:t>
      </w:r>
    </w:p>
    <w:p>
      <w:pPr>
        <w:spacing w:after="0" w:line="117" w:lineRule="exact"/>
        <w:rPr>
          <w:sz w:val="24"/>
          <w:szCs w:val="24"/>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On behalf of Bakkt Holdings, Inc. (including its subsidiaries as the context requires,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in the responses below,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we submit this letter containing consolidated responses to the comment letter, dated February 14, 2024, from the staff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regarding the above-reference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176" w:lineRule="exact"/>
        <w:rPr>
          <w:sz w:val="24"/>
          <w:szCs w:val="24"/>
          <w:color w:val="auto"/>
        </w:rPr>
      </w:pPr>
    </w:p>
    <w:p>
      <w:pPr>
        <w:ind w:left="4" w:right="600"/>
        <w:spacing w:after="0" w:line="282" w:lineRule="auto"/>
        <w:rPr>
          <w:sz w:val="20"/>
          <w:szCs w:val="20"/>
          <w:color w:val="auto"/>
        </w:rPr>
      </w:pPr>
      <w:r>
        <w:rPr>
          <w:rFonts w:ascii="Times New Roman" w:cs="Times New Roman" w:eastAsia="Times New Roman" w:hAnsi="Times New Roman"/>
          <w:sz w:val="18"/>
          <w:szCs w:val="18"/>
          <w:color w:val="auto"/>
        </w:rPr>
        <w:t>For ease of review, each of the comments from your letter relating to the Registration Statement are set forth below, followed by the Company’s responses.</w:t>
      </w:r>
    </w:p>
    <w:p>
      <w:pPr>
        <w:spacing w:after="0" w:line="16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Response Dated February 13, 2024</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29" w:lineRule="exact"/>
        <w:rPr>
          <w:sz w:val="24"/>
          <w:szCs w:val="24"/>
          <w:color w:val="auto"/>
        </w:rPr>
      </w:pPr>
    </w:p>
    <w:p>
      <w:pPr>
        <w:ind w:left="544" w:right="120" w:hanging="544"/>
        <w:spacing w:after="0" w:line="257" w:lineRule="auto"/>
        <w:tabs>
          <w:tab w:leader="none" w:pos="544"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While we do not have any further comments at this time regarding your disclosure or the responses that you have provided to our prior comments, please confirm your understanding that our decision not to issue additional comments should not be interpreted to mean that we either agree or disagree with your disclosure or responses. Please also confirm your understanding that, with respect to your business operations, and in particular the Bakkt Crypto and Bakkt Marketplace platforms and the crypto assets you make available for trading on those platforms, our decision not to issue additional comments does not mean that we either agree or disagree with any conclusions you have made, positions you have taken or practices you have engaged in or may engage in.</w:t>
      </w:r>
    </w:p>
    <w:p>
      <w:pPr>
        <w:spacing w:after="0" w:line="180" w:lineRule="exact"/>
        <w:rPr>
          <w:sz w:val="24"/>
          <w:szCs w:val="24"/>
          <w:color w:val="auto"/>
        </w:rPr>
      </w:pPr>
    </w:p>
    <w:p>
      <w:pPr>
        <w:jc w:val="center"/>
        <w:ind w:right="-63"/>
        <w:spacing w:after="0"/>
        <w:tabs>
          <w:tab w:leader="none" w:pos="80" w:val="left"/>
          <w:tab w:leader="none" w:pos="100" w:val="left"/>
          <w:tab w:leader="none" w:pos="80" w:val="left"/>
          <w:tab w:leader="none" w:pos="100" w:val="left"/>
          <w:tab w:leader="none" w:pos="80" w:val="left"/>
          <w:tab w:leader="none" w:pos="100" w:val="left"/>
          <w:tab w:leader="none" w:pos="80" w:val="left"/>
          <w:tab w:leader="none" w:pos="100" w:val="left"/>
          <w:tab w:leader="none" w:pos="100" w:val="left"/>
        </w:tabs>
        <w:rPr>
          <w:sz w:val="20"/>
          <w:szCs w:val="20"/>
          <w:color w:val="auto"/>
        </w:rPr>
      </w:pPr>
      <w:r>
        <w:rPr>
          <w:rFonts w:ascii="Times New Roman" w:cs="Times New Roman" w:eastAsia="Times New Roman" w:hAnsi="Times New Roman"/>
          <w:sz w:val="14"/>
          <w:szCs w:val="14"/>
          <w:color w:val="auto"/>
        </w:rPr>
        <w:t>AUSTIN </w:t>
        <w:tab/>
        <w:t>BEIJING </w:t>
        <w:tab/>
        <w:t>BOSTON </w:t>
        <w:tab/>
        <w:t>BOULDER </w:t>
        <w:tab/>
        <w:t>BRUSSELS </w:t>
        <w:tab/>
        <w:t>HONG KONG </w:t>
        <w:tab/>
        <w:t>LONDON </w:t>
        <w:tab/>
        <w:t>LOS ANGELES </w:t>
        <w:tab/>
        <w:t>NEW YORK </w:t>
      </w:r>
      <w:r>
        <w:rPr>
          <w:sz w:val="20"/>
          <w:szCs w:val="20"/>
          <w:color w:val="auto"/>
        </w:rPr>
        <w:tab/>
      </w:r>
      <w:r>
        <w:rPr>
          <w:rFonts w:ascii="Times New Roman" w:cs="Times New Roman" w:eastAsia="Times New Roman" w:hAnsi="Times New Roman"/>
          <w:sz w:val="13"/>
          <w:szCs w:val="13"/>
          <w:color w:val="auto"/>
        </w:rPr>
        <w:t>PALO ALTO</w:t>
      </w:r>
    </w:p>
    <w:p>
      <w:pPr>
        <w:spacing w:after="0" w:line="96" w:lineRule="exact"/>
        <w:rPr>
          <w:sz w:val="24"/>
          <w:szCs w:val="24"/>
          <w:color w:val="auto"/>
        </w:rPr>
      </w:pPr>
    </w:p>
    <w:p>
      <w:pPr>
        <w:jc w:val="center"/>
        <w:ind w:right="-43"/>
        <w:spacing w:after="0"/>
        <w:tabs>
          <w:tab w:leader="none" w:pos="100" w:val="left"/>
          <w:tab w:leader="none" w:pos="80" w:val="left"/>
          <w:tab w:leader="none" w:pos="80" w:val="left"/>
          <w:tab w:leader="none" w:pos="100" w:val="left"/>
          <w:tab w:leader="none" w:pos="80" w:val="left"/>
          <w:tab w:leader="none" w:pos="80" w:val="left"/>
        </w:tabs>
        <w:rPr>
          <w:sz w:val="20"/>
          <w:szCs w:val="20"/>
          <w:color w:val="auto"/>
        </w:rPr>
      </w:pPr>
      <w:r>
        <w:rPr>
          <w:rFonts w:ascii="Times New Roman" w:cs="Times New Roman" w:eastAsia="Times New Roman" w:hAnsi="Times New Roman"/>
          <w:sz w:val="14"/>
          <w:szCs w:val="14"/>
          <w:color w:val="auto"/>
        </w:rPr>
        <w:t>SALT LAKE CITY </w:t>
        <w:tab/>
        <w:t>SAN DIEGO </w:t>
        <w:tab/>
        <w:t>SAN FRANCISCO </w:t>
        <w:tab/>
        <w:t>SEATTLE </w:t>
        <w:tab/>
        <w:t>SHANGHAI </w:t>
        <w:tab/>
        <w:t>WASHINGTON, DC </w:t>
        <w:tab/>
        <w:t>WILMINGTON, DE</w:t>
      </w:r>
    </w:p>
    <w:p>
      <w:pPr>
        <w:sectPr>
          <w:pgSz w:w="11900" w:h="16838" w:orient="portrait"/>
          <w:cols w:equalWidth="0" w:num="1">
            <w:col w:w="10964"/>
          </w:cols>
          <w:pgMar w:left="436" w:top="229" w:right="49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4864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February 14,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2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confirms and acknowledges that the Staff’s decision not to issue additional comments should not be interpreted to mean that the Staff either agrees or disagrees with the Company’s disclosure or responses. Further, the Company acknowledges and confirms that, with respect to the Company’s business operations, and in particular the Bakkt Crypto and Bakkt Marketplace platforms and the crypto assets the Company makes available for trading on those platforms, the Staff’s decision not to issue additional comments does not mean that the Staff either agrees or disagrees with any conclusions the Company has made, positions the Company has taken, or practices the Company has engaged in or may engage in.</w:t>
      </w:r>
    </w:p>
    <w:p>
      <w:pPr>
        <w:spacing w:after="0" w:line="187" w:lineRule="exact"/>
        <w:rPr>
          <w:sz w:val="20"/>
          <w:szCs w:val="20"/>
          <w:color w:val="auto"/>
        </w:rPr>
      </w:pPr>
    </w:p>
    <w:p>
      <w:pPr>
        <w:ind w:left="4" w:right="1160"/>
        <w:spacing w:after="0" w:line="282" w:lineRule="auto"/>
        <w:rPr>
          <w:sz w:val="20"/>
          <w:szCs w:val="20"/>
          <w:color w:val="auto"/>
        </w:rPr>
      </w:pPr>
      <w:r>
        <w:rPr>
          <w:rFonts w:ascii="Times New Roman" w:cs="Times New Roman" w:eastAsia="Times New Roman" w:hAnsi="Times New Roman"/>
          <w:sz w:val="18"/>
          <w:szCs w:val="18"/>
          <w:color w:val="auto"/>
        </w:rPr>
        <w:t>Please direct any questions regarding the Company’s responses or the Registration Statement to J. Matthew Lyons at (512) 338-5411 or mlyons@wsgr.com or Austin D. March at (512) 338-5410 or amarch@wsgr.com.</w:t>
      </w:r>
    </w:p>
    <w:p>
      <w:pPr>
        <w:sectPr>
          <w:pgSz w:w="11900" w:h="16838" w:orient="portrait"/>
          <w:cols w:equalWidth="0" w:num="1">
            <w:col w:w="10904"/>
          </w:cols>
          <w:pgMar w:left="436" w:top="823"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44" w:right="1400" w:hanging="444"/>
        <w:spacing w:after="0" w:line="289" w:lineRule="auto"/>
        <w:tabs>
          <w:tab w:leader="none" w:pos="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Gavin Michael, Bakkt Holdings, Inc. Marc D’Annunzio, Bakkt Holdings, Inc. Paul Simmons, Bakkt Holdings, Inc.</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/s/ Wilson Sonsini Goodrich &amp; Rosati, Professional</w:t>
      </w:r>
    </w:p>
    <w:p>
      <w:pPr>
        <w:spacing w:after="0" w:line="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Corporation</w:t>
      </w:r>
    </w:p>
    <w:p>
      <w:pPr>
        <w:spacing w:after="0" w:line="20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2">
        <w:col w:w="4744" w:space="720"/>
        <w:col w:w="5440"/>
      </w:cols>
      <w:pgMar w:left="436" w:top="823"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2024-03-14T23:11:08Z</dcterms:created>
  <dcterms:modified xsi:type="dcterms:W3CDTF">2024-03-14T23:11:08Z</dcterms:modified>
</cp:coreProperties>
</file>