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Lewis Michael Leroy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85"/>
        <w:spacing w:after="0"/>
        <w:rPr>
          <w:sz w:val="20"/>
          <w:szCs w:val="20"/>
          <w:color w:val="auto"/>
        </w:rPr>
      </w:pPr>
      <w:r>
        <w:rPr>
          <w:rFonts w:ascii="Arial" w:cs="Arial" w:eastAsia="Arial" w:hAnsi="Arial"/>
          <w:sz w:val="17"/>
          <w:szCs w:val="17"/>
          <w:color w:val="0000FF"/>
        </w:rPr>
        <w:t>EVP Engineering &amp; Operations</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87,491</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354,158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Subject to the Reporting Person's continuing employment with the Issuer, the RSU will vest in three equal annual installments on the first three anniversaries of February 1, 2022, provided that the Reporting Person continues to be employed by the Issuer as of each vest date.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354,158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02/17/2022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Leroy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58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4"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2022-02-17T18:23:04Z</dcterms:created>
  <dcterms:modified xsi:type="dcterms:W3CDTF">2022-02-17T18:23:04Z</dcterms:modified>
</cp:coreProperties>
</file>