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Bakkt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05759B107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Andrew J. Surdykowski</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Intercontinental Exchange, Inc., 5660 New Northside Drive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Atlanta, GA, 30328</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770-857-4700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Rory O'Halloran &amp; Cody Wright</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Allen Overy Shearman Sterling US LLP, 599 Lexington Avenue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212-848-4000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11/03/2025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0"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05759B107</w:t>
      </w:r>
    </w:p>
    <w:p>
      <w:pPr>
        <w:sectPr>
          <w:pgSz w:w="11900" w:h="16838" w:orient="portrait"/>
          <w:cols w:equalWidth="0" w:num="1">
            <w:col w:w="11240"/>
          </w:cols>
          <w:pgMar w:left="320" w:top="866" w:right="339" w:bottom="0" w:gutter="0" w:footer="0" w:header="0"/>
          <w:type w:val="continuous"/>
        </w:sectPr>
      </w:pPr>
    </w:p>
    <w:bookmarkStart w:id="1" w:name="page2"/>
    <w:bookmarkEnd w:id="1"/>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INTERCONTINENTAL EXCHANGE,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 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8,380,362.00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8,380,362.00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8,380,362.00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33.6 %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amount listed in Rows 8, 10 and 11 includes (i) 461,360 shares (the "Replacement Warrant Shares") of Class A</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common stock, par value $0.0001 per share ("New Class A Common Stock"), of Bakkt Holdings, Inc. (the "Issuer"),</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underlying the Replacement Warrants (as defined in Item 6 of this Amendment) and (ii) 465,890 shares of Series A</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Non-Voting Convertible Preferred Stock, par value $0.0001 per share ("Convertible Preferred Stock"), of the Issuer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that will automatically convert into shares of New Class A Common Stock upon the upon the expiration or termination</w:t>
      </w:r>
    </w:p>
    <w:p>
      <w:pPr>
        <w:spacing w:after="0" w:line="2" w:lineRule="exact"/>
        <w:rPr>
          <w:sz w:val="20"/>
          <w:szCs w:val="20"/>
          <w:color w:val="auto"/>
        </w:rPr>
      </w:pP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of the waiting period applicable to such conversion under the Hart-Scott-Rodino Antitrust Improvements Act of 1976, as amended. The Reporting Persons will not have the power to vote the Replacement Warrant Shares unless, and to the extent, Intercontinental Exchange Holdings, Inc. ("ICEH"), a wholly owned subsidiary of Intercontinental Exchange, Inc. ("ICE"), exercises its right to acquire Replacement Warrant Shares in accordance with the terms of the Replacement Warrants. The shares of Convertible Preferred Stock will not have voting rights until they are converted into shares of New Class A Common Stock. The percentage calculated in Row 13 is based on a total of 24,038,434 shares of New Class A Common Stock outstanding as of November 3, 2025, based on information provided to the Reporting Persons by the Issuer.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639" w:right="339" w:bottom="0" w:gutter="0" w:footer="0" w:header="0"/>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05759B107</w:t>
      </w:r>
    </w:p>
    <w:p>
      <w:pPr>
        <w:sectPr>
          <w:pgSz w:w="11900" w:h="16838" w:orient="portrait"/>
          <w:cols w:equalWidth="0" w:num="1">
            <w:col w:w="11240"/>
          </w:cols>
          <w:pgMar w:left="320" w:top="639" w:right="33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Intercontinental Exchange Holdings,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 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020" w:type="dxa"/>
            <w:vAlign w:val="bottom"/>
            <w:vMerge w:val="continue"/>
          </w:tcPr>
          <w:p>
            <w:pPr>
              <w:spacing w:after="0"/>
              <w:rPr>
                <w:sz w:val="3"/>
                <w:szCs w:val="3"/>
                <w:color w:val="auto"/>
              </w:rPr>
            </w:pPr>
          </w:p>
        </w:tc>
        <w:tc>
          <w:tcPr>
            <w:tcW w:w="102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8,380,362.00</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20" w:type="dxa"/>
            <w:vAlign w:val="bottom"/>
          </w:tcPr>
          <w:p>
            <w:pPr>
              <w:spacing w:after="0"/>
              <w:rPr>
                <w:sz w:val="3"/>
                <w:szCs w:val="3"/>
                <w:color w:val="auto"/>
              </w:rPr>
            </w:pPr>
          </w:p>
        </w:tc>
        <w:tc>
          <w:tcPr>
            <w:tcW w:w="10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8,380,362.00</w:t>
            </w:r>
          </w:p>
        </w:tc>
        <w:tc>
          <w:tcPr>
            <w:tcW w:w="0" w:type="dxa"/>
            <w:vAlign w:val="bottom"/>
          </w:tcPr>
          <w:p>
            <w:pPr>
              <w:spacing w:after="0"/>
              <w:rPr>
                <w:sz w:val="1"/>
                <w:szCs w:val="1"/>
                <w:color w:val="auto"/>
              </w:rPr>
            </w:pPr>
          </w:p>
        </w:tc>
      </w:tr>
      <w:tr>
        <w:trPr>
          <w:trHeight w:val="338"/>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8,380,362.00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10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33.6 %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The amount listed in Rows 8, 10 and 11 includes (i) 461,360 Replacement Warrant Shares underlying the</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2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w w:val="99"/>
              </w:rPr>
              <w:t>Replacement Warrants and (ii) 465,890 shares of Convertible Preferred Stock. The percentage calculated in Row 13</w:t>
            </w:r>
          </w:p>
        </w:tc>
        <w:tc>
          <w:tcPr>
            <w:tcW w:w="0" w:type="dxa"/>
            <w:vAlign w:val="bottom"/>
          </w:tcPr>
          <w:p>
            <w:pPr>
              <w:spacing w:after="0"/>
              <w:rPr>
                <w:sz w:val="1"/>
                <w:szCs w:val="1"/>
                <w:color w:val="auto"/>
              </w:rPr>
            </w:pPr>
          </w:p>
        </w:tc>
      </w:tr>
      <w:tr>
        <w:trPr>
          <w:trHeight w:val="24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20" w:type="dxa"/>
            <w:vAlign w:val="bottom"/>
          </w:tcPr>
          <w:p>
            <w:pPr>
              <w:ind w:left="40"/>
              <w:spacing w:after="0" w:line="240" w:lineRule="exact"/>
              <w:rPr>
                <w:sz w:val="20"/>
                <w:szCs w:val="20"/>
                <w:color w:val="auto"/>
              </w:rPr>
            </w:pPr>
            <w:r>
              <w:rPr>
                <w:rFonts w:ascii="Times New Roman" w:cs="Times New Roman" w:eastAsia="Times New Roman" w:hAnsi="Times New Roman"/>
                <w:sz w:val="22"/>
                <w:szCs w:val="22"/>
                <w:color w:val="auto"/>
                <w:w w:val="99"/>
              </w:rPr>
              <w:t>is based on a total of 24,038,434 shares of New Class A Common Stock outstanding as of November 3, 2025, based</w:t>
            </w:r>
          </w:p>
        </w:tc>
        <w:tc>
          <w:tcPr>
            <w:tcW w:w="0" w:type="dxa"/>
            <w:vAlign w:val="bottom"/>
          </w:tcPr>
          <w:p>
            <w:pPr>
              <w:spacing w:after="0"/>
              <w:rPr>
                <w:sz w:val="1"/>
                <w:szCs w:val="1"/>
                <w:color w:val="auto"/>
              </w:rPr>
            </w:pPr>
          </w:p>
        </w:tc>
      </w:tr>
      <w:tr>
        <w:trPr>
          <w:trHeight w:val="30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on information provided to the Reporting Persons by the Issuer.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-5433060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Bakkt Holdings,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5900 Windward Parkway, Suite 450, Alpharetta, GEORGIA , 30005.</w:t>
      </w:r>
    </w:p>
    <w:p>
      <w:pPr>
        <w:sectPr>
          <w:pgSz w:w="11900" w:h="16838" w:orient="portrait"/>
          <w:cols w:equalWidth="0" w:num="1">
            <w:col w:w="11240"/>
          </w:cols>
          <w:pgMar w:left="320" w:top="639" w:right="339" w:bottom="0" w:gutter="0" w:footer="0" w:header="0"/>
        </w:sectPr>
      </w:pPr>
    </w:p>
    <w:bookmarkStart w:id="3" w:name="page4"/>
    <w:bookmarkEnd w:id="3"/>
    <w:p>
      <w:pPr>
        <w:spacing w:after="0"/>
        <w:tabs>
          <w:tab w:leader="none" w:pos="94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1"/>
          <w:szCs w:val="21"/>
          <w:color w:val="auto"/>
        </w:rPr>
        <w:t>This Amendment No. 10 (this "Amendment") is being jointly filed on behalf of: (a) Intercontinental Exchange, Inc., a</w:t>
      </w:r>
    </w:p>
    <w:p>
      <w:pPr>
        <w:spacing w:after="0" w:line="18" w:lineRule="exact"/>
        <w:rPr>
          <w:sz w:val="20"/>
          <w:szCs w:val="20"/>
          <w:color w:val="auto"/>
        </w:rPr>
      </w:pPr>
    </w:p>
    <w:p>
      <w:pPr>
        <w:jc w:val="both"/>
        <w:ind w:left="960" w:hanging="951"/>
        <w:spacing w:after="0" w:line="242"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Delaware corporation ("ICE"), and (b) Intercontinental Exchange Holdings, Inc., a Delaware corporation ("ICEH",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and together with ICE, the "Reporting Persons" and each a "Reporting Person"), and amends the Statement on Schedule 13D filed by the Reporting Persons on October 21, 2021 ("Initial Schedule 13D"), as previously amended by (i) Amendment No. 1 to the Initial Schedule 13D filed by the Reporting Persons on May 5, 2022 ("Amendment No. 1"), (ii) Amendment No. 2 to the Initial Schedule 13D filed by the Reporting Persons on April 28, 2023 ("Amendment No. 2"), (iii) Amendment No. 3 to the Initial Schedule 13D filed by the Reporting Persons on March 4, 2024 ("Amendment No. 3"), (iv) Amendment No. 4 to the Initial Schedule 13D filed by the Reporting Persons on April 29, 2024 ("Amendment No. 4"), (v) Amendment No. 5 to the Initial Schedule 13D filed by the Reporting Persons on July 9, 2024 ("Amendment No. 5"), (vi) Amendment No. 6 to the Initial Schedule 13D filed by the Reporting Persons on July 1 and 2, 2025 ("Amendment No. 6"), (vii) Amendment No. 7 to the Initial Schedule 13D filed by the Reporting Persons on July 17, 2025 ("Amendment No. 7"), (viii) Amendment No. 8 to the Initial Schedule 13D filed by the Reporting Persons on July 30, 2025 and (ix) Amendment No. 9 to the Initial Schedule 13D filed by the Reporting Persons on October 20, 2025 ("Amendment No. 9", and the Initial Schedule 13D as so amended, the "Amended Schedule 13D"), which relates to the shares of Class A common stock, par value $0.0001 per share ("New Class A Common Stock"), of Bakkt Holdings, Inc., a Delaware corporation (the "Issuer"), as successor to Bakkt Intermediate Holdings, Inc. (formerly known as Bakkt Holdings, Inc.), a Delaware Corporation (the "Predecessor Issuer"). Information given in response to each item of this Amendment shall be deemed incorporated by reference in all other items, as applicable. Capitalized terms used and not otherwise defined in this Amendment have the same meanings ascribed to them in the Amended Schedule 13D.</w:t>
      </w:r>
    </w:p>
    <w:p>
      <w:pPr>
        <w:spacing w:after="0" w:line="2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120"/>
        <w:spacing w:after="0" w:line="256" w:lineRule="auto"/>
        <w:rPr>
          <w:sz w:val="20"/>
          <w:szCs w:val="20"/>
          <w:color w:val="auto"/>
        </w:rPr>
      </w:pPr>
      <w:r>
        <w:rPr>
          <w:rFonts w:ascii="Times New Roman" w:cs="Times New Roman" w:eastAsia="Times New Roman" w:hAnsi="Times New Roman"/>
          <w:sz w:val="22"/>
          <w:szCs w:val="22"/>
          <w:color w:val="auto"/>
        </w:rPr>
        <w:t>Item 3 of the Amended Schedule 13D is hereby supplemented and amended to add the information contained in Item 6 of this Amendment, which is incorporated herein by reference.</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120"/>
        <w:spacing w:after="0" w:line="256" w:lineRule="auto"/>
        <w:rPr>
          <w:sz w:val="20"/>
          <w:szCs w:val="20"/>
          <w:color w:val="auto"/>
        </w:rPr>
      </w:pPr>
      <w:r>
        <w:rPr>
          <w:rFonts w:ascii="Times New Roman" w:cs="Times New Roman" w:eastAsia="Times New Roman" w:hAnsi="Times New Roman"/>
          <w:sz w:val="22"/>
          <w:szCs w:val="22"/>
          <w:color w:val="auto"/>
        </w:rPr>
        <w:t>Item 4 of the Amended Schedule 13D is hereby supplemented and amended to add the information contained in Item 6 of this Amendment, which is incorporated herein by reference.</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60"/>
        <w:spacing w:after="0" w:line="246" w:lineRule="auto"/>
        <w:rPr>
          <w:sz w:val="20"/>
          <w:szCs w:val="20"/>
          <w:color w:val="auto"/>
        </w:rPr>
      </w:pPr>
      <w:r>
        <w:rPr>
          <w:rFonts w:ascii="Times New Roman" w:cs="Times New Roman" w:eastAsia="Times New Roman" w:hAnsi="Times New Roman"/>
          <w:sz w:val="21"/>
          <w:szCs w:val="21"/>
          <w:color w:val="auto"/>
        </w:rPr>
        <w:t>The percentage of beneficial ownership in this Amendment is based on: (i) with respect to the total amount of securities issued and outstanding, an aggregate of 24,038,434 shares of New Class A Common Stock outstanding as of November 3, 2025, based on information provided to the Reporting Persons by the Issuer, as adjusted pursuant to Rule 13d-3(d)(1)(i) under the Exchange Act to include (A) the 461,360 shares of New Class A Common Stock (the "Replacement Warrant Shares") underlying the Replacement Warrants (as defined in Item 6 of this Amendment) and</w:t>
      </w:r>
    </w:p>
    <w:p>
      <w:pPr>
        <w:spacing w:after="0" w:line="1" w:lineRule="exact"/>
        <w:rPr>
          <w:sz w:val="20"/>
          <w:szCs w:val="20"/>
          <w:color w:val="auto"/>
        </w:rPr>
      </w:pPr>
    </w:p>
    <w:p>
      <w:pPr>
        <w:ind w:left="920" w:right="80"/>
        <w:spacing w:after="0" w:line="241" w:lineRule="auto"/>
        <w:rPr>
          <w:sz w:val="20"/>
          <w:szCs w:val="20"/>
          <w:color w:val="auto"/>
        </w:rPr>
      </w:pPr>
      <w:r>
        <w:rPr>
          <w:rFonts w:ascii="Times New Roman" w:cs="Times New Roman" w:eastAsia="Times New Roman" w:hAnsi="Times New Roman"/>
          <w:sz w:val="21"/>
          <w:szCs w:val="21"/>
          <w:color w:val="auto"/>
        </w:rPr>
        <w:t>(B) 465,890 shares of Convertible Preferred Stock (as defined in Item 6 of this Amendment), and (ii) with respect to the securities beneficially owned by the Reporting Persons, 7,453,112 shares of New Class A Common Stock, 461,360 Replacement Warrant Shares and 465,890 shares of Convertible Preferred Stock beneficially owned by the Reporting Persons as of the date hereof. The aggregate number and percentage of shares of New Class A Common Stock beneficially owned by the Reporting Persons,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this</w:t>
      </w:r>
    </w:p>
    <w:p>
      <w:pPr>
        <w:spacing w:after="0" w:line="3" w:lineRule="exact"/>
        <w:rPr>
          <w:sz w:val="20"/>
          <w:szCs w:val="20"/>
          <w:color w:val="auto"/>
        </w:rPr>
      </w:pPr>
    </w:p>
    <w:p>
      <w:pPr>
        <w:ind w:left="920" w:right="100" w:hanging="912"/>
        <w:spacing w:after="0" w:line="216"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Amendment and are incorporated herein by reference. The Replacement Warrant Shares will not have voting power unless, and to the extent, ICEH exercises its right to acquire Replacement Warrant Shares in accordance with the terms of the Replacement Warrants and such shares become issued and outstanding. The shares of Convertible Preferred Stock will not have voting rights until they are converted into shares of New Class A Common Stock in accordance with their terms, as described in Item 6 of this Amendment. The Reporting Persons expect that the shares of Convertible Preferred Stock will be converted into shares of New Class A Common Stock within 60 days of the date of this Amendment. To the best knowledge of the Reporting Persons, the following persons beneficially own or may be deemed to beneficially own the shares of New Class A Common Stock set forth below: o Hon. Sharon Y. Bowen, Director, ICE, beneficially owns 21,044 shares of New Class A Common Stock. o Thomas E. Noonan, Director, ICE, beneficially owns 529 shares of New Class A Common Stock. o Jeffrey C. Sprecher, Director (Chairman) and Chief Executive Officer, ICE, may be deemed to beneficially own 146,366 shares of New Class A Common Stock, which shares are beneficially owned by his spouse. Mr. Sprecher disclaims beneficial ownership of the shares held by his spouse. The Reporting Persons specifically disclaim beneficial ownership over such shares and units held by the persons listed above.</w:t>
      </w:r>
    </w:p>
    <w:p>
      <w:pPr>
        <w:spacing w:after="0" w:line="27"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5(a) of this Statement is incorporated herein by reference.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6 of this Statement is incorporated herein by reference.</w:t>
      </w:r>
    </w:p>
    <w:p>
      <w:pPr>
        <w:spacing w:after="0" w:line="44" w:lineRule="exact"/>
        <w:rPr>
          <w:rFonts w:ascii="Times New Roman" w:cs="Times New Roman" w:eastAsia="Times New Roman" w:hAnsi="Times New Roman"/>
          <w:sz w:val="22"/>
          <w:szCs w:val="22"/>
          <w:color w:val="auto"/>
        </w:rPr>
      </w:pPr>
    </w:p>
    <w:p>
      <w:pPr>
        <w:ind w:left="920" w:right="26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To the best knowledge of the Reporting Persons, no one other than the Reporting Persons has the right to receive or the power to direct the receipt of dividends from, or the proceeds from the sale of, the securities reported herein.</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40"/>
        <w:spacing w:after="0" w:line="249" w:lineRule="auto"/>
        <w:rPr>
          <w:sz w:val="20"/>
          <w:szCs w:val="20"/>
          <w:color w:val="auto"/>
        </w:rPr>
      </w:pPr>
      <w:r>
        <w:rPr>
          <w:rFonts w:ascii="Times New Roman" w:cs="Times New Roman" w:eastAsia="Times New Roman" w:hAnsi="Times New Roman"/>
          <w:sz w:val="21"/>
          <w:szCs w:val="21"/>
          <w:color w:val="auto"/>
        </w:rPr>
        <w:t>Item 6 of the Amended Schedule 13D is hereby further supplemented and amended to add the following information: Consummation of Up-C Collapse On November 3, 2025, the Issuer and the Predecessor Issuer consummated the Up-C Collapse. As part of the Up-C Collapse, the Predecessor Issuer implemented a holding company reorganization (the "Holding Company Reorganization") pursuant to an Agreement and Plan of Merger (the "Pubco Merger Agreement"), dated as of November 3, 2025, among the Predecessor Issuer, the Issuer and Bakkt Merger Sub 1, Inc., a Delaware corporation and wholly owned subsidiary of the Issuer ("Merger Sub 1"), pursuant to which Merger Sub 1</w:t>
      </w:r>
    </w:p>
    <w:p>
      <w:pPr>
        <w:sectPr>
          <w:pgSz w:w="11900" w:h="16838" w:orient="portrait"/>
          <w:cols w:equalWidth="0" w:num="1">
            <w:col w:w="11160"/>
          </w:cols>
          <w:pgMar w:left="360" w:top="112" w:right="379" w:bottom="0" w:gutter="0" w:footer="0" w:header="0"/>
        </w:sectPr>
      </w:pPr>
    </w:p>
    <w:bookmarkStart w:id="4" w:name="page5"/>
    <w:bookmarkEnd w:id="4"/>
    <w:p>
      <w:pPr>
        <w:spacing w:after="0" w:line="242" w:lineRule="auto"/>
        <w:rPr>
          <w:sz w:val="20"/>
          <w:szCs w:val="20"/>
          <w:color w:val="auto"/>
        </w:rPr>
      </w:pPr>
      <w:r>
        <w:rPr>
          <w:rFonts w:ascii="Times New Roman" w:cs="Times New Roman" w:eastAsia="Times New Roman" w:hAnsi="Times New Roman"/>
          <w:sz w:val="21"/>
          <w:szCs w:val="21"/>
          <w:color w:val="auto"/>
        </w:rPr>
        <w:t>merged with and into the Predecessor Issuer (the "Pubco Merger"), and which resulted in the Issuer becoming the direct parent company of the Predecessor Issuer and replacing the Predecessor Issuer as the public company trading on the New York Stock Exchange. Immediately after the Holding Company Reorganization, as part of the Up-C Collapse, pursuant to an Agreement and Plan of Merger (the "Opco Merger Agreement"), dated as of November 3, 2025, among the Issuer, Bakkt Opco Holdings, LLC, a Delaware limited liability company ("Bakkt Opco"), Bakkt Management LLC, a Delaware limited liability company ("Bakkt Management"), and Bakkt Merger Sub 2, LLC, a Delaware limited liability company and wholly owned subsidiary of the Issuer ("Merger Sub 2"), Merger Sub 2 merged with and into Bakkt Opco (the "Opco Merger"), which resulted in the Issuer directly and indirectly wholly owning Bakkt Opco. In accordance with the Pubco Merger Agreement, (i) each share of Class A common stock, par value $0.0001 per share (the "Class A Common Stock"), of the Predecessor Issuer issued and outstanding immediately prior to the effective time of the Holding Company Reorganization (the "Holding Company Reorganization Effective Time"), including each of the 649,934 shares of Class A Common Stock owned by ICEH, was converted automatically into the right to receive one share of New Class A Common Stock, and (ii) each share of Class V common stock, par value $0.0001 per share (the "Class V Common Stock"), of the Predecessor Issuer issued and outstanding immediately prior to the Holding Company Reorganization Effective Time, including each of the 6,803,178 shares of Class V Common Stock owned by ICEH, was converted automatically into the right to receive one share of Class V common stock, par value $0.0001 per share ("New Class V Common Stock"), of the Issuer. Accordingly, upon consummation of the Holding Company Reorganization, stockholders of the Predecessor Issuer (including ICEH) automatically became stockholders of the Issuer, on a one-for-one basis. In accordance with the terms of the Opco Merger Agreement and the Amended and Restated Exchange Agreement, (i) each outstanding common unit of Bakkt Opco ("Bakkt Opco Common Unit") (excluding any Opco Incentive Unit (as defined below) and any Bakkt Opco Common Unit owned by the Predecessor Issuer), together with one share of New Class V Common Stock paired therewith (a "Paired Interest"), issued and outstanding immediately prior to the effective time of the Opco Merger (the "Opco Merger Effective Time"), including each of the 6,803,178 Paired Interests owned by ICEH, was exchanged for the right to receive one share of New Class A Common Stock, resulting in the elimination of the shares of New Class V Common Stock and the Issuer having only a single class of common stock outstanding (the New Class A Common Stock), (ii) each member's membership unit of Bakkt Management issued and outstanding immediately prior to the Opco Merger Effective Time was exchanged for the corresponding common unit of Bakkt Opco (each such unit, an "Opco Incentive Unit") granted under the Second Amended and Restated Bakkt Equity Incentive Plan, as amended, held by Bakkt Management, together with the share of New Class V Common Stock paired therewith, and (iii) each Opco Incentive Unit, together with the share of New Class V Common Stock paired therewith, issued and outstanding immediately prior to the Opco Merger Effective Time was exchanged for the right to receive one share of New Class A Common Stock. Replacement of Acquired Warrants In connection with the Holding Company Reorganization, (i) each of the Predecessor Issuer's Class 1 Warrants to purchase shares of Class A Common Stock that was outstanding and unexercised prior to the Holding Company Reorganization Effective Time, including two of the four Acquired Warrants issued to ICEH, was exchanged for an equivalent warrant to purchase shares of New Class A Common Stock (the "Replacement Class 1 Warrants") and (ii) each of the Predecessor Issuer's Class 2 Warrants to purchase shares of Class A Common Stock that was outstanding and unexercised prior to the Holding Company Reorganization Effective Time, including the other two of the four Acquired Warrants issued to ICEH, was exchanged for an equivalent warrant to purchase shares of New Class A Common Stock (the "Replacement Class 2 Warrants", and together with the Replacement Class 1 Warrants, the "Replacement Warrants"). The foregoing description of the Replacement Warrants is qualified in its entirety by reference to the descriptions of the Acquired Warrants in Amendment No. 3 and Amendment No. 4 and the full text of the Replacement Warrants, which are filed as Exhibits 99.27, 99.28, 99.29 and 99.30 to the Amended Schedule 13D and incorporated herein by reference. Contribution Agreement Amendment and Convertible Preferred Stock Immediately prior to the consummation of the Up-C Collapse, the Predecessor Issuer, Mr. Naheta, and ICEH entered into an amendment (the "Contribution Agreement Amendment") to the Contribution Agreement pursuant to which they agreed that after ICEH and Mr. Naheta would contribute their rights under the Tax Receivable Agreement to the Issuer in exchange for cash, (i) Mr. Naheta would further contribute such cash payable to Mr. Naheta to the Issuer in exchange for shares of New Class A Common Stock, as contemplated by the Contribution Agreement prior to the Contribution Agreement Amendment, but (ii) ICEH would further contribute such cash payable to ICEH to the Issuer in exchange for shares of Series A Non-Voting Convertible Preferred Stock, par value $0.0001 per share ("Convertible Preferred Stock"), of the Issuer (rather than shares of New Class A Common Stock, as contemplated by the Contribution Agreement prior to the Contribution Agreement Amendment). In connection with the arrangements under the Tax Receivable Agreement and the Contribution Agreement, each as amended, upon the consummation of the Up-C Collapse on November 3, 2025, the Issuer issued 465,890 shares of Convertible Preferred Stock to ICEH, at a price per share equal to $39.34, representing the "Minimum Price" as defined in NYSE Rule 312.04(h), which was offset against the aggregate $18,328,117 cash payment to which ICEH was otherwise entitled under the Tax Receivable Agreement, as amended. Each share of Convertible Preferred Stock is convertible into one share of New Class A Common Stock upon the earlier of (i) the expiration or termination of the waiting period applicable to such conversion under the Hart-Scott-Rodino Antitrust Improvements Act of 1976, as amended (the "HSR Act"), or (ii) a direct transfer of such share to an unaffiliated third party of ICEH. Prior to conversion, shares of Convertible Preferred Stock are entitled to dividends in the same form, and in the same manner, as dividends actually paid (if any) on shares of New Class A Common Stock and are entitled to participate on an as-converted-to-New Class A Common Stock basis in any liquidation, dissolution or winding up of the Issuer or in any consolidation, merger or reorganization of the Issuer into or with any other entity. The number of shares of New Class A Common Stock into which the Convertible Preferred Stock is convertible is subject to customary antidilution adjustments. The Convertible Preferred Stock does not have voting rights. The foregoing descriptions of the Contribution Agreement Amendment and the Convertible Preferred</w:t>
      </w:r>
    </w:p>
    <w:p>
      <w:pPr>
        <w:sectPr>
          <w:pgSz w:w="11900" w:h="16838" w:orient="portrait"/>
          <w:cols w:equalWidth="0" w:num="1">
            <w:col w:w="10200"/>
          </w:cols>
          <w:pgMar w:left="1280" w:top="112" w:right="419" w:bottom="0" w:gutter="0" w:footer="0" w:header="0"/>
        </w:sectPr>
      </w:pPr>
    </w:p>
    <w:bookmarkStart w:id="5" w:name="page6"/>
    <w:bookmarkEnd w:id="5"/>
    <w:p>
      <w:pPr>
        <w:ind w:left="920" w:right="240"/>
        <w:spacing w:after="0" w:line="244" w:lineRule="auto"/>
        <w:rPr>
          <w:sz w:val="20"/>
          <w:szCs w:val="20"/>
          <w:color w:val="auto"/>
        </w:rPr>
      </w:pPr>
      <w:r>
        <w:rPr>
          <w:rFonts w:ascii="Times New Roman" w:cs="Times New Roman" w:eastAsia="Times New Roman" w:hAnsi="Times New Roman"/>
          <w:sz w:val="22"/>
          <w:szCs w:val="22"/>
          <w:color w:val="auto"/>
        </w:rPr>
        <w:t>Stock are qualified in their entirety by reference to the full text of the Contribution Agreement Amendment and the Certificate of Designation for the Convertible Preferred Stock, which are filed as Exhibit 99.31 to the Amended Schedule 13D and incorporated herein by reference.</w:t>
      </w:r>
    </w:p>
    <w:p>
      <w:pPr>
        <w:spacing w:after="0" w:line="1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99.1* Joint Filing Agreement, dated as of October 21, 2021, by and among the Reporting Persons</w:t>
      </w:r>
    </w:p>
    <w:p>
      <w:pPr>
        <w:spacing w:after="0" w:line="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(incorporated by reference to Exhibit 99.1 to the Schedule 13D filed by the Reporting Persons with the SEC on</w:t>
      </w:r>
    </w:p>
    <w:p>
      <w:pPr>
        <w:ind w:left="920"/>
        <w:spacing w:after="0" w:line="230" w:lineRule="auto"/>
        <w:rPr>
          <w:sz w:val="20"/>
          <w:szCs w:val="20"/>
          <w:color w:val="auto"/>
        </w:rPr>
      </w:pPr>
      <w:r>
        <w:rPr>
          <w:rFonts w:ascii="Times New Roman" w:cs="Times New Roman" w:eastAsia="Times New Roman" w:hAnsi="Times New Roman"/>
          <w:sz w:val="22"/>
          <w:szCs w:val="22"/>
          <w:color w:val="auto"/>
        </w:rPr>
        <w:t>October 21, 2021). https://www.sec.gov/Archives/edgar/data/1571949/000119312521304172/d367825dex991.htm</w:t>
      </w:r>
    </w:p>
    <w:p>
      <w:pPr>
        <w:ind w:left="920"/>
        <w:spacing w:after="0" w:line="231" w:lineRule="auto"/>
        <w:rPr>
          <w:sz w:val="20"/>
          <w:szCs w:val="20"/>
          <w:color w:val="auto"/>
        </w:rPr>
      </w:pPr>
      <w:r>
        <w:rPr>
          <w:rFonts w:ascii="Times New Roman" w:cs="Times New Roman" w:eastAsia="Times New Roman" w:hAnsi="Times New Roman"/>
          <w:sz w:val="22"/>
          <w:szCs w:val="22"/>
          <w:color w:val="auto"/>
        </w:rPr>
        <w:t>Exhibit 99.2 Agreement and Plan of Merger (incorporated by reference to Exhibit 2.1 to the Issuer's Current Report</w:t>
      </w:r>
    </w:p>
    <w:p>
      <w:pPr>
        <w:ind w:left="920"/>
        <w:spacing w:after="0" w:line="230" w:lineRule="auto"/>
        <w:rPr>
          <w:sz w:val="20"/>
          <w:szCs w:val="20"/>
          <w:color w:val="auto"/>
        </w:rPr>
      </w:pPr>
      <w:r>
        <w:rPr>
          <w:rFonts w:ascii="Times New Roman" w:cs="Times New Roman" w:eastAsia="Times New Roman" w:hAnsi="Times New Roman"/>
          <w:sz w:val="22"/>
          <w:szCs w:val="22"/>
          <w:color w:val="auto"/>
        </w:rPr>
        <w:t>on Form 8-K filed on January 11, 2021).</w:t>
      </w:r>
    </w:p>
    <w:p>
      <w:pPr>
        <w:ind w:left="92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https://www.sec.gov/Archives/edgar/data/1820302/000119312521005832/d913171dex21.htm Exhibit 99.3</w:t>
      </w:r>
    </w:p>
    <w:p>
      <w:pPr>
        <w:ind w:left="920"/>
        <w:spacing w:after="0"/>
        <w:rPr>
          <w:sz w:val="20"/>
          <w:szCs w:val="20"/>
          <w:color w:val="auto"/>
        </w:rPr>
      </w:pPr>
      <w:r>
        <w:rPr>
          <w:rFonts w:ascii="Times New Roman" w:cs="Times New Roman" w:eastAsia="Times New Roman" w:hAnsi="Times New Roman"/>
          <w:sz w:val="21"/>
          <w:szCs w:val="21"/>
          <w:color w:val="auto"/>
        </w:rPr>
        <w:t>Amendment to Agreement and Plan of Merger (incorporated by reference to Exhibit 2.1 to the Issuer's Current Report</w:t>
      </w:r>
    </w:p>
    <w:p>
      <w:pPr>
        <w:ind w:left="920"/>
        <w:spacing w:after="0" w:line="231" w:lineRule="auto"/>
        <w:rPr>
          <w:sz w:val="20"/>
          <w:szCs w:val="20"/>
          <w:color w:val="auto"/>
        </w:rPr>
      </w:pPr>
      <w:r>
        <w:rPr>
          <w:rFonts w:ascii="Times New Roman" w:cs="Times New Roman" w:eastAsia="Times New Roman" w:hAnsi="Times New Roman"/>
          <w:sz w:val="22"/>
          <w:szCs w:val="22"/>
          <w:color w:val="auto"/>
        </w:rPr>
        <w:t>on Form 8-K filed on March 31, 2021).</w:t>
      </w:r>
    </w:p>
    <w:p>
      <w:pPr>
        <w:ind w:left="92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https://www.sec.gov/Archives/edgar/data/1820302/000119312521101249/d107545dex21.htm Exhibit 99.4</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Amendment to Agreement and Plan of Merger (incorporated by reference to Exhibit 2.1 to the Issuer's Current Report</w:t>
      </w:r>
    </w:p>
    <w:p>
      <w:pPr>
        <w:ind w:left="920"/>
        <w:spacing w:after="0" w:line="231" w:lineRule="auto"/>
        <w:rPr>
          <w:sz w:val="20"/>
          <w:szCs w:val="20"/>
          <w:color w:val="auto"/>
        </w:rPr>
      </w:pPr>
      <w:r>
        <w:rPr>
          <w:rFonts w:ascii="Times New Roman" w:cs="Times New Roman" w:eastAsia="Times New Roman" w:hAnsi="Times New Roman"/>
          <w:sz w:val="22"/>
          <w:szCs w:val="22"/>
          <w:color w:val="auto"/>
        </w:rPr>
        <w:t>on Form 8-K filed on September 30, 2021).</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https://www.sec.gov/Archives/edgar/data/1820302/000119312521286927/d204551dex21.htm Exhibit 99.5 Certificate</w:t>
      </w:r>
    </w:p>
    <w:p>
      <w:pPr>
        <w:ind w:left="920"/>
        <w:spacing w:after="0" w:line="231" w:lineRule="auto"/>
        <w:rPr>
          <w:sz w:val="20"/>
          <w:szCs w:val="20"/>
          <w:color w:val="auto"/>
        </w:rPr>
      </w:pPr>
      <w:r>
        <w:rPr>
          <w:rFonts w:ascii="Times New Roman" w:cs="Times New Roman" w:eastAsia="Times New Roman" w:hAnsi="Times New Roman"/>
          <w:sz w:val="22"/>
          <w:szCs w:val="22"/>
          <w:color w:val="auto"/>
        </w:rPr>
        <w:t>of Incorporation of the Issuer (incorporated by reference to Exhibit 3.1 to the Issuer's Current Report on Form 8-K</w:t>
      </w:r>
    </w:p>
    <w:p>
      <w:pPr>
        <w:ind w:left="920"/>
        <w:spacing w:after="0" w:line="231" w:lineRule="auto"/>
        <w:rPr>
          <w:sz w:val="20"/>
          <w:szCs w:val="20"/>
          <w:color w:val="auto"/>
        </w:rPr>
      </w:pPr>
      <w:r>
        <w:rPr>
          <w:rFonts w:ascii="Times New Roman" w:cs="Times New Roman" w:eastAsia="Times New Roman" w:hAnsi="Times New Roman"/>
          <w:sz w:val="22"/>
          <w:szCs w:val="22"/>
          <w:color w:val="auto"/>
        </w:rPr>
        <w:t>filed on October 21, 2021).</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https://www.sec.gov/Archives/edgar/data/1820302/000119312521303985/d219325dex31.htm Exhibit 99.6 Exchange</w:t>
      </w:r>
    </w:p>
    <w:p>
      <w:pPr>
        <w:ind w:left="920"/>
        <w:spacing w:after="0" w:line="231" w:lineRule="auto"/>
        <w:rPr>
          <w:sz w:val="20"/>
          <w:szCs w:val="20"/>
          <w:color w:val="auto"/>
        </w:rPr>
      </w:pPr>
      <w:r>
        <w:rPr>
          <w:rFonts w:ascii="Times New Roman" w:cs="Times New Roman" w:eastAsia="Times New Roman" w:hAnsi="Times New Roman"/>
          <w:sz w:val="22"/>
          <w:szCs w:val="22"/>
          <w:color w:val="auto"/>
        </w:rPr>
        <w:t>Agreement (incorporated by reference to Exhibit 10.4 to the Issuer's Current Report on Form 8-K filed on October</w:t>
      </w:r>
    </w:p>
    <w:p>
      <w:pPr>
        <w:spacing w:after="0" w:line="1" w:lineRule="exact"/>
        <w:rPr>
          <w:sz w:val="20"/>
          <w:szCs w:val="20"/>
          <w:color w:val="auto"/>
        </w:rPr>
      </w:pPr>
    </w:p>
    <w:p>
      <w:pPr>
        <w:ind w:left="920" w:right="160"/>
        <w:spacing w:after="0" w:line="241" w:lineRule="auto"/>
        <w:rPr>
          <w:sz w:val="20"/>
          <w:szCs w:val="20"/>
          <w:color w:val="auto"/>
        </w:rPr>
      </w:pPr>
      <w:r>
        <w:rPr>
          <w:rFonts w:ascii="Times New Roman" w:cs="Times New Roman" w:eastAsia="Times New Roman" w:hAnsi="Times New Roman"/>
          <w:sz w:val="21"/>
          <w:szCs w:val="21"/>
          <w:color w:val="auto"/>
        </w:rPr>
        <w:t>21, 2021). https://www.sec.gov/Archives/edgar/data/1820302/000119312521303985/d219325dex104.htm Exhibit 99.7 Amended and Restated Limited Liability Company Agreement (incorporated by reference to Exhibit 4.3 to the Issuer's Current Report on Form 8-K filed on October 21, 2021). https://www.sec.gov/Archives/edgar/data/1820302/000119312521303985/d219325dex43.htm Exhibit 99.8 Voting Agreement (incorporated by reference to Exhibit 10.3 to the Issuer's Current Report on Form 8-K filed on October 21, 2021). https://www.sec.gov/Archives/edgar/data/1820302/000119312521303985/d219325dex103.htm Exhibit 99.9 Stockholders Agreement (incorporated by reference to Exhibit 10.2 to the Issuer's Current Report on Form 8-K</w:t>
      </w:r>
    </w:p>
    <w:p>
      <w:pPr>
        <w:ind w:left="920"/>
        <w:spacing w:after="0" w:line="233" w:lineRule="auto"/>
        <w:rPr>
          <w:sz w:val="20"/>
          <w:szCs w:val="20"/>
          <w:color w:val="auto"/>
        </w:rPr>
      </w:pPr>
      <w:r>
        <w:rPr>
          <w:rFonts w:ascii="Times New Roman" w:cs="Times New Roman" w:eastAsia="Times New Roman" w:hAnsi="Times New Roman"/>
          <w:sz w:val="22"/>
          <w:szCs w:val="22"/>
          <w:color w:val="auto"/>
        </w:rPr>
        <w:t>filed on October 21, 2021).</w:t>
      </w:r>
    </w:p>
    <w:p>
      <w:pPr>
        <w:ind w:left="92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https://www.sec.gov/Archives/edgar/data/1820302/000119312521303985/d219325dex102.htm Exhibit 99.10</w:t>
      </w:r>
    </w:p>
    <w:p>
      <w:pPr>
        <w:ind w:left="920"/>
        <w:spacing w:after="0"/>
        <w:rPr>
          <w:sz w:val="20"/>
          <w:szCs w:val="20"/>
          <w:color w:val="auto"/>
        </w:rPr>
      </w:pPr>
      <w:r>
        <w:rPr>
          <w:rFonts w:ascii="Times New Roman" w:cs="Times New Roman" w:eastAsia="Times New Roman" w:hAnsi="Times New Roman"/>
          <w:sz w:val="21"/>
          <w:szCs w:val="21"/>
          <w:color w:val="auto"/>
        </w:rPr>
        <w:t>Registration Rights Agreement (incorporated by reference to Exhibit 10.1 to the Issuer's Current Report on Form 8-K</w:t>
      </w:r>
    </w:p>
    <w:p>
      <w:pPr>
        <w:ind w:left="920"/>
        <w:spacing w:after="0" w:line="231" w:lineRule="auto"/>
        <w:rPr>
          <w:sz w:val="20"/>
          <w:szCs w:val="20"/>
          <w:color w:val="auto"/>
        </w:rPr>
      </w:pPr>
      <w:r>
        <w:rPr>
          <w:rFonts w:ascii="Times New Roman" w:cs="Times New Roman" w:eastAsia="Times New Roman" w:hAnsi="Times New Roman"/>
          <w:sz w:val="22"/>
          <w:szCs w:val="22"/>
          <w:color w:val="auto"/>
        </w:rPr>
        <w:t>filed on October 21, 2021).</w:t>
      </w:r>
    </w:p>
    <w:p>
      <w:pPr>
        <w:ind w:left="92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https://www.sec.gov/Archives/edgar/data/1820302/000119312521303985/d219325dex101.htm Exhibit 99.11 Tax</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Receivable Agreement (incorporated by reference to Exhibit 10.5 to the Issuer's Current Report on Form 8-K filed on</w:t>
      </w:r>
    </w:p>
    <w:p>
      <w:pPr>
        <w:ind w:left="920"/>
        <w:spacing w:after="0" w:line="231" w:lineRule="auto"/>
        <w:rPr>
          <w:sz w:val="20"/>
          <w:szCs w:val="20"/>
          <w:color w:val="auto"/>
        </w:rPr>
      </w:pPr>
      <w:r>
        <w:rPr>
          <w:rFonts w:ascii="Times New Roman" w:cs="Times New Roman" w:eastAsia="Times New Roman" w:hAnsi="Times New Roman"/>
          <w:sz w:val="22"/>
          <w:szCs w:val="22"/>
          <w:color w:val="auto"/>
        </w:rPr>
        <w:t>October 21, 2021). https://www.sec.gov/Archives/edgar/data/1820302/000119312521303985/d219325dex105.htm</w:t>
      </w:r>
    </w:p>
    <w:p>
      <w:pPr>
        <w:ind w:left="920"/>
        <w:spacing w:after="0" w:line="231" w:lineRule="auto"/>
        <w:rPr>
          <w:sz w:val="20"/>
          <w:szCs w:val="20"/>
          <w:color w:val="auto"/>
        </w:rPr>
      </w:pPr>
      <w:r>
        <w:rPr>
          <w:rFonts w:ascii="Times New Roman" w:cs="Times New Roman" w:eastAsia="Times New Roman" w:hAnsi="Times New Roman"/>
          <w:sz w:val="22"/>
          <w:szCs w:val="22"/>
          <w:color w:val="auto"/>
        </w:rPr>
        <w:t>Exhibit 99.12* Amended and Restated Subscription Agreement (incorporated by reference to Exhibit 99.12 to the</w:t>
      </w:r>
    </w:p>
    <w:p>
      <w:pPr>
        <w:ind w:left="920"/>
        <w:spacing w:after="0" w:line="231" w:lineRule="auto"/>
        <w:rPr>
          <w:sz w:val="20"/>
          <w:szCs w:val="20"/>
          <w:color w:val="auto"/>
        </w:rPr>
      </w:pPr>
      <w:r>
        <w:rPr>
          <w:rFonts w:ascii="Times New Roman" w:cs="Times New Roman" w:eastAsia="Times New Roman" w:hAnsi="Times New Roman"/>
          <w:sz w:val="22"/>
          <w:szCs w:val="22"/>
          <w:color w:val="auto"/>
        </w:rPr>
        <w:t>Schedule 13D filed by the Reporting Persons with the SEC on October 21, 2021).</w:t>
      </w:r>
    </w:p>
    <w:p>
      <w:pPr>
        <w:ind w:left="920"/>
        <w:spacing w:after="0" w:line="230" w:lineRule="auto"/>
        <w:rPr>
          <w:sz w:val="20"/>
          <w:szCs w:val="20"/>
          <w:color w:val="auto"/>
        </w:rPr>
      </w:pPr>
      <w:r>
        <w:rPr>
          <w:rFonts w:ascii="Times New Roman" w:cs="Times New Roman" w:eastAsia="Times New Roman" w:hAnsi="Times New Roman"/>
          <w:sz w:val="22"/>
          <w:szCs w:val="22"/>
          <w:color w:val="auto"/>
        </w:rPr>
        <w:t>https://www.sec.gov/Archives/edgar/data/1571949/000119312521304172/d367825dex9912.htm Exhibit 99.13</w:t>
      </w:r>
    </w:p>
    <w:p>
      <w:pPr>
        <w:ind w:left="920"/>
        <w:spacing w:after="0" w:line="231" w:lineRule="auto"/>
        <w:rPr>
          <w:sz w:val="20"/>
          <w:szCs w:val="20"/>
          <w:color w:val="auto"/>
        </w:rPr>
      </w:pPr>
      <w:r>
        <w:rPr>
          <w:rFonts w:ascii="Times New Roman" w:cs="Times New Roman" w:eastAsia="Times New Roman" w:hAnsi="Times New Roman"/>
          <w:sz w:val="22"/>
          <w:szCs w:val="22"/>
          <w:color w:val="auto"/>
        </w:rPr>
        <w:t>Cooperation Agreement (incorporated by reference to Exhibit 10.6 to the Issuer's Current Report on Form 8-K filed</w:t>
      </w:r>
    </w:p>
    <w:p>
      <w:pPr>
        <w:ind w:left="920"/>
        <w:spacing w:after="0"/>
        <w:rPr>
          <w:sz w:val="20"/>
          <w:szCs w:val="20"/>
          <w:color w:val="auto"/>
        </w:rPr>
      </w:pPr>
      <w:r>
        <w:rPr>
          <w:rFonts w:ascii="Times New Roman" w:cs="Times New Roman" w:eastAsia="Times New Roman" w:hAnsi="Times New Roman"/>
          <w:sz w:val="21"/>
          <w:szCs w:val="21"/>
          <w:color w:val="auto"/>
        </w:rPr>
        <w:t>on October 21, 2021). https://www.sec.gov/Archives/edgar/data/1820302/000119312521303985/d219325dex106.htm</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Exhibit 99.14 Amended and Restated Exchange Agreement (incorporated by reference to Exhibit 10.1 to the Issuer's</w:t>
      </w:r>
    </w:p>
    <w:p>
      <w:pPr>
        <w:ind w:left="920"/>
        <w:spacing w:after="0" w:line="231" w:lineRule="auto"/>
        <w:rPr>
          <w:sz w:val="20"/>
          <w:szCs w:val="20"/>
          <w:color w:val="auto"/>
        </w:rPr>
      </w:pPr>
      <w:r>
        <w:rPr>
          <w:rFonts w:ascii="Times New Roman" w:cs="Times New Roman" w:eastAsia="Times New Roman" w:hAnsi="Times New Roman"/>
          <w:sz w:val="22"/>
          <w:szCs w:val="22"/>
          <w:color w:val="auto"/>
        </w:rPr>
        <w:t>Current Report on Form 8-K filed on May 4, 2022).</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https://www.sec.gov/Archives/edgar/data/1820302/000182030222000015/a101amendedandrestatedexch.htm Exhibit</w:t>
      </w:r>
    </w:p>
    <w:p>
      <w:pPr>
        <w:ind w:left="920"/>
        <w:spacing w:after="0" w:line="231" w:lineRule="auto"/>
        <w:rPr>
          <w:sz w:val="20"/>
          <w:szCs w:val="20"/>
          <w:color w:val="auto"/>
        </w:rPr>
      </w:pPr>
      <w:r>
        <w:rPr>
          <w:rFonts w:ascii="Times New Roman" w:cs="Times New Roman" w:eastAsia="Times New Roman" w:hAnsi="Times New Roman"/>
          <w:sz w:val="22"/>
          <w:szCs w:val="22"/>
          <w:color w:val="auto"/>
        </w:rPr>
        <w:t>99.15* Securities Purchase Agreement (incorporated by reference to Exhibit 99.15 to the Schedule 13D/A filed by</w:t>
      </w:r>
    </w:p>
    <w:p>
      <w:pPr>
        <w:ind w:left="920"/>
        <w:spacing w:after="0" w:line="231" w:lineRule="auto"/>
        <w:rPr>
          <w:sz w:val="20"/>
          <w:szCs w:val="20"/>
          <w:color w:val="auto"/>
        </w:rPr>
      </w:pPr>
      <w:r>
        <w:rPr>
          <w:rFonts w:ascii="Times New Roman" w:cs="Times New Roman" w:eastAsia="Times New Roman" w:hAnsi="Times New Roman"/>
          <w:sz w:val="22"/>
          <w:szCs w:val="22"/>
          <w:color w:val="auto"/>
        </w:rPr>
        <w:t>the Reporting Persons with the SEC on March 4, 2024).</w:t>
      </w:r>
    </w:p>
    <w:p>
      <w:pPr>
        <w:ind w:left="92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https://www.sec.gov/Archives/edgar/data/1571949/000094787124000253/ss3098627_ex9915.htm Exhibit 99.16*</w:t>
      </w:r>
    </w:p>
    <w:p>
      <w:pPr>
        <w:ind w:left="920"/>
        <w:spacing w:after="0"/>
        <w:rPr>
          <w:sz w:val="20"/>
          <w:szCs w:val="20"/>
          <w:color w:val="auto"/>
        </w:rPr>
      </w:pPr>
      <w:r>
        <w:rPr>
          <w:rFonts w:ascii="Times New Roman" w:cs="Times New Roman" w:eastAsia="Times New Roman" w:hAnsi="Times New Roman"/>
          <w:sz w:val="21"/>
          <w:szCs w:val="21"/>
          <w:color w:val="auto"/>
        </w:rPr>
        <w:t>Voting Support Agreement (incorporated by reference to Exhibit 99.16 to the Schedule 13D/A filed by the Reporting</w:t>
      </w:r>
    </w:p>
    <w:p>
      <w:pPr>
        <w:ind w:left="920"/>
        <w:spacing w:after="0" w:line="231" w:lineRule="auto"/>
        <w:rPr>
          <w:sz w:val="20"/>
          <w:szCs w:val="20"/>
          <w:color w:val="auto"/>
        </w:rPr>
      </w:pPr>
      <w:r>
        <w:rPr>
          <w:rFonts w:ascii="Times New Roman" w:cs="Times New Roman" w:eastAsia="Times New Roman" w:hAnsi="Times New Roman"/>
          <w:sz w:val="22"/>
          <w:szCs w:val="22"/>
          <w:color w:val="auto"/>
        </w:rPr>
        <w:t>Persons with the SEC on March 4, 2024).</w:t>
      </w:r>
    </w:p>
    <w:p>
      <w:pPr>
        <w:ind w:left="92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https://www.sec.gov/Archives/edgar/data/1571949/000094787124000253/ss3098627_ex9916.htm Exhibit 99.17*</w:t>
      </w:r>
    </w:p>
    <w:p>
      <w:pPr>
        <w:ind w:left="920"/>
        <w:spacing w:after="0" w:line="231" w:lineRule="auto"/>
        <w:rPr>
          <w:sz w:val="20"/>
          <w:szCs w:val="20"/>
          <w:color w:val="auto"/>
        </w:rPr>
      </w:pPr>
      <w:r>
        <w:rPr>
          <w:rFonts w:ascii="Times New Roman" w:cs="Times New Roman" w:eastAsia="Times New Roman" w:hAnsi="Times New Roman"/>
          <w:sz w:val="22"/>
          <w:szCs w:val="22"/>
          <w:color w:val="auto"/>
        </w:rPr>
        <w:t>Class 1 Warrant issued by the Issuer on March 4, 2024 (incorporated by reference to Exhibit 99.17 to the Schedule</w:t>
      </w:r>
    </w:p>
    <w:p>
      <w:pPr>
        <w:ind w:left="920"/>
        <w:spacing w:after="0" w:line="230" w:lineRule="auto"/>
        <w:rPr>
          <w:sz w:val="20"/>
          <w:szCs w:val="20"/>
          <w:color w:val="auto"/>
        </w:rPr>
      </w:pPr>
      <w:r>
        <w:rPr>
          <w:rFonts w:ascii="Times New Roman" w:cs="Times New Roman" w:eastAsia="Times New Roman" w:hAnsi="Times New Roman"/>
          <w:sz w:val="22"/>
          <w:szCs w:val="22"/>
          <w:color w:val="auto"/>
        </w:rPr>
        <w:t>13D/A filed by the Reporting Persons with the SEC on March 4, 2024).</w:t>
      </w:r>
    </w:p>
    <w:p>
      <w:pPr>
        <w:ind w:left="92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https://www.sec.gov/Archives/edgar/data/1571949/000094787124000253/ss3098627_ex9917.htm Exhibit 99.18*</w:t>
      </w:r>
    </w:p>
    <w:p>
      <w:pPr>
        <w:ind w:left="920"/>
        <w:spacing w:after="0" w:line="230" w:lineRule="auto"/>
        <w:rPr>
          <w:sz w:val="20"/>
          <w:szCs w:val="20"/>
          <w:color w:val="auto"/>
        </w:rPr>
      </w:pPr>
      <w:r>
        <w:rPr>
          <w:rFonts w:ascii="Times New Roman" w:cs="Times New Roman" w:eastAsia="Times New Roman" w:hAnsi="Times New Roman"/>
          <w:sz w:val="22"/>
          <w:szCs w:val="22"/>
          <w:color w:val="auto"/>
        </w:rPr>
        <w:t>Class 2 Warrant issued by the Issuer on March 4, 2024 (incorporated by reference to Exhibit 99.18 to the Schedule</w:t>
      </w:r>
    </w:p>
    <w:p>
      <w:pPr>
        <w:ind w:left="920"/>
        <w:spacing w:after="0" w:line="231" w:lineRule="auto"/>
        <w:rPr>
          <w:sz w:val="20"/>
          <w:szCs w:val="20"/>
          <w:color w:val="auto"/>
        </w:rPr>
      </w:pPr>
      <w:r>
        <w:rPr>
          <w:rFonts w:ascii="Times New Roman" w:cs="Times New Roman" w:eastAsia="Times New Roman" w:hAnsi="Times New Roman"/>
          <w:sz w:val="22"/>
          <w:szCs w:val="22"/>
          <w:color w:val="auto"/>
        </w:rPr>
        <w:t>13D/A filed by the Reporting Persons with the SEC on March 4, 2024).</w:t>
      </w:r>
    </w:p>
    <w:p>
      <w:pPr>
        <w:ind w:left="920"/>
        <w:spacing w:after="0" w:line="230" w:lineRule="auto"/>
        <w:rPr>
          <w:sz w:val="20"/>
          <w:szCs w:val="20"/>
          <w:color w:val="auto"/>
        </w:rPr>
      </w:pPr>
      <w:r>
        <w:rPr>
          <w:rFonts w:ascii="Times New Roman" w:cs="Times New Roman" w:eastAsia="Times New Roman" w:hAnsi="Times New Roman"/>
          <w:sz w:val="22"/>
          <w:szCs w:val="22"/>
          <w:color w:val="auto"/>
        </w:rPr>
        <w:t>https://www.sec.gov/Archives/edgar/data/1571949/000094787124000253/ss3098627_ex9918.htm Exhibit 99.19*</w:t>
      </w:r>
    </w:p>
    <w:p>
      <w:pPr>
        <w:ind w:left="920"/>
        <w:spacing w:after="0" w:line="231" w:lineRule="auto"/>
        <w:rPr>
          <w:sz w:val="20"/>
          <w:szCs w:val="20"/>
          <w:color w:val="auto"/>
        </w:rPr>
      </w:pPr>
      <w:r>
        <w:rPr>
          <w:rFonts w:ascii="Times New Roman" w:cs="Times New Roman" w:eastAsia="Times New Roman" w:hAnsi="Times New Roman"/>
          <w:sz w:val="22"/>
          <w:szCs w:val="22"/>
          <w:color w:val="auto"/>
        </w:rPr>
        <w:t>Class 1 Warrant issued by the Issuer on April 25, 2024 (incorporated by reference to Exhibit 99.19 to the Schedule</w:t>
      </w:r>
    </w:p>
    <w:p>
      <w:pPr>
        <w:ind w:left="920"/>
        <w:spacing w:after="0" w:line="230" w:lineRule="auto"/>
        <w:rPr>
          <w:sz w:val="20"/>
          <w:szCs w:val="20"/>
          <w:color w:val="auto"/>
        </w:rPr>
      </w:pPr>
      <w:r>
        <w:rPr>
          <w:rFonts w:ascii="Times New Roman" w:cs="Times New Roman" w:eastAsia="Times New Roman" w:hAnsi="Times New Roman"/>
          <w:sz w:val="22"/>
          <w:szCs w:val="22"/>
          <w:color w:val="auto"/>
        </w:rPr>
        <w:t>13D/A filed by the Reporting Persons with the SEC on April 29, 2024).</w:t>
      </w:r>
    </w:p>
    <w:p>
      <w:pPr>
        <w:ind w:left="92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https://www.sec.gov/Archives/edgar/data/1820302/000094787124000420/ss3319225_ex9919.htm Exhibit 99.20*</w:t>
      </w:r>
    </w:p>
    <w:p>
      <w:pPr>
        <w:ind w:left="920"/>
        <w:spacing w:after="0" w:line="230" w:lineRule="auto"/>
        <w:rPr>
          <w:sz w:val="20"/>
          <w:szCs w:val="20"/>
          <w:color w:val="auto"/>
        </w:rPr>
      </w:pPr>
      <w:r>
        <w:rPr>
          <w:rFonts w:ascii="Times New Roman" w:cs="Times New Roman" w:eastAsia="Times New Roman" w:hAnsi="Times New Roman"/>
          <w:sz w:val="22"/>
          <w:szCs w:val="22"/>
          <w:color w:val="auto"/>
        </w:rPr>
        <w:t>Class 2 Warrant issued by the Issuer on April 25, 2024 (incorporated by reference to Exhibit 99.20 to the Schedule</w:t>
      </w:r>
    </w:p>
    <w:p>
      <w:pPr>
        <w:ind w:left="920"/>
        <w:spacing w:after="0" w:line="231" w:lineRule="auto"/>
        <w:rPr>
          <w:sz w:val="20"/>
          <w:szCs w:val="20"/>
          <w:color w:val="auto"/>
        </w:rPr>
      </w:pPr>
      <w:r>
        <w:rPr>
          <w:rFonts w:ascii="Times New Roman" w:cs="Times New Roman" w:eastAsia="Times New Roman" w:hAnsi="Times New Roman"/>
          <w:sz w:val="22"/>
          <w:szCs w:val="22"/>
          <w:color w:val="auto"/>
        </w:rPr>
        <w:t>13D/A filed by the Reporting Persons with the SEC on April 29, 2024).</w:t>
      </w:r>
    </w:p>
    <w:p>
      <w:pPr>
        <w:ind w:left="920"/>
        <w:spacing w:after="0"/>
        <w:rPr>
          <w:sz w:val="20"/>
          <w:szCs w:val="20"/>
          <w:color w:val="auto"/>
        </w:rPr>
      </w:pPr>
      <w:r>
        <w:rPr>
          <w:rFonts w:ascii="Times New Roman" w:cs="Times New Roman" w:eastAsia="Times New Roman" w:hAnsi="Times New Roman"/>
          <w:sz w:val="21"/>
          <w:szCs w:val="21"/>
          <w:color w:val="auto"/>
        </w:rPr>
        <w:t>https://www.sec.gov/Archives/edgar/data/1820302/000094787124000420/ss3319225_ex9920.htm Exhibit 99.21 First</w:t>
      </w:r>
    </w:p>
    <w:p>
      <w:pPr>
        <w:ind w:left="920"/>
        <w:spacing w:after="0" w:line="231" w:lineRule="auto"/>
        <w:rPr>
          <w:sz w:val="20"/>
          <w:szCs w:val="20"/>
          <w:color w:val="auto"/>
        </w:rPr>
      </w:pPr>
      <w:r>
        <w:rPr>
          <w:rFonts w:ascii="Times New Roman" w:cs="Times New Roman" w:eastAsia="Times New Roman" w:hAnsi="Times New Roman"/>
          <w:sz w:val="22"/>
          <w:szCs w:val="22"/>
          <w:color w:val="auto"/>
        </w:rPr>
        <w:t>Amendment to the Third Amended and Restated Limited Liability Company Agreement (incorporated by reference</w:t>
      </w:r>
    </w:p>
    <w:p>
      <w:pPr>
        <w:ind w:left="920"/>
        <w:spacing w:after="0" w:line="231" w:lineRule="auto"/>
        <w:rPr>
          <w:sz w:val="20"/>
          <w:szCs w:val="20"/>
          <w:color w:val="auto"/>
        </w:rPr>
      </w:pPr>
      <w:r>
        <w:rPr>
          <w:rFonts w:ascii="Times New Roman" w:cs="Times New Roman" w:eastAsia="Times New Roman" w:hAnsi="Times New Roman"/>
          <w:sz w:val="22"/>
          <w:szCs w:val="22"/>
          <w:color w:val="auto"/>
        </w:rPr>
        <w:t>to Exhibit 4.1 to the Issuer's Current Report on Form 8-K filed on April 29, 2024).</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https://www.sec.gov/Archives/edgar/data/1820302/000182030224000080/ex41firstamendmentto3rdame.htm Exhibit</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99.22* Share Increase Voting Support Agreement (incorporated by reference to Exhibit 99.22 to the Schedule 13D/A</w:t>
      </w:r>
    </w:p>
    <w:p>
      <w:pPr>
        <w:ind w:left="920"/>
        <w:spacing w:after="0" w:line="231" w:lineRule="auto"/>
        <w:rPr>
          <w:sz w:val="20"/>
          <w:szCs w:val="20"/>
          <w:color w:val="auto"/>
        </w:rPr>
      </w:pPr>
      <w:r>
        <w:rPr>
          <w:rFonts w:ascii="Times New Roman" w:cs="Times New Roman" w:eastAsia="Times New Roman" w:hAnsi="Times New Roman"/>
          <w:sz w:val="22"/>
          <w:szCs w:val="22"/>
          <w:color w:val="auto"/>
        </w:rPr>
        <w:t>filed by the Reporting Persons with the SEC on July 17, 2025).</w:t>
      </w:r>
    </w:p>
    <w:p>
      <w:pPr>
        <w:ind w:left="92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https://www.sec.gov/Archives/edgar/data/1571949/000094787125000670/ss5091566_ex9922.htm Exhibit 99.23*</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Lock-Up Agreement (incorporated by reference to Exhibit 99.23 to the Schedule 13D/A filed by the Reporting</w:t>
      </w:r>
    </w:p>
    <w:p>
      <w:pPr>
        <w:sectPr>
          <w:pgSz w:w="11900" w:h="16838" w:orient="portrait"/>
          <w:cols w:equalWidth="0" w:num="1">
            <w:col w:w="11120"/>
          </w:cols>
          <w:pgMar w:left="360" w:top="111" w:right="419" w:bottom="0" w:gutter="0" w:footer="0" w:header="0"/>
        </w:sectPr>
      </w:pPr>
    </w:p>
    <w:bookmarkStart w:id="6" w:name="page7"/>
    <w:bookmarkEnd w:id="6"/>
    <w:p>
      <w:pPr>
        <w:ind w:left="700"/>
        <w:spacing w:after="0"/>
        <w:rPr>
          <w:sz w:val="20"/>
          <w:szCs w:val="20"/>
          <w:color w:val="auto"/>
        </w:rPr>
      </w:pPr>
      <w:r>
        <w:rPr>
          <w:rFonts w:ascii="Times New Roman" w:cs="Times New Roman" w:eastAsia="Times New Roman" w:hAnsi="Times New Roman"/>
          <w:sz w:val="22"/>
          <w:szCs w:val="22"/>
          <w:color w:val="auto"/>
        </w:rPr>
        <w:t>Persons with the SEC on July 30, 2025).</w:t>
      </w:r>
    </w:p>
    <w:p>
      <w:pPr>
        <w:spacing w:after="0" w:line="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https://www.sec.gov/Archives/edgar/data/1571949/000094787125000710/ss5145903_ex9923.htm Exhibit 99.24*</w:t>
      </w:r>
    </w:p>
    <w:p>
      <w:pPr>
        <w:ind w:left="700"/>
        <w:spacing w:after="0"/>
        <w:rPr>
          <w:sz w:val="20"/>
          <w:szCs w:val="20"/>
          <w:color w:val="auto"/>
        </w:rPr>
      </w:pPr>
      <w:r>
        <w:rPr>
          <w:rFonts w:ascii="Times New Roman" w:cs="Times New Roman" w:eastAsia="Times New Roman" w:hAnsi="Times New Roman"/>
          <w:sz w:val="21"/>
          <w:szCs w:val="21"/>
          <w:color w:val="auto"/>
        </w:rPr>
        <w:t>TRA Amendment (incorporated by reference to Exhibit 99.24 to the Schedule 13D/A filed by the Reporting Persons</w:t>
      </w:r>
    </w:p>
    <w:p>
      <w:pPr>
        <w:ind w:left="700"/>
        <w:spacing w:after="0" w:line="231" w:lineRule="auto"/>
        <w:rPr>
          <w:sz w:val="20"/>
          <w:szCs w:val="20"/>
          <w:color w:val="auto"/>
        </w:rPr>
      </w:pPr>
      <w:r>
        <w:rPr>
          <w:rFonts w:ascii="Times New Roman" w:cs="Times New Roman" w:eastAsia="Times New Roman" w:hAnsi="Times New Roman"/>
          <w:sz w:val="22"/>
          <w:szCs w:val="22"/>
          <w:color w:val="auto"/>
        </w:rPr>
        <w:t>with the SEC on October 20, 2025).</w:t>
      </w:r>
    </w:p>
    <w:p>
      <w:pPr>
        <w:ind w:left="70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https://www.sec.gov/Archives/edgar/data/1571949/000094787125000911/ss5476937_ex9924.htm Exhibit 99.25*</w:t>
      </w:r>
    </w:p>
    <w:p>
      <w:pPr>
        <w:ind w:left="700"/>
        <w:spacing w:after="0" w:line="231" w:lineRule="auto"/>
        <w:rPr>
          <w:sz w:val="20"/>
          <w:szCs w:val="20"/>
          <w:color w:val="auto"/>
        </w:rPr>
      </w:pPr>
      <w:r>
        <w:rPr>
          <w:rFonts w:ascii="Times New Roman" w:cs="Times New Roman" w:eastAsia="Times New Roman" w:hAnsi="Times New Roman"/>
          <w:sz w:val="22"/>
          <w:szCs w:val="22"/>
          <w:color w:val="auto"/>
        </w:rPr>
        <w:t>Contribution Agreement (incorporated by reference to Exhibit 99.25 to the Schedule 13D/A filed by the Reporting</w:t>
      </w:r>
    </w:p>
    <w:p>
      <w:pPr>
        <w:ind w:left="700"/>
        <w:spacing w:after="0" w:line="230" w:lineRule="auto"/>
        <w:rPr>
          <w:sz w:val="20"/>
          <w:szCs w:val="20"/>
          <w:color w:val="auto"/>
        </w:rPr>
      </w:pPr>
      <w:r>
        <w:rPr>
          <w:rFonts w:ascii="Times New Roman" w:cs="Times New Roman" w:eastAsia="Times New Roman" w:hAnsi="Times New Roman"/>
          <w:sz w:val="22"/>
          <w:szCs w:val="22"/>
          <w:color w:val="auto"/>
        </w:rPr>
        <w:t>Persons with the SEC on October 20, 2025).</w:t>
      </w:r>
    </w:p>
    <w:p>
      <w:pPr>
        <w:ind w:left="70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https://www.sec.gov/Archives/edgar/data/1571949/000094787125000911/ss5476937_ex9925.htm Exhibit 99.26*</w:t>
      </w:r>
    </w:p>
    <w:p>
      <w:pPr>
        <w:ind w:left="700"/>
        <w:spacing w:after="0" w:line="230" w:lineRule="auto"/>
        <w:rPr>
          <w:sz w:val="20"/>
          <w:szCs w:val="20"/>
          <w:color w:val="auto"/>
        </w:rPr>
      </w:pPr>
      <w:r>
        <w:rPr>
          <w:rFonts w:ascii="Times New Roman" w:cs="Times New Roman" w:eastAsia="Times New Roman" w:hAnsi="Times New Roman"/>
          <w:sz w:val="22"/>
          <w:szCs w:val="22"/>
          <w:color w:val="auto"/>
        </w:rPr>
        <w:t>Up-C Collapse Waiver (incorporated by reference to Exhibit 99.26 to the Schedule 13D/A filed by the Reporting</w:t>
      </w:r>
    </w:p>
    <w:p>
      <w:pPr>
        <w:ind w:left="700"/>
        <w:spacing w:after="0" w:line="231" w:lineRule="auto"/>
        <w:rPr>
          <w:sz w:val="20"/>
          <w:szCs w:val="20"/>
          <w:color w:val="auto"/>
        </w:rPr>
      </w:pPr>
      <w:r>
        <w:rPr>
          <w:rFonts w:ascii="Times New Roman" w:cs="Times New Roman" w:eastAsia="Times New Roman" w:hAnsi="Times New Roman"/>
          <w:sz w:val="22"/>
          <w:szCs w:val="22"/>
          <w:color w:val="auto"/>
        </w:rPr>
        <w:t>Persons with the SEC on October 20, 2025).</w:t>
      </w:r>
    </w:p>
    <w:p>
      <w:pPr>
        <w:ind w:left="700"/>
        <w:spacing w:after="0" w:line="230" w:lineRule="auto"/>
        <w:rPr>
          <w:sz w:val="20"/>
          <w:szCs w:val="20"/>
          <w:color w:val="auto"/>
        </w:rPr>
      </w:pPr>
      <w:r>
        <w:rPr>
          <w:rFonts w:ascii="Times New Roman" w:cs="Times New Roman" w:eastAsia="Times New Roman" w:hAnsi="Times New Roman"/>
          <w:sz w:val="22"/>
          <w:szCs w:val="22"/>
          <w:color w:val="auto"/>
        </w:rPr>
        <w:t>https://www.sec.gov/Archives/edgar/data/1571949/000094787125000911/ss5476937_ex9926.htm Exhibit 99.27</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Replacement Class 1 Warrant issued by the Issuer on November 3, 2025 Exhibit 99.28 Replacement Class 2 Warrant</w:t>
      </w:r>
    </w:p>
    <w:p>
      <w:pPr>
        <w:ind w:left="700"/>
        <w:spacing w:after="0" w:line="231" w:lineRule="auto"/>
        <w:rPr>
          <w:sz w:val="20"/>
          <w:szCs w:val="20"/>
          <w:color w:val="auto"/>
        </w:rPr>
      </w:pPr>
      <w:r>
        <w:rPr>
          <w:rFonts w:ascii="Times New Roman" w:cs="Times New Roman" w:eastAsia="Times New Roman" w:hAnsi="Times New Roman"/>
          <w:sz w:val="22"/>
          <w:szCs w:val="22"/>
          <w:color w:val="auto"/>
        </w:rPr>
        <w:t>issued by the Issuer on November 3, 2025 Exhibit 99.29 Replacement Class 1 Warrant issued by the Issuer on</w:t>
      </w:r>
    </w:p>
    <w:p>
      <w:pPr>
        <w:ind w:left="700"/>
        <w:spacing w:after="0" w:line="231" w:lineRule="auto"/>
        <w:rPr>
          <w:sz w:val="20"/>
          <w:szCs w:val="20"/>
          <w:color w:val="auto"/>
        </w:rPr>
      </w:pPr>
      <w:r>
        <w:rPr>
          <w:rFonts w:ascii="Times New Roman" w:cs="Times New Roman" w:eastAsia="Times New Roman" w:hAnsi="Times New Roman"/>
          <w:sz w:val="22"/>
          <w:szCs w:val="22"/>
          <w:color w:val="auto"/>
        </w:rPr>
        <w:t>November 3, 2025 Exhibit 99.30 Replacement Class 2 Warrant issued by the Issuer on November 3, 2025 Exhibit</w:t>
      </w:r>
    </w:p>
    <w:p>
      <w:pPr>
        <w:ind w:left="700"/>
        <w:spacing w:after="0" w:line="231" w:lineRule="auto"/>
        <w:rPr>
          <w:sz w:val="20"/>
          <w:szCs w:val="20"/>
          <w:color w:val="auto"/>
        </w:rPr>
      </w:pPr>
      <w:r>
        <w:rPr>
          <w:rFonts w:ascii="Times New Roman" w:cs="Times New Roman" w:eastAsia="Times New Roman" w:hAnsi="Times New Roman"/>
          <w:sz w:val="22"/>
          <w:szCs w:val="22"/>
          <w:color w:val="auto"/>
        </w:rPr>
        <w:t>99.31 Contribution Agreement Amendment and Certificate of Designation for Convertible Preferred Stock</w:t>
      </w:r>
    </w:p>
    <w:p>
      <w:pPr>
        <w:ind w:left="700"/>
        <w:spacing w:after="0" w:line="230" w:lineRule="auto"/>
        <w:rPr>
          <w:sz w:val="20"/>
          <w:szCs w:val="20"/>
          <w:color w:val="auto"/>
        </w:rPr>
      </w:pPr>
      <w:r>
        <w:rPr>
          <w:rFonts w:ascii="Times New Roman" w:cs="Times New Roman" w:eastAsia="Times New Roman" w:hAnsi="Times New Roman"/>
          <w:sz w:val="22"/>
          <w:szCs w:val="22"/>
          <w:color w:val="auto"/>
        </w:rPr>
        <w:t>(incorporated by reference to Exhibit 10.1 to the Issuer's Current Report on Form 8-K12B filed on November 3,</w:t>
      </w:r>
    </w:p>
    <w:p>
      <w:pPr>
        <w:ind w:left="700"/>
        <w:spacing w:after="0" w:line="231" w:lineRule="auto"/>
        <w:rPr>
          <w:sz w:val="20"/>
          <w:szCs w:val="20"/>
          <w:color w:val="auto"/>
        </w:rPr>
      </w:pPr>
      <w:r>
        <w:rPr>
          <w:rFonts w:ascii="Times New Roman" w:cs="Times New Roman" w:eastAsia="Times New Roman" w:hAnsi="Times New Roman"/>
          <w:sz w:val="22"/>
          <w:szCs w:val="22"/>
          <w:color w:val="auto"/>
        </w:rPr>
        <w:t>2025). https://www.sec.gov/Archives/edgar/data/1820302/000119312525262732/d83327dex101.htm * Previously</w:t>
      </w:r>
    </w:p>
    <w:p>
      <w:pPr>
        <w:ind w:left="700"/>
        <w:spacing w:after="0"/>
        <w:rPr>
          <w:sz w:val="20"/>
          <w:szCs w:val="20"/>
          <w:color w:val="auto"/>
        </w:rPr>
      </w:pPr>
      <w:r>
        <w:rPr>
          <w:rFonts w:ascii="Times New Roman" w:cs="Times New Roman" w:eastAsia="Times New Roman" w:hAnsi="Times New Roman"/>
          <w:sz w:val="22"/>
          <w:szCs w:val="22"/>
          <w:color w:val="auto"/>
        </w:rPr>
        <w:t>filed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INTERCONTINENTAL EXCHANGE, INC.</w:t>
      </w:r>
    </w:p>
    <w:p>
      <w:pPr>
        <w:spacing w:after="0" w:line="152" w:lineRule="exact"/>
        <w:rPr>
          <w:sz w:val="20"/>
          <w:szCs w:val="20"/>
          <w:color w:val="auto"/>
        </w:rPr>
      </w:pPr>
    </w:p>
    <w:p>
      <w:pPr>
        <w:ind w:left="4700"/>
        <w:spacing w:after="0"/>
        <w:tabs>
          <w:tab w:leader="none" w:pos="5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J. Surdykowski</w:t>
      </w:r>
    </w:p>
    <w:p>
      <w:pPr>
        <w:spacing w:after="0" w:line="4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Name/Title: Andrew J. Surdykowski, General Counsel</w:t>
      </w:r>
    </w:p>
    <w:p>
      <w:pPr>
        <w:spacing w:after="0" w:line="44" w:lineRule="exact"/>
        <w:rPr>
          <w:sz w:val="20"/>
          <w:szCs w:val="20"/>
          <w:color w:val="auto"/>
        </w:rPr>
      </w:pPr>
    </w:p>
    <w:p>
      <w:pPr>
        <w:ind w:left="4700"/>
        <w:spacing w:after="0"/>
        <w:tabs>
          <w:tab w:leader="none" w:pos="5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11/05/2025</w:t>
      </w:r>
    </w:p>
    <w:p>
      <w:pPr>
        <w:spacing w:after="0" w:line="15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Intercontinental Exchange Holdings, Inc.</w:t>
      </w:r>
    </w:p>
    <w:p>
      <w:pPr>
        <w:spacing w:after="0" w:line="152" w:lineRule="exact"/>
        <w:rPr>
          <w:sz w:val="20"/>
          <w:szCs w:val="20"/>
          <w:color w:val="auto"/>
        </w:rPr>
      </w:pPr>
    </w:p>
    <w:p>
      <w:pPr>
        <w:ind w:left="4700"/>
        <w:spacing w:after="0"/>
        <w:tabs>
          <w:tab w:leader="none" w:pos="5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J. Surdykowski</w:t>
      </w:r>
    </w:p>
    <w:p>
      <w:pPr>
        <w:spacing w:after="0" w:line="4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Name/Title: Andrew J. Surdykowski, General Counsel</w:t>
      </w:r>
    </w:p>
    <w:p>
      <w:pPr>
        <w:spacing w:after="0" w:line="44" w:lineRule="exact"/>
        <w:rPr>
          <w:sz w:val="20"/>
          <w:szCs w:val="20"/>
          <w:color w:val="auto"/>
        </w:rPr>
      </w:pPr>
    </w:p>
    <w:p>
      <w:pPr>
        <w:ind w:left="4700"/>
        <w:spacing w:after="0"/>
        <w:tabs>
          <w:tab w:leader="none" w:pos="5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11/05/2025</w:t>
      </w:r>
    </w:p>
    <w:p>
      <w:pPr>
        <w:sectPr>
          <w:pgSz w:w="11900" w:h="16838" w:orient="portrait"/>
          <w:cols w:equalWidth="0" w:num="1">
            <w:col w:w="10920"/>
          </w:cols>
          <w:pgMar w:left="580" w:top="111" w:right="399" w:bottom="1440" w:gutter="0" w:footer="0" w:header="0"/>
        </w:sectPr>
      </w:pPr>
    </w:p>
    <w:bookmarkStart w:id="7" w:name="page8"/>
    <w:bookmarkEnd w:id="7"/>
    <w:p>
      <w:pPr>
        <w:ind w:left="10020"/>
        <w:spacing w:after="0"/>
        <w:rPr>
          <w:sz w:val="20"/>
          <w:szCs w:val="20"/>
          <w:color w:val="auto"/>
        </w:rPr>
      </w:pPr>
      <w:r>
        <w:rPr>
          <w:rFonts w:ascii="Times New Roman" w:cs="Times New Roman" w:eastAsia="Times New Roman" w:hAnsi="Times New Roman"/>
          <w:sz w:val="21"/>
          <w:szCs w:val="21"/>
          <w:b w:val="1"/>
          <w:bCs w:val="1"/>
          <w:color w:val="auto"/>
        </w:rPr>
        <w:t>Exhibit 99.27</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COMMON STOCK PURCHASE WARRANT</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(Class 1)</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BAKKT HOLDINGS, INC.</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Warrant Shares: 55,240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Issuance Date</w:t>
      </w:r>
      <w:r>
        <w:rPr>
          <w:rFonts w:ascii="Times New Roman" w:cs="Times New Roman" w:eastAsia="Times New Roman" w:hAnsi="Times New Roman"/>
          <w:sz w:val="22"/>
          <w:szCs w:val="22"/>
          <w:color w:val="auto"/>
        </w:rPr>
        <w:t>: November 3, 2025</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Initial Exercise Date</w:t>
      </w:r>
      <w:r>
        <w:rPr>
          <w:rFonts w:ascii="Times New Roman" w:cs="Times New Roman" w:eastAsia="Times New Roman" w:hAnsi="Times New Roman"/>
          <w:sz w:val="21"/>
          <w:szCs w:val="21"/>
          <w:color w:val="auto"/>
        </w:rPr>
        <w:t>: November 3, 2025</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Termination Date</w:t>
      </w:r>
      <w:r>
        <w:rPr>
          <w:rFonts w:ascii="Times New Roman" w:cs="Times New Roman" w:eastAsia="Times New Roman" w:hAnsi="Times New Roman"/>
          <w:sz w:val="22"/>
          <w:szCs w:val="22"/>
          <w:color w:val="auto"/>
        </w:rPr>
        <w:t>: September 4, 2029</w:t>
      </w:r>
    </w:p>
    <w:p>
      <w:pPr>
        <w:spacing w:after="0" w:line="182" w:lineRule="exact"/>
        <w:rPr>
          <w:sz w:val="20"/>
          <w:szCs w:val="20"/>
          <w:color w:val="auto"/>
        </w:rPr>
      </w:pPr>
    </w:p>
    <w:p>
      <w:pPr>
        <w:sectPr>
          <w:pgSz w:w="11900" w:h="16838" w:orient="portrait"/>
          <w:cols w:equalWidth="0" w:num="2">
            <w:col w:w="6920" w:space="720"/>
            <w:col w:w="3600"/>
          </w:cols>
          <w:pgMar w:left="320" w:top="108" w:right="339" w:bottom="1440" w:gutter="0" w:footer="0" w:header="0"/>
          <w:type w:val="continuous"/>
        </w:sect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THIS COMMON STOCK PURCHASE WARRANT (Class 1) (the “</w:t>
      </w:r>
      <w:r>
        <w:rPr>
          <w:rFonts w:ascii="Times New Roman" w:cs="Times New Roman" w:eastAsia="Times New Roman" w:hAnsi="Times New Roman"/>
          <w:sz w:val="22"/>
          <w:szCs w:val="22"/>
          <w:u w:val="single" w:color="auto"/>
          <w:color w:val="auto"/>
        </w:rPr>
        <w:t>Warrant</w:t>
      </w:r>
      <w:r>
        <w:rPr>
          <w:rFonts w:ascii="Times New Roman" w:cs="Times New Roman" w:eastAsia="Times New Roman" w:hAnsi="Times New Roman"/>
          <w:sz w:val="22"/>
          <w:szCs w:val="22"/>
          <w:color w:val="auto"/>
        </w:rPr>
        <w:t>”) certifies that, for value received, Intercontinental Exchange Holdings, Inc. or its assigns (the “</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is entitled, upon the terms and subject to the limitations on exercise and the conditions hereinafter set forth, at any time on or after November 3, 2025 (the “</w:t>
      </w:r>
      <w:r>
        <w:rPr>
          <w:rFonts w:ascii="Times New Roman" w:cs="Times New Roman" w:eastAsia="Times New Roman" w:hAnsi="Times New Roman"/>
          <w:sz w:val="22"/>
          <w:szCs w:val="22"/>
          <w:u w:val="single" w:color="auto"/>
          <w:color w:val="auto"/>
        </w:rPr>
        <w:t>Initial Exercise Date</w:t>
      </w:r>
      <w:r>
        <w:rPr>
          <w:rFonts w:ascii="Times New Roman" w:cs="Times New Roman" w:eastAsia="Times New Roman" w:hAnsi="Times New Roman"/>
          <w:sz w:val="22"/>
          <w:szCs w:val="22"/>
          <w:color w:val="auto"/>
        </w:rPr>
        <w:t>”) and on or prior to 5:00 p.m. (New York City time) on September 4, 2029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xml:space="preserve">”) but not thereafter, to subscribe for and purchase from </w:t>
      </w:r>
      <w:r>
        <w:rPr>
          <w:rFonts w:ascii="Times New Roman" w:cs="Times New Roman" w:eastAsia="Times New Roman" w:hAnsi="Times New Roman"/>
          <w:sz w:val="22"/>
          <w:szCs w:val="22"/>
          <w:b w:val="1"/>
          <w:bCs w:val="1"/>
          <w:color w:val="auto"/>
        </w:rPr>
        <w:t>BAKKT HOLDINGS, INC</w:t>
      </w:r>
      <w:r>
        <w:rPr>
          <w:rFonts w:ascii="Times New Roman" w:cs="Times New Roman" w:eastAsia="Times New Roman" w:hAnsi="Times New Roman"/>
          <w:sz w:val="22"/>
          <w:szCs w:val="22"/>
          <w:color w:val="auto"/>
        </w:rPr>
        <w:t>.,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up to </w:t>
      </w:r>
      <w:r>
        <w:rPr>
          <w:rFonts w:ascii="Times New Roman" w:cs="Times New Roman" w:eastAsia="Times New Roman" w:hAnsi="Times New Roman"/>
          <w:sz w:val="22"/>
          <w:szCs w:val="22"/>
          <w:b w:val="1"/>
          <w:bCs w:val="1"/>
          <w:color w:val="auto"/>
        </w:rPr>
        <w:t>55,240 shares</w:t>
      </w:r>
      <w:r>
        <w:rPr>
          <w:rFonts w:ascii="Times New Roman" w:cs="Times New Roman" w:eastAsia="Times New Roman" w:hAnsi="Times New Roman"/>
          <w:sz w:val="22"/>
          <w:szCs w:val="22"/>
          <w:color w:val="auto"/>
        </w:rPr>
        <w:t xml:space="preserve"> (as subject to adjustment hereunder, the “</w:t>
      </w:r>
      <w:r>
        <w:rPr>
          <w:rFonts w:ascii="Times New Roman" w:cs="Times New Roman" w:eastAsia="Times New Roman" w:hAnsi="Times New Roman"/>
          <w:sz w:val="22"/>
          <w:szCs w:val="22"/>
          <w:u w:val="single" w:color="auto"/>
          <w:color w:val="auto"/>
        </w:rPr>
        <w:t>Warrant Shares</w:t>
      </w:r>
      <w:r>
        <w:rPr>
          <w:rFonts w:ascii="Times New Roman" w:cs="Times New Roman" w:eastAsia="Times New Roman" w:hAnsi="Times New Roman"/>
          <w:sz w:val="22"/>
          <w:szCs w:val="22"/>
          <w:color w:val="auto"/>
        </w:rPr>
        <w:t>”) of the Company’s Class A Common Stock, par value $0.0001 per share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The purchase price of one share of Common Stock under this Warrant shall be equal to the Exercise Price, as defined in Section 2(b). The Company and the Holder each acknowledge and agree that this Warrant is issued in substitution of and replacement for that certain Common Stock Purchase Warrant (Class 1), issued by Bakkt Intermediate Holdings, Inc. (formerly known as Bakkt Holdings, Inc.) (the “</w:t>
      </w:r>
      <w:r>
        <w:rPr>
          <w:rFonts w:ascii="Times New Roman" w:cs="Times New Roman" w:eastAsia="Times New Roman" w:hAnsi="Times New Roman"/>
          <w:sz w:val="22"/>
          <w:szCs w:val="22"/>
          <w:u w:val="single" w:color="auto"/>
          <w:color w:val="auto"/>
        </w:rPr>
        <w:t>Predecessor Company</w:t>
      </w:r>
      <w:r>
        <w:rPr>
          <w:rFonts w:ascii="Times New Roman" w:cs="Times New Roman" w:eastAsia="Times New Roman" w:hAnsi="Times New Roman"/>
          <w:sz w:val="22"/>
          <w:szCs w:val="22"/>
          <w:color w:val="auto"/>
        </w:rPr>
        <w:t>”), as predecessor to the Company, to the Holder on March 4, 2024 and exercisable until September 4, 2029 (the “</w:t>
      </w:r>
      <w:r>
        <w:rPr>
          <w:rFonts w:ascii="Times New Roman" w:cs="Times New Roman" w:eastAsia="Times New Roman" w:hAnsi="Times New Roman"/>
          <w:sz w:val="22"/>
          <w:szCs w:val="22"/>
          <w:u w:val="single" w:color="auto"/>
          <w:color w:val="auto"/>
        </w:rPr>
        <w:t>Original Warrant</w:t>
      </w:r>
      <w:r>
        <w:rPr>
          <w:rFonts w:ascii="Times New Roman" w:cs="Times New Roman" w:eastAsia="Times New Roman" w:hAnsi="Times New Roman"/>
          <w:sz w:val="22"/>
          <w:szCs w:val="22"/>
          <w:color w:val="auto"/>
        </w:rPr>
        <w:t>”), pursuant to that certain waiver, acknowledgment and consent, dated October 16, 2025, between the purchaser signatory hereto and the Predecessor Company, in respect of the Original Warrant.</w:t>
      </w:r>
    </w:p>
    <w:p>
      <w:pPr>
        <w:spacing w:after="0" w:line="18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 dated February 29, 2024, among the Predecessor Company and the purchaser signatory thereto.</w:t>
      </w:r>
    </w:p>
    <w:p>
      <w:pPr>
        <w:spacing w:after="0" w:line="173"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Exercise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56"/>
        <w:spacing w:after="0" w:line="247" w:lineRule="auto"/>
        <w:tabs>
          <w:tab w:leader="none" w:pos="1279"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Exercise of Warrant</w:t>
      </w:r>
      <w:r>
        <w:rPr>
          <w:rFonts w:ascii="Times New Roman" w:cs="Times New Roman" w:eastAsia="Times New Roman" w:hAnsi="Times New Roman"/>
          <w:sz w:val="21"/>
          <w:szCs w:val="21"/>
          <w:color w:val="auto"/>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Times New Roman" w:cs="Times New Roman" w:eastAsia="Times New Roman" w:hAnsi="Times New Roman"/>
          <w:sz w:val="21"/>
          <w:szCs w:val="21"/>
          <w:u w:val="single" w:color="auto"/>
          <w:color w:val="auto"/>
        </w:rPr>
        <w:t>Notice of Exercise</w:t>
      </w:r>
      <w:r>
        <w:rPr>
          <w:rFonts w:ascii="Times New Roman" w:cs="Times New Roman" w:eastAsia="Times New Roman" w:hAnsi="Times New Roman"/>
          <w:sz w:val="21"/>
          <w:szCs w:val="21"/>
          <w:color w:val="auto"/>
        </w:rPr>
        <w:t>”). Within the earlier of (i) two (2) Trading Days (as defined in Section 2(c) herein) and</w:t>
      </w:r>
    </w:p>
    <w:p>
      <w:pPr>
        <w:spacing w:after="0" w:line="1" w:lineRule="exact"/>
        <w:rPr>
          <w:rFonts w:ascii="Times New Roman" w:cs="Times New Roman" w:eastAsia="Times New Roman" w:hAnsi="Times New Roman"/>
          <w:sz w:val="21"/>
          <w:szCs w:val="21"/>
          <w:color w:val="auto"/>
        </w:rPr>
      </w:pPr>
    </w:p>
    <w:p>
      <w:pPr>
        <w:jc w:val="both"/>
        <w:ind w:firstLine="8"/>
        <w:spacing w:after="0" w:line="232" w:lineRule="auto"/>
        <w:tabs>
          <w:tab w:leader="none" w:pos="33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Trading Days comprising the Standard Settlement Period (as defined in Section 2(e)(i) herein) following the date of exercise as aforesaid, the Holder shall deliver the aggregate Exercise Price for the number of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8" w:name="page9"/>
    <w:bookmarkEnd w:id="8"/>
    <w:p>
      <w:pPr>
        <w:spacing w:after="0" w:line="245" w:lineRule="auto"/>
        <w:rPr>
          <w:sz w:val="20"/>
          <w:szCs w:val="20"/>
          <w:color w:val="auto"/>
        </w:rPr>
      </w:pPr>
      <w:r>
        <w:rPr>
          <w:rFonts w:ascii="Times New Roman" w:cs="Times New Roman" w:eastAsia="Times New Roman" w:hAnsi="Times New Roman"/>
          <w:sz w:val="21"/>
          <w:szCs w:val="21"/>
          <w:color w:val="auto"/>
        </w:rPr>
        <w:t xml:space="preserve">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21"/>
          <w:szCs w:val="21"/>
          <w:b w:val="1"/>
          <w:bCs w:val="1"/>
          <w:color w:val="auto"/>
        </w:rPr>
        <w:t>The Holder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77" w:lineRule="exact"/>
        <w:rPr>
          <w:sz w:val="20"/>
          <w:szCs w:val="20"/>
          <w:color w:val="auto"/>
        </w:rPr>
      </w:pPr>
    </w:p>
    <w:p>
      <w:pPr>
        <w:ind w:right="20" w:firstLine="656"/>
        <w:spacing w:after="0" w:line="258" w:lineRule="auto"/>
        <w:tabs>
          <w:tab w:leader="none" w:pos="1521"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The exercise price per share of Common Stock under this Warrant shall be $25.50, subject to adjustment hereunder (the “</w:t>
      </w: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656"/>
        <w:spacing w:after="0" w:line="244" w:lineRule="auto"/>
        <w:tabs>
          <w:tab w:leader="none" w:pos="141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Cashless Exercise</w:t>
      </w:r>
      <w:r>
        <w:rPr>
          <w:rFonts w:ascii="Times New Roman" w:cs="Times New Roman" w:eastAsia="Times New Roman" w:hAnsi="Times New Roman"/>
          <w:sz w:val="22"/>
          <w:szCs w:val="22"/>
          <w:color w:val="auto"/>
        </w:rPr>
        <w:t>. This Warrant may also be exercised, in whole or in part, at any time or times on or after the Initial Exercise Date and on or before the Termination Date by means of a “cashless exercise” in which the Holder shall be entitled to receive a number of Warrant Shares equal to the quotient obtained by dividing [(A-B) (X)] by (A), where:</w:t>
      </w:r>
    </w:p>
    <w:p>
      <w:pPr>
        <w:spacing w:after="0" w:line="173" w:lineRule="exact"/>
        <w:rPr>
          <w:rFonts w:ascii="Times New Roman" w:cs="Times New Roman" w:eastAsia="Times New Roman" w:hAnsi="Times New Roman"/>
          <w:sz w:val="22"/>
          <w:szCs w:val="22"/>
          <w:color w:val="auto"/>
        </w:rPr>
      </w:pPr>
    </w:p>
    <w:p>
      <w:pPr>
        <w:jc w:val="both"/>
        <w:ind w:left="660" w:firstLine="644"/>
        <w:spacing w:after="0" w:line="233" w:lineRule="auto"/>
        <w:tabs>
          <w:tab w:leader="none" w:pos="1668"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4" w:lineRule="exact"/>
        <w:rPr>
          <w:rFonts w:ascii="Times New Roman" w:cs="Times New Roman" w:eastAsia="Times New Roman" w:hAnsi="Times New Roman"/>
          <w:sz w:val="22"/>
          <w:szCs w:val="22"/>
          <w:color w:val="auto"/>
        </w:rPr>
      </w:pPr>
    </w:p>
    <w:p>
      <w:pPr>
        <w:ind w:left="1640" w:hanging="336"/>
        <w:spacing w:after="0"/>
        <w:tabs>
          <w:tab w:leader="none" w:pos="164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the Exercise Price of this Warrant, as adjusted hereunder; and</w:t>
      </w:r>
    </w:p>
    <w:p>
      <w:pPr>
        <w:spacing w:after="0" w:line="206" w:lineRule="exact"/>
        <w:rPr>
          <w:sz w:val="20"/>
          <w:szCs w:val="20"/>
          <w:color w:val="auto"/>
        </w:rPr>
      </w:pPr>
    </w:p>
    <w:p>
      <w:pPr>
        <w:ind w:left="660" w:firstLine="644"/>
        <w:spacing w:after="0" w:line="258" w:lineRule="auto"/>
        <w:tabs>
          <w:tab w:leader="none" w:pos="167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the number of Warrant Shares that would be issuable upon exercise of this Warrant in accordance with the terms of this Warrant if such exercise were by means of a cash exercise rather than a cashless exercise.</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Bid Price</w:t>
      </w:r>
      <w:r>
        <w:rPr>
          <w:rFonts w:ascii="Times New Roman" w:cs="Times New Roman" w:eastAsia="Times New Roman" w:hAnsi="Times New Roman"/>
          <w:sz w:val="21"/>
          <w:szCs w:val="21"/>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9" w:name="page10"/>
    <w:bookmarkEnd w:id="9"/>
    <w:p>
      <w:pPr>
        <w:spacing w:after="0" w:line="234" w:lineRule="auto"/>
        <w:rPr>
          <w:sz w:val="20"/>
          <w:szCs w:val="20"/>
          <w:color w:val="auto"/>
        </w:rPr>
      </w:pPr>
      <w:r>
        <w:rPr>
          <w:rFonts w:ascii="Times New Roman" w:cs="Times New Roman" w:eastAsia="Times New Roman" w:hAnsi="Times New Roman"/>
          <w:sz w:val="22"/>
          <w:szCs w:val="22"/>
          <w:color w:val="auto"/>
        </w:rPr>
        <w:t>(based on a Trading Day from 9:30 a.m. (New York City time) to 4:02 p.m. (New York City time)), (b) if the Common Stock is then not listed on a Trading Market and if the Shares are listed or quoted for trading on the OTC Market Group’s OTCQB exchange (“</w:t>
      </w:r>
      <w:r>
        <w:rPr>
          <w:rFonts w:ascii="Times New Roman" w:cs="Times New Roman" w:eastAsia="Times New Roman" w:hAnsi="Times New Roman"/>
          <w:sz w:val="22"/>
          <w:szCs w:val="22"/>
          <w:u w:val="single" w:color="auto"/>
          <w:color w:val="auto"/>
        </w:rPr>
        <w:t>OTCQB</w:t>
      </w:r>
      <w:r>
        <w:rPr>
          <w:rFonts w:ascii="Times New Roman" w:cs="Times New Roman" w:eastAsia="Times New Roman" w:hAnsi="Times New Roman"/>
          <w:sz w:val="22"/>
          <w:szCs w:val="22"/>
          <w:color w:val="auto"/>
        </w:rPr>
        <w:t>”) or OTCQX exchange (“</w:t>
      </w:r>
      <w:r>
        <w:rPr>
          <w:rFonts w:ascii="Times New Roman" w:cs="Times New Roman" w:eastAsia="Times New Roman" w:hAnsi="Times New Roman"/>
          <w:sz w:val="22"/>
          <w:szCs w:val="22"/>
          <w:u w:val="single" w:color="auto"/>
          <w:color w:val="auto"/>
        </w:rPr>
        <w:t>OTCQX</w:t>
      </w:r>
      <w:r>
        <w:rPr>
          <w:rFonts w:ascii="Times New Roman" w:cs="Times New Roman" w:eastAsia="Times New Roman" w:hAnsi="Times New Roman"/>
          <w:sz w:val="22"/>
          <w:szCs w:val="22"/>
          <w:color w:val="auto"/>
        </w:rPr>
        <w: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183"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means any day on which the Trading Market is open for trading, including any day on which the Trading Market is open for trading for a period of time less than the customary time.</w:t>
      </w:r>
    </w:p>
    <w:p>
      <w:pPr>
        <w:spacing w:after="0" w:line="15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Market</w:t>
      </w:r>
      <w:r>
        <w:rPr>
          <w:rFonts w:ascii="Times New Roman" w:cs="Times New Roman" w:eastAsia="Times New Roman" w:hAnsi="Times New Roman"/>
          <w:sz w:val="22"/>
          <w:szCs w:val="22"/>
          <w:color w:val="auto"/>
        </w:rPr>
        <w:t>” means any of the following markets or exchanges on which the shares of Common Stock are listed or quoted for trading on the date in question: the NYSE American, The Nasdaq Capital Market, The Nasdaq Global Market, The Nasdaq Global Select Market, or the New York Stock Exchange (or any successors to any of the foregoing).</w:t>
      </w:r>
    </w:p>
    <w:p>
      <w:pPr>
        <w:spacing w:after="0" w:line="17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VWAP</w:t>
      </w:r>
      <w:r>
        <w:rPr>
          <w:rFonts w:ascii="Times New Roman" w:cs="Times New Roman" w:eastAsia="Times New Roman" w:hAnsi="Times New Roman"/>
          <w:sz w:val="22"/>
          <w:szCs w:val="22"/>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Common Stock is then not listed or quoted on a Trading Market and if the Shares are listed or quoted for trading on OTCQB or OTCQX,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73" w:lineRule="exact"/>
        <w:rPr>
          <w:sz w:val="20"/>
          <w:szCs w:val="20"/>
          <w:color w:val="auto"/>
        </w:rPr>
      </w:pPr>
    </w:p>
    <w:p>
      <w:pPr>
        <w:ind w:left="1260" w:hanging="604"/>
        <w:spacing w:after="0"/>
        <w:tabs>
          <w:tab w:leader="none" w:pos="12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10" w:name="page11"/>
    <w:bookmarkEnd w:id="10"/>
    <w:p>
      <w:pPr>
        <w:ind w:left="1220" w:hanging="584"/>
        <w:spacing w:after="0"/>
        <w:tabs>
          <w:tab w:leader="none" w:pos="12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Mechanics of Exercise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0" w:firstLine="1304"/>
        <w:spacing w:after="0" w:line="232" w:lineRule="auto"/>
        <w:tabs>
          <w:tab w:leader="none" w:pos="2226" w:val="left"/>
        </w:tabs>
        <w:numPr>
          <w:ilvl w:val="1"/>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Delivery of Warrant Shares Upon Exercise</w:t>
      </w:r>
      <w:r>
        <w:rPr>
          <w:rFonts w:ascii="Times New Roman" w:cs="Times New Roman" w:eastAsia="Times New Roman" w:hAnsi="Times New Roman"/>
          <w:sz w:val="22"/>
          <w:szCs w:val="22"/>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22"/>
          <w:szCs w:val="22"/>
          <w:u w:val="single" w:color="auto"/>
          <w:color w:val="auto"/>
        </w:rPr>
        <w:t>DWAC</w:t>
      </w:r>
      <w:r>
        <w:rPr>
          <w:rFonts w:ascii="Times New Roman" w:cs="Times New Roman" w:eastAsia="Times New Roman" w:hAnsi="Times New Roman"/>
          <w:sz w:val="22"/>
          <w:szCs w:val="22"/>
          <w:color w:val="auto"/>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(A) the earlier of (i) two (2) Trading Days and (ii) the number of days comprising the Standard Settlement Period, in each case after the delivery to the Company of the Notice of Exercise and (B) one (1) Trading Day after delivery of the aggregate Exercise Price to the Company (such date, the “</w:t>
      </w:r>
      <w:r>
        <w:rPr>
          <w:rFonts w:ascii="Times New Roman" w:cs="Times New Roman" w:eastAsia="Times New Roman" w:hAnsi="Times New Roman"/>
          <w:sz w:val="22"/>
          <w:szCs w:val="22"/>
          <w:u w:val="single" w:color="auto"/>
          <w:color w:val="auto"/>
        </w:rPr>
        <w:t>Warrant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Share Delivery Date</w:t>
      </w:r>
      <w:r>
        <w:rPr>
          <w:rFonts w:ascii="Times New Roman" w:cs="Times New Roman" w:eastAsia="Times New Roman" w:hAnsi="Times New Roman"/>
          <w:sz w:val="22"/>
          <w:szCs w:val="22"/>
          <w:color w:val="auto"/>
        </w:rPr>
        <w:t xml:space="preserve">”). Upon delivery of the Notice of Exercise, the Holder shall be deemed for all corporate purposes to have become the holder of record of the Warrant Shares with respect to which this Warrant has been exercised, irrespective of the date of delivery of the Warrant Shares,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such liquidated damages begin to accrue) for each Trading Day after such Warrant Share Delivery Date until such Warrant Shares are delivered or Holder rescinds such exercise. The Company agrees to maintain a transfer agent that is a participant in the Fast Automated Securities Transfer (“</w:t>
      </w:r>
      <w:r>
        <w:rPr>
          <w:rFonts w:ascii="Times New Roman" w:cs="Times New Roman" w:eastAsia="Times New Roman" w:hAnsi="Times New Roman"/>
          <w:sz w:val="22"/>
          <w:szCs w:val="22"/>
          <w:u w:val="single" w:color="auto"/>
          <w:color w:val="auto"/>
        </w:rPr>
        <w:t>FAST</w:t>
      </w:r>
      <w:r>
        <w:rPr>
          <w:rFonts w:ascii="Times New Roman" w:cs="Times New Roman" w:eastAsia="Times New Roman" w:hAnsi="Times New Roman"/>
          <w:sz w:val="22"/>
          <w:szCs w:val="22"/>
          <w:color w:val="auto"/>
        </w:rPr>
        <w:t>”) program so long as this Warrant remains outstanding and exercisable. As used herein, “</w:t>
      </w:r>
      <w:r>
        <w:rPr>
          <w:rFonts w:ascii="Times New Roman" w:cs="Times New Roman" w:eastAsia="Times New Roman" w:hAnsi="Times New Roman"/>
          <w:sz w:val="22"/>
          <w:szCs w:val="22"/>
          <w:u w:val="single" w:color="auto"/>
          <w:color w:val="auto"/>
        </w:rPr>
        <w:t>Standard Settlement Period</w:t>
      </w:r>
      <w:r>
        <w:rPr>
          <w:rFonts w:ascii="Times New Roman" w:cs="Times New Roman" w:eastAsia="Times New Roman" w:hAnsi="Times New Roman"/>
          <w:sz w:val="22"/>
          <w:szCs w:val="22"/>
          <w:color w:val="auto"/>
        </w:rPr>
        <w:t>” means the standard settlement period, expressed in a number of Trading Days, on the Company’s primary Trading Market with respect to the Common Stock as in effect on the date of delivery of the Notice of Exercise.</w:t>
      </w:r>
    </w:p>
    <w:p>
      <w:pPr>
        <w:spacing w:after="0" w:line="180" w:lineRule="exact"/>
        <w:rPr>
          <w:rFonts w:ascii="Times New Roman" w:cs="Times New Roman" w:eastAsia="Times New Roman" w:hAnsi="Times New Roman"/>
          <w:sz w:val="22"/>
          <w:szCs w:val="22"/>
          <w:color w:val="010000"/>
        </w:rPr>
      </w:pPr>
    </w:p>
    <w:p>
      <w:pPr>
        <w:jc w:val="both"/>
        <w:ind w:left="-20" w:firstLine="1304"/>
        <w:spacing w:after="0" w:line="239" w:lineRule="auto"/>
        <w:tabs>
          <w:tab w:leader="none" w:pos="1985" w:val="left"/>
        </w:tabs>
        <w:numPr>
          <w:ilvl w:val="1"/>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Delivery of New Warrants Upon Exercise</w:t>
      </w:r>
      <w:r>
        <w:rPr>
          <w:rFonts w:ascii="Times New Roman" w:cs="Times New Roman" w:eastAsia="Times New Roman" w:hAnsi="Times New Roman"/>
          <w:sz w:val="22"/>
          <w:szCs w:val="22"/>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80" w:lineRule="exact"/>
        <w:rPr>
          <w:rFonts w:ascii="Times New Roman" w:cs="Times New Roman" w:eastAsia="Times New Roman" w:hAnsi="Times New Roman"/>
          <w:sz w:val="22"/>
          <w:szCs w:val="22"/>
          <w:color w:val="010000"/>
        </w:rPr>
      </w:pPr>
    </w:p>
    <w:p>
      <w:pPr>
        <w:jc w:val="both"/>
        <w:ind w:left="-20" w:firstLine="1304"/>
        <w:spacing w:after="0" w:line="244" w:lineRule="auto"/>
        <w:tabs>
          <w:tab w:leader="none" w:pos="1969" w:val="left"/>
        </w:tabs>
        <w:numPr>
          <w:ilvl w:val="1"/>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Rescission Rights</w:t>
      </w:r>
      <w:r>
        <w:rPr>
          <w:rFonts w:ascii="Times New Roman" w:cs="Times New Roman" w:eastAsia="Times New Roman" w:hAnsi="Times New Roman"/>
          <w:sz w:val="22"/>
          <w:szCs w:val="22"/>
          <w:color w:val="auto"/>
        </w:rPr>
        <w:t>. If the Company fails to cause the Transfer Agent to transmit to the Holder the Warrant Shares pursuant to Section 2(e)(i) by the Warrant Share Delivery Date, then the Holder will have the right to rescind such exercise.</w:t>
      </w:r>
    </w:p>
    <w:p>
      <w:pPr>
        <w:spacing w:after="0" w:line="173" w:lineRule="exact"/>
        <w:rPr>
          <w:rFonts w:ascii="Times New Roman" w:cs="Times New Roman" w:eastAsia="Times New Roman" w:hAnsi="Times New Roman"/>
          <w:sz w:val="22"/>
          <w:szCs w:val="22"/>
          <w:color w:val="010000"/>
        </w:rPr>
      </w:pPr>
    </w:p>
    <w:p>
      <w:pPr>
        <w:ind w:left="1860" w:hanging="576"/>
        <w:spacing w:after="0"/>
        <w:tabs>
          <w:tab w:leader="none" w:pos="186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for Buy-In on Failure to Timely Deliver Warrant Shares Upon Exercise</w:t>
      </w:r>
      <w:r>
        <w:rPr>
          <w:rFonts w:ascii="Times New Roman" w:cs="Times New Roman" w:eastAsia="Times New Roman" w:hAnsi="Times New Roman"/>
          <w:sz w:val="22"/>
          <w:szCs w:val="22"/>
          <w:color w:val="auto"/>
        </w:rPr>
        <w: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030" w:right="339" w:bottom="1440" w:gutter="0" w:footer="0" w:header="0"/>
        </w:sectPr>
      </w:pPr>
    </w:p>
    <w:bookmarkStart w:id="11" w:name="page12"/>
    <w:bookmarkEnd w:id="11"/>
    <w:p>
      <w:pPr>
        <w:ind w:right="40"/>
        <w:spacing w:after="0" w:line="246" w:lineRule="auto"/>
        <w:rPr>
          <w:sz w:val="20"/>
          <w:szCs w:val="20"/>
          <w:color w:val="auto"/>
        </w:rPr>
      </w:pPr>
      <w:r>
        <w:rPr>
          <w:rFonts w:ascii="Times New Roman" w:cs="Times New Roman" w:eastAsia="Times New Roman" w:hAnsi="Times New Roman"/>
          <w:sz w:val="21"/>
          <w:szCs w:val="21"/>
          <w:color w:val="010000"/>
        </w:rPr>
        <w:t>In addition to any other rights available to the Holder, if the Company fails to cause the Transfer Agent to transmit to the Holder the Warrant Shares in accordance with the provisions of Section 2(e)(i)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21"/>
          <w:szCs w:val="21"/>
          <w:u w:val="single" w:color="auto"/>
          <w:color w:val="010000"/>
        </w:rPr>
        <w:t>Buy-In</w:t>
      </w:r>
      <w:r>
        <w:rPr>
          <w:rFonts w:ascii="Times New Roman" w:cs="Times New Roman" w:eastAsia="Times New Roman" w:hAnsi="Times New Roman"/>
          <w:sz w:val="21"/>
          <w:szCs w:val="21"/>
          <w:color w:val="010000"/>
        </w:rPr>
        <w:t>”), then the Company shall</w:t>
      </w:r>
    </w:p>
    <w:p>
      <w:pPr>
        <w:spacing w:after="0" w:line="1" w:lineRule="exact"/>
        <w:rPr>
          <w:sz w:val="20"/>
          <w:szCs w:val="20"/>
          <w:color w:val="auto"/>
        </w:rPr>
      </w:pPr>
    </w:p>
    <w:p>
      <w:pPr>
        <w:ind w:right="180" w:firstLine="8"/>
        <w:spacing w:after="0" w:line="241" w:lineRule="auto"/>
        <w:tabs>
          <w:tab w:leader="none" w:pos="354" w:val="left"/>
        </w:tabs>
        <w:numPr>
          <w:ilvl w:val="0"/>
          <w:numId w:val="1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010000"/>
        </w:rPr>
        <w:t>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w:t>
      </w:r>
    </w:p>
    <w:p>
      <w:pPr>
        <w:spacing w:after="0" w:line="1" w:lineRule="exact"/>
        <w:rPr>
          <w:rFonts w:ascii="Times New Roman" w:cs="Times New Roman" w:eastAsia="Times New Roman" w:hAnsi="Times New Roman"/>
          <w:sz w:val="21"/>
          <w:szCs w:val="21"/>
          <w:color w:val="010000"/>
        </w:rPr>
      </w:pPr>
    </w:p>
    <w:p>
      <w:pPr>
        <w:spacing w:after="0" w:line="231"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010000"/>
        </w:rPr>
        <w:t>(2)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this Warrant to purchase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reasonably satisfactory to the Company with respect to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86" w:lineRule="exact"/>
        <w:rPr>
          <w:rFonts w:ascii="Times New Roman" w:cs="Times New Roman" w:eastAsia="Times New Roman" w:hAnsi="Times New Roman"/>
          <w:sz w:val="21"/>
          <w:szCs w:val="21"/>
          <w:color w:val="010000"/>
        </w:rPr>
      </w:pPr>
    </w:p>
    <w:p>
      <w:pPr>
        <w:jc w:val="both"/>
        <w:ind w:firstLine="1304"/>
        <w:spacing w:after="0" w:line="239" w:lineRule="auto"/>
        <w:tabs>
          <w:tab w:leader="none" w:pos="2033" w:val="left"/>
        </w:tabs>
        <w:numPr>
          <w:ilvl w:val="1"/>
          <w:numId w:val="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Fractional Shares or Scrip</w:t>
      </w:r>
      <w:r>
        <w:rPr>
          <w:rFonts w:ascii="Times New Roman" w:cs="Times New Roman" w:eastAsia="Times New Roman" w:hAnsi="Times New Roman"/>
          <w:sz w:val="22"/>
          <w:szCs w:val="22"/>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0" w:lineRule="exact"/>
        <w:rPr>
          <w:rFonts w:ascii="Times New Roman" w:cs="Times New Roman" w:eastAsia="Times New Roman" w:hAnsi="Times New Roman"/>
          <w:sz w:val="22"/>
          <w:szCs w:val="22"/>
          <w:color w:val="010000"/>
        </w:rPr>
      </w:pPr>
    </w:p>
    <w:p>
      <w:pPr>
        <w:jc w:val="both"/>
        <w:ind w:firstLine="1304"/>
        <w:spacing w:after="0" w:line="234" w:lineRule="auto"/>
        <w:tabs>
          <w:tab w:leader="none" w:pos="1923" w:val="left"/>
        </w:tabs>
        <w:numPr>
          <w:ilvl w:val="1"/>
          <w:numId w:val="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Charges, Taxes and Expenses</w:t>
      </w:r>
      <w:r>
        <w:rPr>
          <w:rFonts w:ascii="Times New Roman" w:cs="Times New Roman" w:eastAsia="Times New Roman" w:hAnsi="Times New Roman"/>
          <w:sz w:val="22"/>
          <w:szCs w:val="22"/>
          <w:color w:val="auto"/>
        </w:rPr>
        <w:t xml:space="preserve">. Issuance and delivery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12" w:name="page13"/>
    <w:bookmarkEnd w:id="12"/>
    <w:p>
      <w:pPr>
        <w:ind w:left="-20" w:firstLine="1304"/>
        <w:spacing w:after="0" w:line="258" w:lineRule="auto"/>
        <w:tabs>
          <w:tab w:leader="none" w:pos="2120" w:val="left"/>
        </w:tabs>
        <w:numPr>
          <w:ilvl w:val="1"/>
          <w:numId w:val="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Closing of Books</w:t>
      </w:r>
      <w:r>
        <w:rPr>
          <w:rFonts w:ascii="Times New Roman" w:cs="Times New Roman" w:eastAsia="Times New Roman" w:hAnsi="Times New Roman"/>
          <w:sz w:val="22"/>
          <w:szCs w:val="22"/>
          <w:color w:val="auto"/>
        </w:rPr>
        <w:t>. The Company will not close its stockholder books or records in any manner which prevents the timely exercise of this Warrant, pursuant to the terms hereof.</w:t>
      </w:r>
    </w:p>
    <w:p>
      <w:pPr>
        <w:spacing w:after="0" w:line="158" w:lineRule="exact"/>
        <w:rPr>
          <w:rFonts w:ascii="Times New Roman" w:cs="Times New Roman" w:eastAsia="Times New Roman" w:hAnsi="Times New Roman"/>
          <w:sz w:val="22"/>
          <w:szCs w:val="22"/>
          <w:color w:val="010000"/>
        </w:rPr>
      </w:pPr>
    </w:p>
    <w:p>
      <w:pPr>
        <w:jc w:val="both"/>
        <w:ind w:left="-20" w:firstLine="656"/>
        <w:spacing w:after="0" w:line="242" w:lineRule="auto"/>
        <w:tabs>
          <w:tab w:leader="none" w:pos="1321"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Holder’s Exercise Limitations</w:t>
      </w:r>
      <w:r>
        <w:rPr>
          <w:rFonts w:ascii="Times New Roman" w:cs="Times New Roman" w:eastAsia="Times New Roman" w:hAnsi="Times New Roman"/>
          <w:sz w:val="21"/>
          <w:szCs w:val="21"/>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21"/>
          <w:szCs w:val="21"/>
          <w:u w:val="single" w:color="auto"/>
          <w:color w:val="auto"/>
        </w:rPr>
        <w:t>Attribution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2(f),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2(f)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this Warrant that are not in compliance with the Beneficial Ownership Limitation (other than to the extent that information on the number of outstanding shares of Common Stock is provided by the Company, either directly or through one or more public filings, and relied upon by the Holder).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and shall have no liability for exercises of this Warrant that are not in compliance with the Beneficial Ownership Limitation (other than to the extent that information on the number of outstanding shares of Common Stock is provided by the Company, either directly or through one or more public filings, and relied upon by the Holder). For purposes of this Section 2(f), in determining the number of outstanding shares of Common Stock, a Holder may rely on the number of outstanding shares of Common Stock as reflected in (A) the Company’s most recent periodic or annual report filed with the Commission, as the case may be,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030" w:right="339" w:bottom="1440" w:gutter="0" w:footer="0" w:header="0"/>
        </w:sectPr>
      </w:pPr>
    </w:p>
    <w:bookmarkStart w:id="13" w:name="page14"/>
    <w:bookmarkEnd w:id="13"/>
    <w:p>
      <w:pPr>
        <w:ind w:left="-8" w:right="20" w:firstLine="8"/>
        <w:spacing w:after="0" w:line="232" w:lineRule="auto"/>
        <w:tabs>
          <w:tab w:leader="none" w:pos="33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22"/>
          <w:szCs w:val="22"/>
          <w:u w:val="single" w:color="auto"/>
          <w:color w:val="auto"/>
        </w:rPr>
        <w:t>Beneficial Ownership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Limitation</w:t>
      </w:r>
      <w:r>
        <w:rPr>
          <w:rFonts w:ascii="Times New Roman" w:cs="Times New Roman" w:eastAsia="Times New Roman" w:hAnsi="Times New Roman"/>
          <w:sz w:val="22"/>
          <w:szCs w:val="22"/>
          <w:color w:val="auto"/>
        </w:rPr>
        <w:t xml:space="preserve">” shall be 4.99% (or, at the election of the Holder prior to the issuance of this Warrant, 9.99%) of the number of shares of the Common Stock outstanding immediately after giving effect to the issuance of shares of Common Stock issuable upon exercise of this Warrant. The Holder, upon written notice to the Company, may increase or decrease the Beneficial Ownership Limitation provisions of this Section 2(f),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2(f)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2(f)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If this Warrant is unexercisable as a result of the Holder’s Beneficial Ownership Limitation, no alternate consideration is owing to the Holder. For the avoidance of doubt, the restrictions on exercise of any portion of this Warrant in this Section 2(f), the restrictions on participation in any Purchase Right in Section 3(b) and the restrictions on participation in any Distribution in Section 3(c) shall not prevent or limit any such exercise or participation by the Holder if the number of shares of Common Stock beneficially owned by the Holder and its Affiliates and Attribution Parties immediately prior to giving effect to such exercise or participation exceeds 9.99% of the number of shares of the Common Stock outstanding immediately prior to giving effect to such exercise or participation.</w:t>
      </w:r>
    </w:p>
    <w:p>
      <w:pPr>
        <w:spacing w:after="0" w:line="179" w:lineRule="exact"/>
        <w:rPr>
          <w:sz w:val="20"/>
          <w:szCs w:val="20"/>
          <w:color w:val="auto"/>
        </w:rPr>
      </w:pPr>
    </w:p>
    <w:p>
      <w:pPr>
        <w:ind w:left="652"/>
        <w:spacing w:after="0"/>
        <w:tabs>
          <w:tab w:leader="none" w:pos="1872"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u w:val="single" w:color="auto"/>
          <w:color w:val="auto"/>
        </w:rPr>
        <w:t>Certain Adjustments; Rights Offering</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8" w:firstLine="656"/>
        <w:spacing w:after="0" w:line="233" w:lineRule="auto"/>
        <w:tabs>
          <w:tab w:leader="none" w:pos="156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Dividends and Splits</w:t>
      </w:r>
      <w:r>
        <w:rPr>
          <w:rFonts w:ascii="Times New Roman" w:cs="Times New Roman" w:eastAsia="Times New Roman" w:hAnsi="Times New Roman"/>
          <w:sz w:val="22"/>
          <w:szCs w:val="22"/>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w:t>
      </w:r>
    </w:p>
    <w:p>
      <w:pPr>
        <w:spacing w:after="0" w:line="19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030" w:right="339" w:bottom="1440" w:gutter="0" w:footer="0" w:header="0"/>
        </w:sectPr>
      </w:pPr>
    </w:p>
    <w:bookmarkStart w:id="14" w:name="page15"/>
    <w:bookmarkEnd w:id="14"/>
    <w:p>
      <w:pPr>
        <w:jc w:val="both"/>
        <w:ind w:right="60"/>
        <w:spacing w:after="0" w:line="244" w:lineRule="auto"/>
        <w:rPr>
          <w:sz w:val="20"/>
          <w:szCs w:val="20"/>
          <w:color w:val="auto"/>
        </w:rPr>
      </w:pPr>
      <w:r>
        <w:rPr>
          <w:rFonts w:ascii="Times New Roman" w:cs="Times New Roman" w:eastAsia="Times New Roman" w:hAnsi="Times New Roman"/>
          <w:sz w:val="22"/>
          <w:szCs w:val="22"/>
          <w:color w:val="auto"/>
        </w:rPr>
        <w:t>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73" w:lineRule="exact"/>
        <w:rPr>
          <w:sz w:val="20"/>
          <w:szCs w:val="20"/>
          <w:color w:val="auto"/>
        </w:rPr>
      </w:pPr>
    </w:p>
    <w:p>
      <w:pPr>
        <w:jc w:val="both"/>
        <w:ind w:firstLine="656"/>
        <w:spacing w:after="0" w:line="233" w:lineRule="auto"/>
        <w:tabs>
          <w:tab w:leader="none" w:pos="142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Subsequent Rights Offerings</w:t>
      </w:r>
      <w:r>
        <w:rPr>
          <w:rFonts w:ascii="Times New Roman" w:cs="Times New Roman" w:eastAsia="Times New Roman" w:hAnsi="Times New Roman"/>
          <w:sz w:val="22"/>
          <w:szCs w:val="22"/>
          <w:color w:val="auto"/>
        </w:rPr>
        <w:t>. If at any time this Warrant is outstanding the Company grants, issues or sells any Common Stock Equivalents or rights to purchase shares, warrants, securities or other property pro rata to all of the record holders of any class of shares of Common Stock (the “</w:t>
      </w:r>
      <w:r>
        <w:rPr>
          <w:rFonts w:ascii="Times New Roman" w:cs="Times New Roman" w:eastAsia="Times New Roman" w:hAnsi="Times New Roman"/>
          <w:sz w:val="22"/>
          <w:szCs w:val="22"/>
          <w:u w:val="single" w:color="auto"/>
          <w:color w:val="auto"/>
        </w:rPr>
        <w:t>Purchase Rights</w:t>
      </w:r>
      <w:r>
        <w:rPr>
          <w:rFonts w:ascii="Times New Roman" w:cs="Times New Roman" w:eastAsia="Times New Roman" w:hAnsi="Times New Roman"/>
          <w:sz w:val="22"/>
          <w:szCs w:val="22"/>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2"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2"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 Rata Distributions</w:t>
      </w:r>
      <w:r>
        <w:rPr>
          <w:rFonts w:ascii="Times New Roman" w:cs="Times New Roman" w:eastAsia="Times New Roman" w:hAnsi="Times New Roman"/>
          <w:sz w:val="21"/>
          <w:szCs w:val="21"/>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21"/>
          <w:szCs w:val="21"/>
          <w:u w:val="single" w:color="auto"/>
          <w:color w:val="auto"/>
        </w:rPr>
        <w:t>Distribution</w:t>
      </w:r>
      <w:r>
        <w:rPr>
          <w:rFonts w:ascii="Times New Roman" w:cs="Times New Roman" w:eastAsia="Times New Roman" w:hAnsi="Times New Roman"/>
          <w:sz w:val="21"/>
          <w:szCs w:val="21"/>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15" w:name="page16"/>
    <w:bookmarkEnd w:id="15"/>
    <w:p>
      <w:pPr>
        <w:jc w:val="both"/>
        <w:ind w:left="-20" w:firstLine="656"/>
        <w:spacing w:after="0" w:line="231" w:lineRule="auto"/>
        <w:tabs>
          <w:tab w:leader="none" w:pos="128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Fundamental Transaction</w:t>
      </w:r>
      <w:r>
        <w:rPr>
          <w:rFonts w:ascii="Times New Roman" w:cs="Times New Roman" w:eastAsia="Times New Roman" w:hAnsi="Times New Roman"/>
          <w:sz w:val="22"/>
          <w:szCs w:val="22"/>
          <w:color w:val="auto"/>
        </w:rPr>
        <w:t>. If, at any time while this Warrant is outstanding, (i) the Company, directly or indirectly, in one or more related transactions effects any merger or consolidation of the Company with or into another Person, (ii) the Company (or any subsidiary of the Company), directly or indirectly, effects any sale, lease, license, assignment, transfer, conveyance or other disposition of all or substantially all of the Company’s consolidated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voting power of the common equity of the Company, (iv) the Company, directly or indirectly, in one or more related transactions effects any reclassification, reorganization or recapitalization of shares of Common Stock or any compulsory share exchange pursuant to which the shares of Common Stock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voting power of the common equity of the Company (each, other than an Internal Reorganization (as defined below), a “</w:t>
      </w:r>
      <w:r>
        <w:rPr>
          <w:rFonts w:ascii="Times New Roman" w:cs="Times New Roman" w:eastAsia="Times New Roman" w:hAnsi="Times New Roman"/>
          <w:sz w:val="22"/>
          <w:szCs w:val="22"/>
          <w:u w:val="single" w:color="auto"/>
          <w:color w:val="auto"/>
        </w:rPr>
        <w:t>Fundamental Transaction</w:t>
      </w:r>
      <w:r>
        <w:rPr>
          <w:rFonts w:ascii="Times New Roman" w:cs="Times New Roman" w:eastAsia="Times New Roman" w:hAnsi="Times New Roman"/>
          <w:sz w:val="22"/>
          <w:szCs w:val="22"/>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2(f)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22"/>
          <w:szCs w:val="22"/>
          <w:u w:val="single" w:color="auto"/>
          <w:color w:val="auto"/>
        </w:rPr>
        <w:t>Alternate Consideration</w:t>
      </w:r>
      <w:r>
        <w:rPr>
          <w:rFonts w:ascii="Times New Roman" w:cs="Times New Roman" w:eastAsia="Times New Roman" w:hAnsi="Times New Roman"/>
          <w:sz w:val="22"/>
          <w:szCs w:val="22"/>
          <w:color w:val="auto"/>
        </w:rPr>
        <w:t>”) receivable as a result of such Fundamental Transaction by a holder of the number of shares of Common Stock for which this Warrant is exercisable immediately prior to such Fundamental Transaction (without regard to any limitation in Section 2(f)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use commercially reasonable efforts to cause any successor entity in a Fundamental Transaction in which the Company is not the survivor (the “</w:t>
      </w:r>
      <w:r>
        <w:rPr>
          <w:rFonts w:ascii="Times New Roman" w:cs="Times New Roman" w:eastAsia="Times New Roman" w:hAnsi="Times New Roman"/>
          <w:sz w:val="22"/>
          <w:szCs w:val="22"/>
          <w:u w:val="single" w:color="auto"/>
          <w:color w:val="auto"/>
        </w:rPr>
        <w:t>Successor Entity</w:t>
      </w:r>
      <w:r>
        <w:rPr>
          <w:rFonts w:ascii="Times New Roman" w:cs="Times New Roman" w:eastAsia="Times New Roman" w:hAnsi="Times New Roman"/>
          <w:sz w:val="22"/>
          <w:szCs w:val="22"/>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030" w:right="339" w:bottom="1440" w:gutter="0" w:footer="0" w:header="0"/>
        </w:sectPr>
      </w:pPr>
    </w:p>
    <w:bookmarkStart w:id="16" w:name="page17"/>
    <w:bookmarkEnd w:id="16"/>
    <w:p>
      <w:pPr>
        <w:spacing w:after="0" w:line="242" w:lineRule="auto"/>
        <w:rPr>
          <w:sz w:val="20"/>
          <w:szCs w:val="20"/>
          <w:color w:val="auto"/>
        </w:rPr>
      </w:pPr>
      <w:r>
        <w:rPr>
          <w:rFonts w:ascii="Times New Roman" w:cs="Times New Roman" w:eastAsia="Times New Roman" w:hAnsi="Times New Roman"/>
          <w:sz w:val="21"/>
          <w:szCs w:val="21"/>
          <w:color w:val="auto"/>
        </w:rPr>
        <w:t>Upon the occurrence of any such Fundamental Transaction, the Successor Entity shall succeed to, and be substituted for (so that from and after the date of such Fundamental Transaction, the provisions of this Warrant and the other Transaction Documents referring to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xml:space="preserve">”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Notwithstanding anything to the contrary, in the event of a Fundamental Transaction, the Company or any Successor Entity (as defined below) shall, at the Holder’s option, exercisable at any time concurrently with, or within thirty (30) days after, the consummation of the Fundamental Transaction (or, if later, the date of the public announcement of the applicable Fundamental Transaction), purchase this Warrant from the Holder by paying to the Holder, as described below, an amount of cash equal to the Black Scholes Value (as defined below) of the remaining unexercised portion of this Warrant on the date of the consummation of such Fundamental Transaction,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the Fundamental Transaction is not within the Company’s control, including not approved by the board of directors of the Company, Holder shall only be entitled to receive from the Company or any Successor Entity, as of the date of the consummation of such Fundamental Transaction the same type or form of consideration (and in the same proportion), valued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if holders of Common Stock of the Company are not offered or paid any consideration in such Fundamental Transaction, such holders of Common Stock will be deemed to have received shares of the Successor Entity (which Successor Entity may be the Company following such Fundamental Transaction) in such Fundamental Transaction. “</w:t>
      </w:r>
      <w:r>
        <w:rPr>
          <w:rFonts w:ascii="Times New Roman" w:cs="Times New Roman" w:eastAsia="Times New Roman" w:hAnsi="Times New Roman"/>
          <w:sz w:val="21"/>
          <w:szCs w:val="21"/>
          <w:u w:val="single" w:color="auto"/>
          <w:color w:val="auto"/>
        </w:rPr>
        <w:t>Black Scholes Value</w:t>
      </w:r>
      <w:r>
        <w:rPr>
          <w:rFonts w:ascii="Times New Roman" w:cs="Times New Roman" w:eastAsia="Times New Roman" w:hAnsi="Times New Roman"/>
          <w:sz w:val="21"/>
          <w:szCs w:val="21"/>
          <w:color w:val="auto"/>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100%,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announcement of the applicable Fundamental Transaction (or the consummation of the applicable Fundamental Transaction, if earlier) and ending on the Trading Day of the Holder’s request pursuant to this Section 3(d) and (D) a remaining option time equal to the time between the date of the public announcement of the applicable Fundamental Transaction and the Termination Date and (E) a zero cost of borrow.</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17" w:name="page18"/>
    <w:bookmarkEnd w:id="17"/>
    <w:p>
      <w:pPr>
        <w:jc w:val="both"/>
        <w:ind w:right="40"/>
        <w:spacing w:after="0" w:line="239" w:lineRule="auto"/>
        <w:rPr>
          <w:sz w:val="20"/>
          <w:szCs w:val="20"/>
          <w:color w:val="auto"/>
        </w:rPr>
      </w:pPr>
      <w:r>
        <w:rPr>
          <w:rFonts w:ascii="Times New Roman" w:cs="Times New Roman" w:eastAsia="Times New Roman" w:hAnsi="Times New Roman"/>
          <w:sz w:val="22"/>
          <w:szCs w:val="22"/>
          <w:color w:val="auto"/>
        </w:rPr>
        <w:t>The payment of the Black Scholes Value will be made by wire transfer of immediately available funds within five Business Days of the Holder’s election (or, if later, on the effective date of the Fundamental Transaction). For the avoidance of doubt, the Holder shall be entitled to the benefits of the provisions of this Section 3(d) regardless of whether the Company has sufficient authorized shares of Common Stock for the issuance of the Warrant Shares.</w:t>
      </w:r>
    </w:p>
    <w:p>
      <w:pPr>
        <w:spacing w:after="0" w:line="180" w:lineRule="exact"/>
        <w:rPr>
          <w:sz w:val="20"/>
          <w:szCs w:val="20"/>
          <w:color w:val="auto"/>
        </w:rPr>
      </w:pPr>
    </w:p>
    <w:p>
      <w:pPr>
        <w:jc w:val="both"/>
        <w:ind w:firstLine="656"/>
        <w:spacing w:after="0" w:line="233" w:lineRule="auto"/>
        <w:tabs>
          <w:tab w:leader="none" w:pos="167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Internal Reorganization</w:t>
      </w:r>
      <w:r>
        <w:rPr>
          <w:rFonts w:ascii="Times New Roman" w:cs="Times New Roman" w:eastAsia="Times New Roman" w:hAnsi="Times New Roman"/>
          <w:sz w:val="22"/>
          <w:szCs w:val="22"/>
          <w:color w:val="auto"/>
        </w:rPr>
        <w:t>. If, at any time while this Warrant is outstanding, the Company consummates any transaction of the type listed in clauses (i) to (v) of Section 3(d) solely with one or more of its Affiliates (each, an “</w:t>
      </w:r>
      <w:r>
        <w:rPr>
          <w:rFonts w:ascii="Times New Roman" w:cs="Times New Roman" w:eastAsia="Times New Roman" w:hAnsi="Times New Roman"/>
          <w:sz w:val="22"/>
          <w:szCs w:val="22"/>
          <w:u w:val="single" w:color="auto"/>
          <w:color w:val="auto"/>
        </w:rPr>
        <w:t>Internal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Reorganization</w:t>
      </w:r>
      <w:r>
        <w:rPr>
          <w:rFonts w:ascii="Times New Roman" w:cs="Times New Roman" w:eastAsia="Times New Roman" w:hAnsi="Times New Roman"/>
          <w:sz w:val="22"/>
          <w:szCs w:val="22"/>
          <w:color w:val="auto"/>
        </w:rPr>
        <w:t>”), then, notwithstanding anything to the contrary in Section 3(d), as a part of such Internal Reorganization, lawful provision shall be made so that the Holder shall thereafter be entitled to receive upon exercise of this Warrant, the kind and amount of securities, cash or other property of the successor entity resulting from such Internal Reorganization, equivalent in value to that which a holder of the Warrant Shares deliverable upon exercise of this Warrant would have been entitled in such Internal Reorganization if the right to purchase the Warrant Shares hereunder had been exercised immediately prior to such Internal Reorganization. In any such case, appropriate adjustment (as determined in good faith by the board of directors or equivalent governing body of the successor entity) shall be made in the application of the provisions of this Warrant with respect to the rights and interests of the Holder after such Internal Reorganization (including provisions for adjustments of the number of securities purchasable and receivable upon the exercise of this Warrant) to the end that the provisions of this Warrant shall be applicable after the event, as near as reasonably may be, in relation to any securities deliverable after that event upon the exercise of this Warrant.</w:t>
      </w:r>
    </w:p>
    <w:p>
      <w:pPr>
        <w:spacing w:after="0" w:line="191" w:lineRule="exact"/>
        <w:rPr>
          <w:rFonts w:ascii="Times New Roman" w:cs="Times New Roman" w:eastAsia="Times New Roman" w:hAnsi="Times New Roman"/>
          <w:sz w:val="22"/>
          <w:szCs w:val="22"/>
          <w:color w:val="auto"/>
        </w:rPr>
      </w:pPr>
    </w:p>
    <w:p>
      <w:pPr>
        <w:jc w:val="both"/>
        <w:ind w:firstLine="656"/>
        <w:spacing w:after="0" w:line="218" w:lineRule="auto"/>
        <w:tabs>
          <w:tab w:leader="none" w:pos="146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Calculations</w:t>
      </w:r>
      <w:r>
        <w:rPr>
          <w:rFonts w:ascii="Times New Roman" w:cs="Times New Roman" w:eastAsia="Times New Roman" w:hAnsi="Times New Roman"/>
          <w:sz w:val="22"/>
          <w:szCs w:val="22"/>
          <w:color w:val="auto"/>
        </w:rPr>
        <w:t>. All calculations under this Section 3 shall be made to the nearest cent or the nearest 1/100</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7" w:lineRule="exact"/>
        <w:rPr>
          <w:rFonts w:ascii="Times New Roman" w:cs="Times New Roman" w:eastAsia="Times New Roman" w:hAnsi="Times New Roman"/>
          <w:sz w:val="22"/>
          <w:szCs w:val="22"/>
          <w:color w:val="auto"/>
        </w:rPr>
      </w:pPr>
    </w:p>
    <w:p>
      <w:pPr>
        <w:ind w:left="1260" w:hanging="604"/>
        <w:spacing w:after="0"/>
        <w:tabs>
          <w:tab w:leader="none" w:pos="12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to Holder</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304"/>
        <w:spacing w:after="0" w:line="239" w:lineRule="auto"/>
        <w:tabs>
          <w:tab w:leader="none" w:pos="2071" w:val="left"/>
        </w:tabs>
        <w:numPr>
          <w:ilvl w:val="1"/>
          <w:numId w:val="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Adjustment to Exercise Price</w:t>
      </w:r>
      <w:r>
        <w:rPr>
          <w:rFonts w:ascii="Times New Roman" w:cs="Times New Roman" w:eastAsia="Times New Roman" w:hAnsi="Times New Roman"/>
          <w:sz w:val="22"/>
          <w:szCs w:val="22"/>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180" w:lineRule="exact"/>
        <w:rPr>
          <w:rFonts w:ascii="Times New Roman" w:cs="Times New Roman" w:eastAsia="Times New Roman" w:hAnsi="Times New Roman"/>
          <w:sz w:val="22"/>
          <w:szCs w:val="22"/>
          <w:color w:val="010000"/>
        </w:rPr>
      </w:pPr>
    </w:p>
    <w:p>
      <w:pPr>
        <w:jc w:val="both"/>
        <w:ind w:firstLine="1304"/>
        <w:spacing w:after="0" w:line="238" w:lineRule="auto"/>
        <w:tabs>
          <w:tab w:leader="none" w:pos="1938" w:val="left"/>
        </w:tabs>
        <w:numPr>
          <w:ilvl w:val="1"/>
          <w:numId w:val="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Notice to Allow Exercise by Holder</w:t>
      </w:r>
      <w:r>
        <w:rPr>
          <w:rFonts w:ascii="Times New Roman" w:cs="Times New Roman" w:eastAsia="Times New Roman" w:hAnsi="Times New Roman"/>
          <w:sz w:val="22"/>
          <w:szCs w:val="22"/>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shares of Common Stock rights or warrants to subscribe for or purchase any shares of capital stock of any class or any rights, (D) the approval of any stockholders of the Company shall be required in connection with a Fundamental Transaction or an Internal Reorganization, or</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18" w:name="page19"/>
    <w:bookmarkEnd w:id="18"/>
    <w:p>
      <w:pPr>
        <w:ind w:left="-8" w:right="60" w:firstLine="8"/>
        <w:spacing w:after="0" w:line="244" w:lineRule="auto"/>
        <w:tabs>
          <w:tab w:leader="none" w:pos="322"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Company’s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78" w:lineRule="exact"/>
        <w:rPr>
          <w:rFonts w:ascii="Times New Roman" w:cs="Times New Roman" w:eastAsia="Times New Roman" w:hAnsi="Times New Roman"/>
          <w:sz w:val="21"/>
          <w:szCs w:val="21"/>
          <w:color w:val="auto"/>
        </w:rPr>
      </w:pPr>
    </w:p>
    <w:p>
      <w:pPr>
        <w:jc w:val="both"/>
        <w:ind w:left="-8" w:firstLine="656"/>
        <w:spacing w:after="0" w:line="244" w:lineRule="auto"/>
        <w:tabs>
          <w:tab w:leader="none" w:pos="1283"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Adjustment by Company</w:t>
      </w:r>
      <w:r>
        <w:rPr>
          <w:rFonts w:ascii="Times New Roman" w:cs="Times New Roman" w:eastAsia="Times New Roman" w:hAnsi="Times New Roman"/>
          <w:sz w:val="22"/>
          <w:szCs w:val="22"/>
          <w:color w:val="auto"/>
        </w:rPr>
        <w:t>. Subject to the rules and regulations of the Trading Market, the Company may at any time while this Warrant is outstanding, reduce (temporarily or permanently) the then-current Exercise Price to any amount and for any period of time deemed appropriate by the board of directors of the Company in its sole discretion.</w:t>
      </w:r>
    </w:p>
    <w:p>
      <w:pPr>
        <w:spacing w:after="0" w:line="173" w:lineRule="exact"/>
        <w:rPr>
          <w:sz w:val="20"/>
          <w:szCs w:val="20"/>
          <w:color w:val="auto"/>
        </w:rPr>
      </w:pPr>
    </w:p>
    <w:p>
      <w:pPr>
        <w:ind w:left="652"/>
        <w:spacing w:after="0"/>
        <w:tabs>
          <w:tab w:leader="none" w:pos="1872" w:val="left"/>
        </w:tabs>
        <w:rPr>
          <w:sz w:val="20"/>
          <w:szCs w:val="20"/>
          <w:color w:val="auto"/>
        </w:rPr>
      </w:pPr>
      <w:r>
        <w:rPr>
          <w:rFonts w:ascii="Times New Roman" w:cs="Times New Roman" w:eastAsia="Times New Roman" w:hAnsi="Times New Roman"/>
          <w:sz w:val="22"/>
          <w:szCs w:val="22"/>
          <w:color w:val="auto"/>
        </w:rPr>
        <w:t>Section 4.</w:t>
      </w:r>
      <w:r>
        <w:rPr>
          <w:sz w:val="20"/>
          <w:szCs w:val="20"/>
          <w:color w:val="auto"/>
        </w:rPr>
        <w:tab/>
      </w:r>
      <w:r>
        <w:rPr>
          <w:rFonts w:ascii="Times New Roman" w:cs="Times New Roman" w:eastAsia="Times New Roman" w:hAnsi="Times New Roman"/>
          <w:sz w:val="21"/>
          <w:szCs w:val="21"/>
          <w:u w:val="single" w:color="auto"/>
          <w:color w:val="auto"/>
        </w:rPr>
        <w:t>Transfer of Warrant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8" w:firstLine="656"/>
        <w:spacing w:after="0" w:line="233" w:lineRule="auto"/>
        <w:tabs>
          <w:tab w:leader="none" w:pos="1419"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84" w:lineRule="exact"/>
        <w:rPr>
          <w:rFonts w:ascii="Times New Roman" w:cs="Times New Roman" w:eastAsia="Times New Roman" w:hAnsi="Times New Roman"/>
          <w:sz w:val="22"/>
          <w:szCs w:val="22"/>
          <w:color w:val="auto"/>
        </w:rPr>
      </w:pPr>
    </w:p>
    <w:p>
      <w:pPr>
        <w:jc w:val="both"/>
        <w:ind w:left="-8" w:firstLine="656"/>
        <w:spacing w:after="0" w:line="244" w:lineRule="auto"/>
        <w:tabs>
          <w:tab w:leader="none" w:pos="1459"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Warrants</w:t>
      </w:r>
      <w:r>
        <w:rPr>
          <w:rFonts w:ascii="Times New Roman" w:cs="Times New Roman" w:eastAsia="Times New Roman" w:hAnsi="Times New Roman"/>
          <w:sz w:val="22"/>
          <w:szCs w:val="22"/>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w:t>
      </w:r>
    </w:p>
    <w:p>
      <w:pPr>
        <w:spacing w:after="0" w:line="18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030" w:right="339" w:bottom="1440" w:gutter="0" w:footer="0" w:header="0"/>
        </w:sectPr>
      </w:pPr>
    </w:p>
    <w:bookmarkStart w:id="19" w:name="page20"/>
    <w:bookmarkEnd w:id="19"/>
    <w:p>
      <w:pPr>
        <w:ind w:right="40"/>
        <w:spacing w:after="0" w:line="239" w:lineRule="auto"/>
        <w:rPr>
          <w:sz w:val="20"/>
          <w:szCs w:val="20"/>
          <w:color w:val="auto"/>
        </w:rPr>
      </w:pPr>
      <w:r>
        <w:rPr>
          <w:rFonts w:ascii="Times New Roman" w:cs="Times New Roman" w:eastAsia="Times New Roman" w:hAnsi="Times New Roman"/>
          <w:sz w:val="22"/>
          <w:szCs w:val="22"/>
          <w:color w:val="auto"/>
        </w:rPr>
        <w:t>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maintain the Issuance Date of this Warrant and shall be identical with this Warrant except as to the number of Warrant Shares issuable pursuant thereto.</w:t>
      </w:r>
    </w:p>
    <w:p>
      <w:pPr>
        <w:spacing w:after="0" w:line="180" w:lineRule="exact"/>
        <w:rPr>
          <w:sz w:val="20"/>
          <w:szCs w:val="20"/>
          <w:color w:val="auto"/>
        </w:rPr>
      </w:pPr>
    </w:p>
    <w:p>
      <w:pPr>
        <w:jc w:val="both"/>
        <w:ind w:firstLine="656"/>
        <w:spacing w:after="0" w:line="239" w:lineRule="auto"/>
        <w:tabs>
          <w:tab w:leader="none" w:pos="123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Warrant Register</w:t>
      </w:r>
      <w:r>
        <w:rPr>
          <w:rFonts w:ascii="Times New Roman" w:cs="Times New Roman" w:eastAsia="Times New Roman" w:hAnsi="Times New Roman"/>
          <w:sz w:val="22"/>
          <w:szCs w:val="22"/>
          <w:color w:val="auto"/>
        </w:rPr>
        <w:t>. The Company shall register this Warrant, upon records to be maintained by the Company for that purpose (the “</w:t>
      </w:r>
      <w:r>
        <w:rPr>
          <w:rFonts w:ascii="Times New Roman" w:cs="Times New Roman" w:eastAsia="Times New Roman" w:hAnsi="Times New Roman"/>
          <w:sz w:val="22"/>
          <w:szCs w:val="22"/>
          <w:u w:val="single" w:color="auto"/>
          <w:color w:val="auto"/>
        </w:rPr>
        <w:t>Warrant Register</w:t>
      </w:r>
      <w:r>
        <w:rPr>
          <w:rFonts w:ascii="Times New Roman" w:cs="Times New Roman" w:eastAsia="Times New Roman" w:hAnsi="Times New Roman"/>
          <w:sz w:val="22"/>
          <w:szCs w:val="22"/>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0"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56"/>
        <w:spacing w:after="0" w:line="238" w:lineRule="auto"/>
        <w:tabs>
          <w:tab w:leader="none" w:pos="134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as Stockholder Until Exercise; No Settlement in Cash</w:t>
      </w:r>
      <w:r>
        <w:rPr>
          <w:rFonts w:ascii="Times New Roman" w:cs="Times New Roman" w:eastAsia="Times New Roman" w:hAnsi="Times New Roman"/>
          <w:sz w:val="22"/>
          <w:szCs w:val="22"/>
          <w:color w:val="auto"/>
        </w:rPr>
        <w:t>. This Warrant does not entitle the Holder to any voting rights, dividends or other rights as a stockholder of the Company prior to the exercise hereof as set forth in Section 2(e)(i), except as expressly set forth in Section 3. Without limiting the rights of a Holder to receive Warrant Shares on a “cashless exercise” and to receive the cash payments contemplated pursuant to Sections 2(e)(i) and 2(e)(iv), in no event will the Company be required to net cash settle an exercise of this Warrant.</w:t>
      </w:r>
    </w:p>
    <w:p>
      <w:pPr>
        <w:spacing w:after="0" w:line="176" w:lineRule="exact"/>
        <w:rPr>
          <w:rFonts w:ascii="Times New Roman" w:cs="Times New Roman" w:eastAsia="Times New Roman" w:hAnsi="Times New Roman"/>
          <w:sz w:val="22"/>
          <w:szCs w:val="22"/>
          <w:color w:val="auto"/>
        </w:rPr>
      </w:pPr>
    </w:p>
    <w:p>
      <w:pPr>
        <w:jc w:val="both"/>
        <w:ind w:firstLine="656"/>
        <w:spacing w:after="0" w:line="235" w:lineRule="auto"/>
        <w:tabs>
          <w:tab w:leader="none" w:pos="134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Loss, Theft, Destruction or Mutilation of Warrant</w:t>
      </w:r>
      <w:r>
        <w:rPr>
          <w:rFonts w:ascii="Times New Roman" w:cs="Times New Roman" w:eastAsia="Times New Roman" w:hAnsi="Times New Roman"/>
          <w:sz w:val="22"/>
          <w:szCs w:val="22"/>
          <w:color w:val="auto"/>
        </w:rPr>
        <w:t>. The Company covenants that upon receipt by the Company of evidence reasonably satisfactory to it of the loss, theft, destruction or mutilation of this Warrant, and in case of loss, theft or destruction, of indemnity or security reasonably satisfactory to it (which shall not include the posting of any bond), and upon surrender and cancellation of such Warrant, if mutilated, the Company will make and deliver a new Warrant of like tenor and dated as of such cancellation, in lieu of such Warrant. The applicant for a new certificate or instrument under such circumstances shall pay any reasonable third-party costs (including customary indemnity) associated with the issuance of such replacement warrant.</w:t>
      </w:r>
    </w:p>
    <w:p>
      <w:pPr>
        <w:spacing w:after="0" w:line="183"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Saturdays, Sundays, Holidays, etc</w:t>
      </w:r>
      <w:r>
        <w:rPr>
          <w:rFonts w:ascii="Times New Roman" w:cs="Times New Roman" w:eastAsia="Times New Roman" w:hAnsi="Times New Roman"/>
          <w:sz w:val="22"/>
          <w:szCs w:val="22"/>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73" w:lineRule="exact"/>
        <w:rPr>
          <w:rFonts w:ascii="Times New Roman" w:cs="Times New Roman" w:eastAsia="Times New Roman" w:hAnsi="Times New Roman"/>
          <w:sz w:val="22"/>
          <w:szCs w:val="22"/>
          <w:color w:val="auto"/>
        </w:rPr>
      </w:pPr>
    </w:p>
    <w:p>
      <w:pPr>
        <w:jc w:val="both"/>
        <w:ind w:firstLine="656"/>
        <w:spacing w:after="0" w:line="235" w:lineRule="auto"/>
        <w:tabs>
          <w:tab w:leader="none" w:pos="133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Authorized Shares</w:t>
      </w:r>
      <w:r>
        <w:rPr>
          <w:rFonts w:ascii="Times New Roman" w:cs="Times New Roman" w:eastAsia="Times New Roman" w:hAnsi="Times New Roman"/>
          <w:sz w:val="22"/>
          <w:szCs w:val="22"/>
          <w:color w:val="auto"/>
        </w:rPr>
        <w:t>. The Company covenants that, at all times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20" w:name="page21"/>
    <w:bookmarkEnd w:id="20"/>
    <w:p>
      <w:pPr>
        <w:ind w:right="220"/>
        <w:spacing w:after="0" w:line="238" w:lineRule="auto"/>
        <w:rPr>
          <w:sz w:val="20"/>
          <w:szCs w:val="20"/>
          <w:color w:val="auto"/>
        </w:rPr>
      </w:pPr>
      <w:r>
        <w:rPr>
          <w:rFonts w:ascii="Times New Roman" w:cs="Times New Roman" w:eastAsia="Times New Roman" w:hAnsi="Times New Roman"/>
          <w:sz w:val="22"/>
          <w:szCs w:val="22"/>
          <w:color w:val="auto"/>
        </w:rPr>
        <w:t>The Company covenants that all Warrant Shares that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7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3" w:lineRule="exact"/>
        <w:rPr>
          <w:sz w:val="20"/>
          <w:szCs w:val="20"/>
          <w:color w:val="auto"/>
        </w:rPr>
      </w:pPr>
    </w:p>
    <w:p>
      <w:pPr>
        <w:ind w:firstLine="656"/>
        <w:spacing w:after="0" w:line="258" w:lineRule="auto"/>
        <w:tabs>
          <w:tab w:leader="none" w:pos="145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Jurisdiction</w:t>
      </w:r>
      <w:r>
        <w:rPr>
          <w:rFonts w:ascii="Times New Roman" w:cs="Times New Roman" w:eastAsia="Times New Roman" w:hAnsi="Times New Roman"/>
          <w:sz w:val="22"/>
          <w:szCs w:val="22"/>
          <w:color w:val="auto"/>
        </w:rPr>
        <w:t>. All questions concerning the construction, validity, enforcement and interpretation of this Warrant shall be determined in accordance with the provisions of the Purchase Agreement.</w:t>
      </w:r>
    </w:p>
    <w:p>
      <w:pPr>
        <w:spacing w:after="0" w:line="158" w:lineRule="exact"/>
        <w:rPr>
          <w:rFonts w:ascii="Times New Roman" w:cs="Times New Roman" w:eastAsia="Times New Roman" w:hAnsi="Times New Roman"/>
          <w:sz w:val="22"/>
          <w:szCs w:val="22"/>
          <w:color w:val="auto"/>
        </w:rPr>
      </w:pPr>
    </w:p>
    <w:p>
      <w:pPr>
        <w:jc w:val="both"/>
        <w:ind w:firstLine="656"/>
        <w:spacing w:after="0" w:line="244" w:lineRule="auto"/>
        <w:tabs>
          <w:tab w:leader="none" w:pos="135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w:t>
      </w:r>
      <w:r>
        <w:rPr>
          <w:rFonts w:ascii="Times New Roman" w:cs="Times New Roman" w:eastAsia="Times New Roman" w:hAnsi="Times New Roman"/>
          <w:sz w:val="22"/>
          <w:szCs w:val="22"/>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73" w:lineRule="exact"/>
        <w:rPr>
          <w:rFonts w:ascii="Times New Roman" w:cs="Times New Roman" w:eastAsia="Times New Roman" w:hAnsi="Times New Roman"/>
          <w:sz w:val="22"/>
          <w:szCs w:val="22"/>
          <w:color w:val="auto"/>
        </w:rPr>
      </w:pPr>
    </w:p>
    <w:p>
      <w:pPr>
        <w:jc w:val="both"/>
        <w:ind w:firstLine="656"/>
        <w:spacing w:after="0" w:line="235" w:lineRule="auto"/>
        <w:tabs>
          <w:tab w:leader="none" w:pos="133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Nonwaiver and Expenses</w:t>
      </w:r>
      <w:r>
        <w:rPr>
          <w:rFonts w:ascii="Times New Roman" w:cs="Times New Roman" w:eastAsia="Times New Roman" w:hAnsi="Times New Roman"/>
          <w:sz w:val="22"/>
          <w:szCs w:val="22"/>
          <w:color w:val="auto"/>
        </w:rPr>
        <w:t>. No course of dealing or any delay or failure to exercise any right hereunder on the part of Holder shall operate as a waiver of such right or otherwise prejudice the Holder’s rights, powers or remedies. For the avoidance of doubt, the foregoing shall in no way modify or qualify the right to exercise this Warrant terminating on the Termination Date. Without limiting any other provision of this Warrant, if the Company willfully and knowingly fails to comply with any provision of this Warrant or the Purchase Agreement,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21" w:name="page22"/>
    <w:bookmarkEnd w:id="21"/>
    <w:p>
      <w:pPr>
        <w:ind w:left="-20" w:firstLine="656"/>
        <w:spacing w:after="0" w:line="258" w:lineRule="auto"/>
        <w:tabs>
          <w:tab w:leader="none" w:pos="127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request or other document required or permitted to be given or delivered to the Holder by the Company shall be delivered in accordance with the notice provisions of the Purchase Agreement.</w:t>
      </w:r>
    </w:p>
    <w:p>
      <w:pPr>
        <w:spacing w:after="0" w:line="158" w:lineRule="exact"/>
        <w:rPr>
          <w:rFonts w:ascii="Times New Roman" w:cs="Times New Roman" w:eastAsia="Times New Roman" w:hAnsi="Times New Roman"/>
          <w:sz w:val="22"/>
          <w:szCs w:val="22"/>
          <w:color w:val="auto"/>
        </w:rPr>
      </w:pPr>
    </w:p>
    <w:p>
      <w:pPr>
        <w:jc w:val="both"/>
        <w:ind w:left="-20" w:right="20" w:firstLine="656"/>
        <w:spacing w:after="0" w:line="239" w:lineRule="auto"/>
        <w:tabs>
          <w:tab w:leader="none" w:pos="125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shares of Common Stock or as a stockholder of the Company, whether such liability is asserted by the Company or by creditors of the Company.</w:t>
      </w:r>
    </w:p>
    <w:p>
      <w:pPr>
        <w:spacing w:after="0" w:line="180" w:lineRule="exact"/>
        <w:rPr>
          <w:rFonts w:ascii="Times New Roman" w:cs="Times New Roman" w:eastAsia="Times New Roman" w:hAnsi="Times New Roman"/>
          <w:sz w:val="22"/>
          <w:szCs w:val="22"/>
          <w:color w:val="auto"/>
        </w:rPr>
      </w:pPr>
    </w:p>
    <w:p>
      <w:pPr>
        <w:jc w:val="both"/>
        <w:ind w:left="-20" w:firstLine="656"/>
        <w:spacing w:after="0" w:line="238" w:lineRule="auto"/>
        <w:tabs>
          <w:tab w:leader="none" w:pos="143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6" w:lineRule="exact"/>
        <w:rPr>
          <w:rFonts w:ascii="Times New Roman" w:cs="Times New Roman" w:eastAsia="Times New Roman" w:hAnsi="Times New Roman"/>
          <w:sz w:val="22"/>
          <w:szCs w:val="22"/>
          <w:color w:val="auto"/>
        </w:rPr>
      </w:pPr>
    </w:p>
    <w:p>
      <w:pPr>
        <w:jc w:val="both"/>
        <w:ind w:left="-20" w:firstLine="656"/>
        <w:spacing w:after="0" w:line="239" w:lineRule="auto"/>
        <w:tabs>
          <w:tab w:leader="none" w:pos="167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80" w:lineRule="exact"/>
        <w:rPr>
          <w:rFonts w:ascii="Times New Roman" w:cs="Times New Roman" w:eastAsia="Times New Roman" w:hAnsi="Times New Roman"/>
          <w:sz w:val="22"/>
          <w:szCs w:val="22"/>
          <w:color w:val="auto"/>
        </w:rPr>
      </w:pPr>
    </w:p>
    <w:p>
      <w:pPr>
        <w:ind w:left="-20" w:firstLine="656"/>
        <w:spacing w:after="0" w:line="258" w:lineRule="auto"/>
        <w:tabs>
          <w:tab w:leader="none" w:pos="1295"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Warrant may be modified or amended or the provisions hereof waived with the written consent of the Company, on the one hand, and the Holder of this Warrant, on the other hand.</w:t>
      </w:r>
    </w:p>
    <w:p>
      <w:pPr>
        <w:spacing w:after="0" w:line="158" w:lineRule="exact"/>
        <w:rPr>
          <w:rFonts w:ascii="Times New Roman" w:cs="Times New Roman" w:eastAsia="Times New Roman" w:hAnsi="Times New Roman"/>
          <w:sz w:val="22"/>
          <w:szCs w:val="22"/>
          <w:color w:val="auto"/>
        </w:rPr>
      </w:pPr>
    </w:p>
    <w:p>
      <w:pPr>
        <w:jc w:val="both"/>
        <w:ind w:left="-20" w:firstLine="656"/>
        <w:spacing w:after="0" w:line="239" w:lineRule="auto"/>
        <w:tabs>
          <w:tab w:leader="none" w:pos="1525"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80" w:lineRule="exact"/>
        <w:rPr>
          <w:rFonts w:ascii="Times New Roman" w:cs="Times New Roman" w:eastAsia="Times New Roman" w:hAnsi="Times New Roman"/>
          <w:sz w:val="22"/>
          <w:szCs w:val="22"/>
          <w:color w:val="auto"/>
        </w:rPr>
      </w:pPr>
    </w:p>
    <w:p>
      <w:pPr>
        <w:ind w:left="-20" w:firstLine="656"/>
        <w:spacing w:after="0" w:line="258" w:lineRule="auto"/>
        <w:tabs>
          <w:tab w:leader="none" w:pos="150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used in this Warrant are for the convenience of reference only and shall not, for any purpose, be deemed a part of this Warrant.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030" w:right="339" w:bottom="1440" w:gutter="0" w:footer="0" w:header="0"/>
        </w:sectPr>
      </w:pPr>
    </w:p>
    <w:bookmarkStart w:id="22" w:name="page23"/>
    <w:bookmarkEnd w:id="22"/>
    <w:p>
      <w:pPr>
        <w:ind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Company has caused this Warrant to be executed by its officer thereunto duly authorized as of the date first above indicated.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BAKKT HOLDINGS, INC.</w:t>
      </w:r>
    </w:p>
    <w:p>
      <w:pPr>
        <w:spacing w:after="0" w:line="237" w:lineRule="exact"/>
        <w:rPr>
          <w:sz w:val="20"/>
          <w:szCs w:val="20"/>
          <w:color w:val="auto"/>
        </w:rPr>
      </w:pPr>
    </w:p>
    <w:p>
      <w:pPr>
        <w:ind w:left="5080"/>
        <w:spacing w:after="0"/>
        <w:tabs>
          <w:tab w:leader="none" w:pos="57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10795</wp:posOffset>
            </wp:positionV>
            <wp:extent cx="32061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5740"/>
        <w:spacing w:after="0"/>
        <w:rPr>
          <w:sz w:val="20"/>
          <w:szCs w:val="20"/>
          <w:color w:val="auto"/>
        </w:rPr>
      </w:pPr>
      <w:r>
        <w:rPr>
          <w:rFonts w:ascii="Times New Roman" w:cs="Times New Roman" w:eastAsia="Times New Roman" w:hAnsi="Times New Roman"/>
          <w:sz w:val="22"/>
          <w:szCs w:val="22"/>
          <w:color w:val="auto"/>
        </w:rPr>
        <w:t>Name: Marc D’Annunzio</w:t>
      </w:r>
    </w:p>
    <w:p>
      <w:pPr>
        <w:ind w:left="5740"/>
        <w:spacing w:after="0"/>
        <w:rPr>
          <w:sz w:val="20"/>
          <w:szCs w:val="20"/>
          <w:color w:val="auto"/>
        </w:rPr>
      </w:pPr>
      <w:r>
        <w:rPr>
          <w:rFonts w:ascii="Times New Roman" w:cs="Times New Roman" w:eastAsia="Times New Roman" w:hAnsi="Times New Roman"/>
          <w:sz w:val="22"/>
          <w:szCs w:val="22"/>
          <w:color w:val="auto"/>
        </w:rPr>
        <w:t>Title: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Common Stock Purchase Warrant (Class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NOTICE OF EXERCISE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TO: </w:t>
      </w:r>
      <w:r>
        <w:rPr>
          <w:rFonts w:ascii="Times New Roman" w:cs="Times New Roman" w:eastAsia="Times New Roman" w:hAnsi="Times New Roman"/>
          <w:sz w:val="22"/>
          <w:szCs w:val="22"/>
          <w:b w:val="1"/>
          <w:bCs w:val="1"/>
          <w:color w:val="auto"/>
        </w:rPr>
        <w:t>BAKKT HOLDINGS, INC.</w:t>
      </w:r>
    </w:p>
    <w:p>
      <w:pPr>
        <w:spacing w:after="0" w:line="210" w:lineRule="exact"/>
        <w:rPr>
          <w:sz w:val="20"/>
          <w:szCs w:val="20"/>
          <w:color w:val="auto"/>
        </w:rPr>
      </w:pPr>
    </w:p>
    <w:p>
      <w:pPr>
        <w:jc w:val="both"/>
        <w:ind w:firstLine="656"/>
        <w:spacing w:after="0" w:line="244" w:lineRule="auto"/>
        <w:tabs>
          <w:tab w:leader="none" w:pos="130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73" w:lineRule="exact"/>
        <w:rPr>
          <w:rFonts w:ascii="Times New Roman" w:cs="Times New Roman" w:eastAsia="Times New Roman" w:hAnsi="Times New Roman"/>
          <w:sz w:val="22"/>
          <w:szCs w:val="22"/>
          <w:color w:val="auto"/>
        </w:rPr>
      </w:pPr>
    </w:p>
    <w:p>
      <w:pPr>
        <w:ind w:left="1300" w:right="5220" w:hanging="644"/>
        <w:spacing w:after="0" w:line="435" w:lineRule="auto"/>
        <w:tabs>
          <w:tab w:leader="none" w:pos="128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shall take the form of (check applicable box): [ ] in lawful money of the United States; or</w:t>
      </w:r>
    </w:p>
    <w:p>
      <w:pPr>
        <w:spacing w:after="0" w:line="1" w:lineRule="exact"/>
        <w:rPr>
          <w:sz w:val="20"/>
          <w:szCs w:val="20"/>
          <w:color w:val="auto"/>
        </w:rPr>
      </w:pPr>
    </w:p>
    <w:p>
      <w:pPr>
        <w:jc w:val="both"/>
        <w:ind w:left="660" w:firstLine="644"/>
        <w:spacing w:after="0" w:line="244" w:lineRule="auto"/>
        <w:tabs>
          <w:tab w:leader="none" w:pos="1441"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if permitted the cancellation of such number of Warrant Shares as is necessary, in accordance with the formula set forth in Section 2(c), to exercise this Warrant with respect to the maximum number of Warrant Shares purchasable pursuant to the cashless exercise procedure set forth in Section 2(c).</w:t>
      </w:r>
    </w:p>
    <w:p>
      <w:pPr>
        <w:spacing w:after="0" w:line="173" w:lineRule="exact"/>
        <w:rPr>
          <w:rFonts w:ascii="Times New Roman" w:cs="Times New Roman" w:eastAsia="Times New Roman" w:hAnsi="Times New Roman"/>
          <w:sz w:val="22"/>
          <w:szCs w:val="22"/>
          <w:color w:val="auto"/>
        </w:rPr>
      </w:pPr>
    </w:p>
    <w:p>
      <w:pPr>
        <w:ind w:left="1280" w:hanging="624"/>
        <w:spacing w:after="0"/>
        <w:tabs>
          <w:tab w:leader="none" w:pos="12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issue said Warrant Shares in the name of the undersigned or in such other name as is specified below: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2854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54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561340</wp:posOffset>
            </wp:positionV>
            <wp:extent cx="2854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54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964565</wp:posOffset>
            </wp:positionV>
            <wp:extent cx="2854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OF HOLDER]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28543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Signature of Authorized Signatory of Investing Entity</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28543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2854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28543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ASSIGNMENT FORM</w:t>
      </w:r>
    </w:p>
    <w:p>
      <w:pPr>
        <w:spacing w:after="0" w:line="20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i w:val="1"/>
          <w:iCs w:val="1"/>
          <w:color w:val="auto"/>
        </w:rPr>
        <w:t>(To assign the foregoing Warrant, execute this form and supply required information. Do not use this form to exercise the Warrant to purchase shares.)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VALUE RECEIVED, the foregoing Warrant and all rights evidenced thereby are hereby assigned to</w:t>
      </w:r>
    </w:p>
    <w:p>
      <w:pPr>
        <w:spacing w:after="0" w:line="2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-22860</wp:posOffset>
            </wp:positionV>
            <wp:extent cx="30175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ind w:left="6400"/>
        <w:spacing w:after="0"/>
        <w:rPr>
          <w:sz w:val="20"/>
          <w:szCs w:val="20"/>
          <w:color w:val="auto"/>
        </w:rPr>
      </w:pPr>
      <w:r>
        <w:rPr>
          <w:rFonts w:ascii="Times New Roman" w:cs="Times New Roman" w:eastAsia="Times New Roman" w:hAnsi="Times New Roman"/>
          <w:sz w:val="22"/>
          <w:szCs w:val="22"/>
          <w:color w:val="auto"/>
        </w:rPr>
        <w:t>(Please Print)</w:t>
      </w:r>
    </w:p>
    <w:p>
      <w:pPr>
        <w:spacing w:after="0" w:line="20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-22860</wp:posOffset>
            </wp:positionV>
            <wp:extent cx="30175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ind w:left="6400"/>
        <w:spacing w:after="0"/>
        <w:rPr>
          <w:sz w:val="20"/>
          <w:szCs w:val="20"/>
          <w:color w:val="auto"/>
        </w:rPr>
      </w:pPr>
      <w:r>
        <w:rPr>
          <w:rFonts w:ascii="Times New Roman" w:cs="Times New Roman" w:eastAsia="Times New Roman" w:hAnsi="Times New Roman"/>
          <w:sz w:val="22"/>
          <w:szCs w:val="22"/>
          <w:color w:val="auto"/>
        </w:rPr>
        <w:t>(Please Print)</w:t>
      </w:r>
    </w:p>
    <w:p>
      <w:pPr>
        <w:spacing w:after="0" w:line="20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-22860</wp:posOffset>
            </wp:positionV>
            <wp:extent cx="30175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22"/>
          <w:szCs w:val="22"/>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-31750</wp:posOffset>
            </wp:positionV>
            <wp:extent cx="30175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ind w:left="100"/>
        <w:spacing w:after="0" w:line="230" w:lineRule="auto"/>
        <w:rPr>
          <w:sz w:val="20"/>
          <w:szCs w:val="20"/>
          <w:color w:val="auto"/>
        </w:rPr>
      </w:pPr>
      <w:r>
        <w:rPr>
          <w:rFonts w:ascii="Times New Roman" w:cs="Times New Roman" w:eastAsia="Times New Roman" w:hAnsi="Times New Roman"/>
          <w:sz w:val="22"/>
          <w:szCs w:val="22"/>
          <w:color w:val="auto"/>
        </w:rPr>
        <w:t>Dated: ______________</w:t>
      </w:r>
    </w:p>
    <w:p>
      <w:pPr>
        <w:ind w:left="100"/>
        <w:spacing w:after="0" w:line="231" w:lineRule="auto"/>
        <w:rPr>
          <w:sz w:val="20"/>
          <w:szCs w:val="20"/>
          <w:color w:val="auto"/>
        </w:rPr>
      </w:pPr>
      <w:r>
        <w:rPr>
          <w:rFonts w:ascii="Times New Roman" w:cs="Times New Roman" w:eastAsia="Times New Roman" w:hAnsi="Times New Roman"/>
          <w:sz w:val="22"/>
          <w:szCs w:val="22"/>
          <w:color w:val="auto"/>
        </w:rPr>
        <w:t>Holder’s Signature:</w:t>
      </w:r>
    </w:p>
    <w:p>
      <w:pPr>
        <w:ind w:left="100"/>
        <w:spacing w:after="0"/>
        <w:rPr>
          <w:sz w:val="20"/>
          <w:szCs w:val="20"/>
          <w:color w:val="auto"/>
        </w:rPr>
      </w:pPr>
      <w:r>
        <w:rPr>
          <w:rFonts w:ascii="Times New Roman" w:cs="Times New Roman" w:eastAsia="Times New Roman" w:hAnsi="Times New Roman"/>
          <w:sz w:val="22"/>
          <w:szCs w:val="22"/>
          <w:color w:val="auto"/>
        </w:rPr>
        <w:t>Holder’s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25" w:name="page26"/>
    <w:bookmarkEnd w:id="25"/>
    <w:p>
      <w:pPr>
        <w:ind w:left="10020"/>
        <w:spacing w:after="0"/>
        <w:rPr>
          <w:sz w:val="20"/>
          <w:szCs w:val="20"/>
          <w:color w:val="auto"/>
        </w:rPr>
      </w:pPr>
      <w:r>
        <w:rPr>
          <w:rFonts w:ascii="Times New Roman" w:cs="Times New Roman" w:eastAsia="Times New Roman" w:hAnsi="Times New Roman"/>
          <w:sz w:val="21"/>
          <w:szCs w:val="21"/>
          <w:b w:val="1"/>
          <w:bCs w:val="1"/>
          <w:color w:val="auto"/>
        </w:rPr>
        <w:t>Exhibit 99.28</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COMMON STOCK PURCHASE WARRANT</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(Class 2)</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BAKKT HOLDINGS, INC.</w:t>
      </w:r>
    </w:p>
    <w:p>
      <w:pPr>
        <w:sectPr>
          <w:pgSz w:w="11900" w:h="16838" w:orient="portrait"/>
          <w:cols w:equalWidth="0" w:num="1">
            <w:col w:w="11240"/>
          </w:cols>
          <w:pgMar w:left="320" w:top="108" w:right="339" w:bottom="1440" w:gutter="0" w:footer="0" w:header="0"/>
        </w:sect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Warrant Shares: 55,240</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Issuance Date</w:t>
      </w:r>
      <w:r>
        <w:rPr>
          <w:rFonts w:ascii="Times New Roman" w:cs="Times New Roman" w:eastAsia="Times New Roman" w:hAnsi="Times New Roman"/>
          <w:sz w:val="22"/>
          <w:szCs w:val="22"/>
          <w:color w:val="auto"/>
        </w:rPr>
        <w:t>: November 3, 2025</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Initial Exercise Date</w:t>
      </w:r>
      <w:r>
        <w:rPr>
          <w:rFonts w:ascii="Times New Roman" w:cs="Times New Roman" w:eastAsia="Times New Roman" w:hAnsi="Times New Roman"/>
          <w:sz w:val="21"/>
          <w:szCs w:val="21"/>
          <w:color w:val="auto"/>
        </w:rPr>
        <w:t>: November 3, 2025</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Termination Date</w:t>
      </w:r>
      <w:r>
        <w:rPr>
          <w:rFonts w:ascii="Times New Roman" w:cs="Times New Roman" w:eastAsia="Times New Roman" w:hAnsi="Times New Roman"/>
          <w:sz w:val="22"/>
          <w:szCs w:val="22"/>
          <w:color w:val="auto"/>
        </w:rPr>
        <w:t>: September 4, 2029</w:t>
      </w:r>
    </w:p>
    <w:p>
      <w:pPr>
        <w:spacing w:after="0" w:line="182" w:lineRule="exact"/>
        <w:rPr>
          <w:sz w:val="20"/>
          <w:szCs w:val="20"/>
          <w:color w:val="auto"/>
        </w:rPr>
      </w:pPr>
    </w:p>
    <w:p>
      <w:pPr>
        <w:sectPr>
          <w:pgSz w:w="11900" w:h="16838" w:orient="portrait"/>
          <w:cols w:equalWidth="0" w:num="2">
            <w:col w:w="6920" w:space="720"/>
            <w:col w:w="3600"/>
          </w:cols>
          <w:pgMar w:left="320" w:top="108" w:right="339" w:bottom="1440" w:gutter="0" w:footer="0" w:header="0"/>
          <w:type w:val="continuous"/>
        </w:sect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THIS COMMON STOCK PURCHASE WARRANT (Class 2) (the “</w:t>
      </w:r>
      <w:r>
        <w:rPr>
          <w:rFonts w:ascii="Times New Roman" w:cs="Times New Roman" w:eastAsia="Times New Roman" w:hAnsi="Times New Roman"/>
          <w:sz w:val="22"/>
          <w:szCs w:val="22"/>
          <w:u w:val="single" w:color="auto"/>
          <w:color w:val="auto"/>
        </w:rPr>
        <w:t>Warrant</w:t>
      </w:r>
      <w:r>
        <w:rPr>
          <w:rFonts w:ascii="Times New Roman" w:cs="Times New Roman" w:eastAsia="Times New Roman" w:hAnsi="Times New Roman"/>
          <w:sz w:val="22"/>
          <w:szCs w:val="22"/>
          <w:color w:val="auto"/>
        </w:rPr>
        <w:t>”) certifies that, for value received, Intercontinental Exchange Holdings, Inc. or its assigns (the “</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is entitled, upon the terms and subject to the limitations on exercise and the conditions hereinafter set forth, at any time on or after November 3, 2025 (the “</w:t>
      </w:r>
      <w:r>
        <w:rPr>
          <w:rFonts w:ascii="Times New Roman" w:cs="Times New Roman" w:eastAsia="Times New Roman" w:hAnsi="Times New Roman"/>
          <w:sz w:val="22"/>
          <w:szCs w:val="22"/>
          <w:u w:val="single" w:color="auto"/>
          <w:color w:val="auto"/>
        </w:rPr>
        <w:t>Initial Exercise Date</w:t>
      </w:r>
      <w:r>
        <w:rPr>
          <w:rFonts w:ascii="Times New Roman" w:cs="Times New Roman" w:eastAsia="Times New Roman" w:hAnsi="Times New Roman"/>
          <w:sz w:val="22"/>
          <w:szCs w:val="22"/>
          <w:color w:val="auto"/>
        </w:rPr>
        <w:t>”) and on or prior to 5:00 p.m. (New York City time) on September 4, 2029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xml:space="preserve">”) but not thereafter, to subscribe for and purchase from </w:t>
      </w:r>
      <w:r>
        <w:rPr>
          <w:rFonts w:ascii="Times New Roman" w:cs="Times New Roman" w:eastAsia="Times New Roman" w:hAnsi="Times New Roman"/>
          <w:sz w:val="22"/>
          <w:szCs w:val="22"/>
          <w:b w:val="1"/>
          <w:bCs w:val="1"/>
          <w:color w:val="auto"/>
        </w:rPr>
        <w:t>BAKKT HOLDINGS, INC</w:t>
      </w:r>
      <w:r>
        <w:rPr>
          <w:rFonts w:ascii="Times New Roman" w:cs="Times New Roman" w:eastAsia="Times New Roman" w:hAnsi="Times New Roman"/>
          <w:sz w:val="22"/>
          <w:szCs w:val="22"/>
          <w:color w:val="auto"/>
        </w:rPr>
        <w:t>.,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up to </w:t>
      </w:r>
      <w:r>
        <w:rPr>
          <w:rFonts w:ascii="Times New Roman" w:cs="Times New Roman" w:eastAsia="Times New Roman" w:hAnsi="Times New Roman"/>
          <w:sz w:val="22"/>
          <w:szCs w:val="22"/>
          <w:b w:val="1"/>
          <w:bCs w:val="1"/>
          <w:color w:val="auto"/>
        </w:rPr>
        <w:t>55,240 shares</w:t>
      </w:r>
      <w:r>
        <w:rPr>
          <w:rFonts w:ascii="Times New Roman" w:cs="Times New Roman" w:eastAsia="Times New Roman" w:hAnsi="Times New Roman"/>
          <w:sz w:val="22"/>
          <w:szCs w:val="22"/>
          <w:color w:val="auto"/>
        </w:rPr>
        <w:t xml:space="preserve"> (as subject to adjustment hereunder, the “</w:t>
      </w:r>
      <w:r>
        <w:rPr>
          <w:rFonts w:ascii="Times New Roman" w:cs="Times New Roman" w:eastAsia="Times New Roman" w:hAnsi="Times New Roman"/>
          <w:sz w:val="22"/>
          <w:szCs w:val="22"/>
          <w:u w:val="single" w:color="auto"/>
          <w:color w:val="auto"/>
        </w:rPr>
        <w:t>Warrant Shares</w:t>
      </w:r>
      <w:r>
        <w:rPr>
          <w:rFonts w:ascii="Times New Roman" w:cs="Times New Roman" w:eastAsia="Times New Roman" w:hAnsi="Times New Roman"/>
          <w:sz w:val="22"/>
          <w:szCs w:val="22"/>
          <w:color w:val="auto"/>
        </w:rPr>
        <w:t>”) of the Company’s Class A Common Stock, par value $0.0001 per share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The purchase price of one share of Common Stock under this Warrant shall be equal to the Exercise Price, as defined in Section 2(b). The Company and the Holder each acknowledge and agree that this Warrant is issued in substitution of and replacement for that certain Common Stock Purchase Warrant (Class 2), issued by Bakkt Intermediate Holdings, Inc. (formerly known as Bakkt Holdings, Inc.) (the “</w:t>
      </w:r>
      <w:r>
        <w:rPr>
          <w:rFonts w:ascii="Times New Roman" w:cs="Times New Roman" w:eastAsia="Times New Roman" w:hAnsi="Times New Roman"/>
          <w:sz w:val="22"/>
          <w:szCs w:val="22"/>
          <w:u w:val="single" w:color="auto"/>
          <w:color w:val="auto"/>
        </w:rPr>
        <w:t>Predecessor Company</w:t>
      </w:r>
      <w:r>
        <w:rPr>
          <w:rFonts w:ascii="Times New Roman" w:cs="Times New Roman" w:eastAsia="Times New Roman" w:hAnsi="Times New Roman"/>
          <w:sz w:val="22"/>
          <w:szCs w:val="22"/>
          <w:color w:val="auto"/>
        </w:rPr>
        <w:t>”), as predecessor to the Company, to the Holder on March 4, 2024 and exercisable until September 4, 2029 (the “</w:t>
      </w:r>
      <w:r>
        <w:rPr>
          <w:rFonts w:ascii="Times New Roman" w:cs="Times New Roman" w:eastAsia="Times New Roman" w:hAnsi="Times New Roman"/>
          <w:sz w:val="22"/>
          <w:szCs w:val="22"/>
          <w:u w:val="single" w:color="auto"/>
          <w:color w:val="auto"/>
        </w:rPr>
        <w:t>Original Warrant</w:t>
      </w:r>
      <w:r>
        <w:rPr>
          <w:rFonts w:ascii="Times New Roman" w:cs="Times New Roman" w:eastAsia="Times New Roman" w:hAnsi="Times New Roman"/>
          <w:sz w:val="22"/>
          <w:szCs w:val="22"/>
          <w:color w:val="auto"/>
        </w:rPr>
        <w:t>”), pursuant to that certain waiver, acknowledgment and consent, dated October 16, 2025, between the purchaser signatory hereto and the Predecessor Company, in respect of the Original Warrant.</w:t>
      </w:r>
    </w:p>
    <w:p>
      <w:pPr>
        <w:spacing w:after="0" w:line="18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 dated February 29, 2024, among the Predecessor Company and the purchaser signatory thereto.</w:t>
      </w:r>
    </w:p>
    <w:p>
      <w:pPr>
        <w:spacing w:after="0" w:line="173"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Exercise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56"/>
        <w:spacing w:after="0" w:line="247" w:lineRule="auto"/>
        <w:tabs>
          <w:tab w:leader="none" w:pos="1279"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Exercise of Warrant</w:t>
      </w:r>
      <w:r>
        <w:rPr>
          <w:rFonts w:ascii="Times New Roman" w:cs="Times New Roman" w:eastAsia="Times New Roman" w:hAnsi="Times New Roman"/>
          <w:sz w:val="21"/>
          <w:szCs w:val="21"/>
          <w:color w:val="auto"/>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Times New Roman" w:cs="Times New Roman" w:eastAsia="Times New Roman" w:hAnsi="Times New Roman"/>
          <w:sz w:val="21"/>
          <w:szCs w:val="21"/>
          <w:u w:val="single" w:color="auto"/>
          <w:color w:val="auto"/>
        </w:rPr>
        <w:t>Notice of Exercise</w:t>
      </w:r>
      <w:r>
        <w:rPr>
          <w:rFonts w:ascii="Times New Roman" w:cs="Times New Roman" w:eastAsia="Times New Roman" w:hAnsi="Times New Roman"/>
          <w:sz w:val="21"/>
          <w:szCs w:val="21"/>
          <w:color w:val="auto"/>
        </w:rPr>
        <w:t>”). Within the earlier of (i) two (2) Trading Days (as defined in Section 2(c) herein) and</w:t>
      </w:r>
    </w:p>
    <w:p>
      <w:pPr>
        <w:spacing w:after="0" w:line="1" w:lineRule="exact"/>
        <w:rPr>
          <w:rFonts w:ascii="Times New Roman" w:cs="Times New Roman" w:eastAsia="Times New Roman" w:hAnsi="Times New Roman"/>
          <w:sz w:val="21"/>
          <w:szCs w:val="21"/>
          <w:color w:val="auto"/>
        </w:rPr>
      </w:pPr>
    </w:p>
    <w:p>
      <w:pPr>
        <w:jc w:val="both"/>
        <w:ind w:firstLine="8"/>
        <w:spacing w:after="0" w:line="243" w:lineRule="auto"/>
        <w:tabs>
          <w:tab w:leader="none" w:pos="334"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Trading Days comprising the Standard Settlement Period (as defined in Section 2(e)(i) herein) following the date of exercise as aforesaid, the Holder shall deliver the aggregate Exercise Price for the number of Warrant Shares specified in the applicable Notice of Exercise by wire transfer or cashier’s check drawn on a United States bank unless the cashless exercise or alternative cashless exercise procedure specified in Section 2(c) or Section 2(d)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6" w:name="page27"/>
    <w:bookmarkEnd w:id="26"/>
    <w:p>
      <w:pPr>
        <w:ind w:right="360"/>
        <w:spacing w:after="0" w:line="235" w:lineRule="auto"/>
        <w:rPr>
          <w:sz w:val="20"/>
          <w:szCs w:val="20"/>
          <w:color w:val="auto"/>
        </w:rPr>
      </w:pPr>
      <w:r>
        <w:rPr>
          <w:rFonts w:ascii="Times New Roman" w:cs="Times New Roman" w:eastAsia="Times New Roman" w:hAnsi="Times New Roman"/>
          <w:sz w:val="22"/>
          <w:szCs w:val="22"/>
          <w:color w:val="auto"/>
        </w:rPr>
        <w:t xml:space="preserve">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22"/>
          <w:szCs w:val="22"/>
          <w:b w:val="1"/>
          <w:bCs w:val="1"/>
          <w:color w:val="auto"/>
        </w:rPr>
        <w:t>The Holder and any assignee, by acceptance of this Warrant,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78" w:lineRule="exact"/>
        <w:rPr>
          <w:sz w:val="20"/>
          <w:szCs w:val="20"/>
          <w:color w:val="auto"/>
        </w:rPr>
      </w:pPr>
    </w:p>
    <w:p>
      <w:pPr>
        <w:ind w:right="20" w:firstLine="656"/>
        <w:spacing w:after="0" w:line="258" w:lineRule="auto"/>
        <w:tabs>
          <w:tab w:leader="none" w:pos="152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The exercise price per share of Common Stock under this Warrant shall be $25.50, subject to adjustment hereunder (the “</w:t>
      </w: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656"/>
        <w:spacing w:after="0" w:line="244" w:lineRule="auto"/>
        <w:tabs>
          <w:tab w:leader="none" w:pos="141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Cashless Exercise</w:t>
      </w:r>
      <w:r>
        <w:rPr>
          <w:rFonts w:ascii="Times New Roman" w:cs="Times New Roman" w:eastAsia="Times New Roman" w:hAnsi="Times New Roman"/>
          <w:sz w:val="22"/>
          <w:szCs w:val="22"/>
          <w:color w:val="auto"/>
        </w:rPr>
        <w:t>. This Warrant may also be exercised, in whole or in part, at any time or times on or after the Initial Exercise Date and on or before the Termination Date by means of a “cashless exercise” in which the Holder shall be entitled to receive a number of Warrant Shares equal to the quotient obtained by dividing [(A-B) (X)] by (A), where:</w:t>
      </w:r>
    </w:p>
    <w:p>
      <w:pPr>
        <w:spacing w:after="0" w:line="173" w:lineRule="exact"/>
        <w:rPr>
          <w:rFonts w:ascii="Times New Roman" w:cs="Times New Roman" w:eastAsia="Times New Roman" w:hAnsi="Times New Roman"/>
          <w:sz w:val="22"/>
          <w:szCs w:val="22"/>
          <w:color w:val="auto"/>
        </w:rPr>
      </w:pPr>
    </w:p>
    <w:p>
      <w:pPr>
        <w:jc w:val="both"/>
        <w:ind w:left="660" w:firstLine="644"/>
        <w:spacing w:after="0" w:line="233" w:lineRule="auto"/>
        <w:tabs>
          <w:tab w:leader="none" w:pos="1668"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4" w:lineRule="exact"/>
        <w:rPr>
          <w:rFonts w:ascii="Times New Roman" w:cs="Times New Roman" w:eastAsia="Times New Roman" w:hAnsi="Times New Roman"/>
          <w:sz w:val="22"/>
          <w:szCs w:val="22"/>
          <w:color w:val="auto"/>
        </w:rPr>
      </w:pPr>
    </w:p>
    <w:p>
      <w:pPr>
        <w:ind w:left="1640" w:hanging="336"/>
        <w:spacing w:after="0"/>
        <w:tabs>
          <w:tab w:leader="none" w:pos="164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the Exercise Price of this Warrant, as adjusted hereunder; and</w:t>
      </w:r>
    </w:p>
    <w:p>
      <w:pPr>
        <w:spacing w:after="0" w:line="206" w:lineRule="exact"/>
        <w:rPr>
          <w:sz w:val="20"/>
          <w:szCs w:val="20"/>
          <w:color w:val="auto"/>
        </w:rPr>
      </w:pPr>
    </w:p>
    <w:p>
      <w:pPr>
        <w:ind w:left="660" w:firstLine="644"/>
        <w:spacing w:after="0" w:line="258" w:lineRule="auto"/>
        <w:tabs>
          <w:tab w:leader="none" w:pos="1675"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the number of Warrant Shares that would be issuable upon exercise of this Warrant in accordance with the terms of this Warrant if such exercise were by means of a cash exercise rather than a cashless exercise.</w:t>
      </w:r>
    </w:p>
    <w:p>
      <w:pPr>
        <w:spacing w:after="0" w:line="15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Bid Price</w:t>
      </w:r>
      <w:r>
        <w:rPr>
          <w:rFonts w:ascii="Times New Roman" w:cs="Times New Roman" w:eastAsia="Times New Roman" w:hAnsi="Times New Roman"/>
          <w:sz w:val="22"/>
          <w:szCs w:val="22"/>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27" w:name="page28"/>
    <w:bookmarkEnd w:id="27"/>
    <w:p>
      <w:pPr>
        <w:ind w:right="100"/>
        <w:spacing w:after="0" w:line="247" w:lineRule="auto"/>
        <w:rPr>
          <w:sz w:val="20"/>
          <w:szCs w:val="20"/>
          <w:color w:val="auto"/>
        </w:rPr>
      </w:pPr>
      <w:r>
        <w:rPr>
          <w:rFonts w:ascii="Times New Roman" w:cs="Times New Roman" w:eastAsia="Times New Roman" w:hAnsi="Times New Roman"/>
          <w:sz w:val="21"/>
          <w:szCs w:val="21"/>
          <w:color w:val="auto"/>
        </w:rPr>
        <w:t>(New York City time)), (b) if the Common Stock is then not listed on a Trading Market and if the Shares are listed or quoted for trading on the OTC Market Group’s OTCQB exchange (“</w:t>
      </w:r>
      <w:r>
        <w:rPr>
          <w:rFonts w:ascii="Times New Roman" w:cs="Times New Roman" w:eastAsia="Times New Roman" w:hAnsi="Times New Roman"/>
          <w:sz w:val="21"/>
          <w:szCs w:val="21"/>
          <w:u w:val="single" w:color="auto"/>
          <w:color w:val="auto"/>
        </w:rPr>
        <w:t>OTCQB</w:t>
      </w:r>
      <w:r>
        <w:rPr>
          <w:rFonts w:ascii="Times New Roman" w:cs="Times New Roman" w:eastAsia="Times New Roman" w:hAnsi="Times New Roman"/>
          <w:sz w:val="21"/>
          <w:szCs w:val="21"/>
          <w:color w:val="auto"/>
        </w:rPr>
        <w:t>”) or OTCQX exchange (“</w:t>
      </w:r>
      <w:r>
        <w:rPr>
          <w:rFonts w:ascii="Times New Roman" w:cs="Times New Roman" w:eastAsia="Times New Roman" w:hAnsi="Times New Roman"/>
          <w:sz w:val="21"/>
          <w:szCs w:val="21"/>
          <w:u w:val="single" w:color="auto"/>
          <w:color w:val="auto"/>
        </w:rPr>
        <w:t>OTCQX</w:t>
      </w:r>
      <w:r>
        <w:rPr>
          <w:rFonts w:ascii="Times New Roman" w:cs="Times New Roman" w:eastAsia="Times New Roman" w:hAnsi="Times New Roman"/>
          <w:sz w:val="21"/>
          <w:szCs w:val="21"/>
          <w:color w:val="auto"/>
        </w:rPr>
        <w: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172"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means any day on which the Trading Market is open for trading, including any day on which the Trading Market is open for trading for a period of time less than the customary time.</w:t>
      </w:r>
    </w:p>
    <w:p>
      <w:pPr>
        <w:spacing w:after="0" w:line="15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Market</w:t>
      </w:r>
      <w:r>
        <w:rPr>
          <w:rFonts w:ascii="Times New Roman" w:cs="Times New Roman" w:eastAsia="Times New Roman" w:hAnsi="Times New Roman"/>
          <w:sz w:val="22"/>
          <w:szCs w:val="22"/>
          <w:color w:val="auto"/>
        </w:rPr>
        <w:t>” means any of the following markets or exchanges on which the shares of Common Stock are listed or quoted for trading on the date in question: the NYSE American, The Nasdaq Capital Market, The Nasdaq Global Market, The Nasdaq Global Select Market, or the New York Stock Exchange (or any successors to any of the foregoing).</w:t>
      </w:r>
    </w:p>
    <w:p>
      <w:pPr>
        <w:spacing w:after="0" w:line="17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VWAP</w:t>
      </w:r>
      <w:r>
        <w:rPr>
          <w:rFonts w:ascii="Times New Roman" w:cs="Times New Roman" w:eastAsia="Times New Roman" w:hAnsi="Times New Roman"/>
          <w:sz w:val="22"/>
          <w:szCs w:val="22"/>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Common Stock is not then listed or quoted on a Trading Market and if the Shares are listed or quoted for trading on OTCQB or OTCQX,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73" w:lineRule="exact"/>
        <w:rPr>
          <w:sz w:val="20"/>
          <w:szCs w:val="20"/>
          <w:color w:val="auto"/>
        </w:rPr>
      </w:pPr>
    </w:p>
    <w:p>
      <w:pPr>
        <w:jc w:val="both"/>
        <w:ind w:firstLine="656"/>
        <w:spacing w:after="0" w:line="234" w:lineRule="auto"/>
        <w:tabs>
          <w:tab w:leader="none" w:pos="14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Alternative Cashless Exercise</w:t>
      </w:r>
      <w:r>
        <w:rPr>
          <w:rFonts w:ascii="Times New Roman" w:cs="Times New Roman" w:eastAsia="Times New Roman" w:hAnsi="Times New Roman"/>
          <w:sz w:val="22"/>
          <w:szCs w:val="22"/>
          <w:color w:val="auto"/>
        </w:rPr>
        <w:t>. After the Company has obtained Stockholder Approval, then, while the Warrant remains outstanding, if at any time during the period beginning on Initial Exercise Date the Reference Value is less than the Exercise Price (the “</w:t>
      </w:r>
      <w:r>
        <w:rPr>
          <w:rFonts w:ascii="Times New Roman" w:cs="Times New Roman" w:eastAsia="Times New Roman" w:hAnsi="Times New Roman"/>
          <w:sz w:val="22"/>
          <w:szCs w:val="22"/>
          <w:u w:val="single" w:color="auto"/>
          <w:color w:val="auto"/>
        </w:rPr>
        <w:t>Trigger Event</w:t>
      </w:r>
      <w:r>
        <w:rPr>
          <w:rFonts w:ascii="Times New Roman" w:cs="Times New Roman" w:eastAsia="Times New Roman" w:hAnsi="Times New Roman"/>
          <w:sz w:val="22"/>
          <w:szCs w:val="22"/>
          <w:color w:val="auto"/>
        </w:rPr>
        <w:t>”), then the Holder shall have the option, exercisable at any time when the Trigger Event shall have occurred or shall be continuing to occur, to effect an “alternative cashless exercise” by providing the Company with a Notice of Exercise specifying the aggregate number of Warrant Shares subject to such alternative cashless exercise with the number of shares issuable upon such alternative cashless exercise being equal to the product of (x) the aggregate number of Warrant Shares subject to the alternative cashless exercise Notice of Exercise (up to the full number of shares that would be issuable upon exercise of this Warrant in accordance with the terms of this Warrant if such exercise were by means of a cash exercise rather than a cashless exercise) and (y) 0.5.</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28" w:name="page29"/>
    <w:bookmarkEnd w:id="28"/>
    <w:p>
      <w:pPr>
        <w:ind w:right="80"/>
        <w:spacing w:after="0" w:line="239" w:lineRule="auto"/>
        <w:rPr>
          <w:sz w:val="20"/>
          <w:szCs w:val="20"/>
          <w:color w:val="auto"/>
        </w:rPr>
      </w:pPr>
      <w:r>
        <w:rPr>
          <w:rFonts w:ascii="Times New Roman" w:cs="Times New Roman" w:eastAsia="Times New Roman" w:hAnsi="Times New Roman"/>
          <w:sz w:val="22"/>
          <w:szCs w:val="22"/>
          <w:color w:val="auto"/>
        </w:rPr>
        <w:t>For purposes of this Warrant, the “Reference Value” shall mean the last reported sales price of the Common Stock for each of the three (3) Trading Days ending on the Trading Day prior to the date on which Notice of Exercise is given. If Warrant Shares are issued in such an alternative cashless exercise, the parties acknowledge and agree that in accordance with Section 3(a)(9) of the Securities Act, the Warrant Shares shall take on the registered characteristics of the Warrants being exercised.</w:t>
      </w:r>
    </w:p>
    <w:p>
      <w:pPr>
        <w:spacing w:after="0" w:line="180" w:lineRule="exact"/>
        <w:rPr>
          <w:sz w:val="20"/>
          <w:szCs w:val="20"/>
          <w:color w:val="auto"/>
        </w:rPr>
      </w:pPr>
    </w:p>
    <w:p>
      <w:pPr>
        <w:ind w:left="1240" w:hanging="584"/>
        <w:spacing w:after="0"/>
        <w:tabs>
          <w:tab w:leader="none" w:pos="12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Mechanics of Exercise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296"/>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010000"/>
        </w:rPr>
        <w:t xml:space="preserve">i. </w:t>
      </w:r>
      <w:r>
        <w:rPr>
          <w:rFonts w:ascii="Times New Roman" w:cs="Times New Roman" w:eastAsia="Times New Roman" w:hAnsi="Times New Roman"/>
          <w:sz w:val="21"/>
          <w:szCs w:val="21"/>
          <w:u w:val="single" w:color="auto"/>
          <w:color w:val="000000"/>
        </w:rPr>
        <w:t>Delivery of Warrant Shares Upon Exercise</w:t>
      </w:r>
      <w:r>
        <w:rPr>
          <w:rFonts w:ascii="Times New Roman" w:cs="Times New Roman" w:eastAsia="Times New Roman" w:hAnsi="Times New Roman"/>
          <w:sz w:val="21"/>
          <w:szCs w:val="21"/>
          <w:color w:val="000000"/>
        </w:rPr>
        <w:t>. The Company shall cause the Warrant Shares purchased</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21"/>
          <w:szCs w:val="21"/>
          <w:u w:val="single" w:color="auto"/>
          <w:color w:val="000000"/>
        </w:rPr>
        <w:t>DWAC</w:t>
      </w:r>
      <w:r>
        <w:rPr>
          <w:rFonts w:ascii="Times New Roman" w:cs="Times New Roman" w:eastAsia="Times New Roman" w:hAnsi="Times New Roman"/>
          <w:sz w:val="21"/>
          <w:szCs w:val="21"/>
          <w:color w:val="000000"/>
        </w:rPr>
        <w:t>”) if the Company is then a participant in such system and either (A) there is an effective registration statement permitting the issuance of the Warrant Shares to or resale of the Warrant Shares by the Holder or (B) this Warrant is being exercised via cashless exercise or alternative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(A) the earlier of (i) two (2) Trading Days and (ii) the number of days comprising the Standard Settlement Period, in each case after the delivery to the Company of the Notice of Exercise and (B) one (1) Trading Day after delivery of the aggregate Exercise Price to the Company (such date, the “</w:t>
      </w:r>
      <w:r>
        <w:rPr>
          <w:rFonts w:ascii="Times New Roman" w:cs="Times New Roman" w:eastAsia="Times New Roman" w:hAnsi="Times New Roman"/>
          <w:sz w:val="21"/>
          <w:szCs w:val="21"/>
          <w:u w:val="single" w:color="auto"/>
          <w:color w:val="000000"/>
        </w:rPr>
        <w:t>Warrant Share Delivery Date</w:t>
      </w:r>
      <w:r>
        <w:rPr>
          <w:rFonts w:ascii="Times New Roman" w:cs="Times New Roman" w:eastAsia="Times New Roman" w:hAnsi="Times New Roman"/>
          <w:sz w:val="21"/>
          <w:szCs w:val="21"/>
          <w:color w:val="000000"/>
        </w:rPr>
        <w:t xml:space="preserve">”). Upon delivery of the Notice of Exercise, the Holder shall be deemed for all corporate purposes to have become the holder of record of the Warrant Shares with respect to which this Warrant has been exercised, irrespective of the date of delivery of the Warrant Shares,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that payment of the aggregate Exercise Price (other than in the case of a cashless exercise or alternative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such liquidated damages begin to accrue) for each Trading Day after such Warrant Share Delivery Date until such Warrant Shares are delivered or Holder rescinds such exercise. The Company agrees to maintain a transfer agent that is a participant in the Fast Automated Securities Transfer (“</w:t>
      </w:r>
      <w:r>
        <w:rPr>
          <w:rFonts w:ascii="Times New Roman" w:cs="Times New Roman" w:eastAsia="Times New Roman" w:hAnsi="Times New Roman"/>
          <w:sz w:val="21"/>
          <w:szCs w:val="21"/>
          <w:u w:val="single" w:color="auto"/>
          <w:color w:val="000000"/>
        </w:rPr>
        <w:t>FAST</w:t>
      </w:r>
      <w:r>
        <w:rPr>
          <w:rFonts w:ascii="Times New Roman" w:cs="Times New Roman" w:eastAsia="Times New Roman" w:hAnsi="Times New Roman"/>
          <w:sz w:val="21"/>
          <w:szCs w:val="21"/>
          <w:color w:val="000000"/>
        </w:rPr>
        <w:t>”) program so long as this Warrant remains outstanding and exercisable. As used herein, “</w:t>
      </w:r>
      <w:r>
        <w:rPr>
          <w:rFonts w:ascii="Times New Roman" w:cs="Times New Roman" w:eastAsia="Times New Roman" w:hAnsi="Times New Roman"/>
          <w:sz w:val="21"/>
          <w:szCs w:val="21"/>
          <w:u w:val="single" w:color="auto"/>
          <w:color w:val="000000"/>
        </w:rPr>
        <w:t>Standard Settlement Period</w:t>
      </w:r>
      <w:r>
        <w:rPr>
          <w:rFonts w:ascii="Times New Roman" w:cs="Times New Roman" w:eastAsia="Times New Roman" w:hAnsi="Times New Roman"/>
          <w:sz w:val="21"/>
          <w:szCs w:val="21"/>
          <w:color w:val="000000"/>
        </w:rPr>
        <w:t>” means the standard settlement period, expressed in a number of Trading Days, on the Company’s primary Trading Market with respect to the Common Stock as in effect on the date of delivery of the Notice of Exercise.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29" w:name="page30"/>
    <w:bookmarkEnd w:id="29"/>
    <w:p>
      <w:pPr>
        <w:jc w:val="both"/>
        <w:ind w:left="-20" w:firstLine="1304"/>
        <w:spacing w:after="0" w:line="239" w:lineRule="auto"/>
        <w:tabs>
          <w:tab w:leader="none" w:pos="1985" w:val="left"/>
        </w:tabs>
        <w:numPr>
          <w:ilvl w:val="0"/>
          <w:numId w:val="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Delivery of New Warrants Upon Exercise</w:t>
      </w:r>
      <w:r>
        <w:rPr>
          <w:rFonts w:ascii="Times New Roman" w:cs="Times New Roman" w:eastAsia="Times New Roman" w:hAnsi="Times New Roman"/>
          <w:sz w:val="22"/>
          <w:szCs w:val="22"/>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80" w:lineRule="exact"/>
        <w:rPr>
          <w:rFonts w:ascii="Times New Roman" w:cs="Times New Roman" w:eastAsia="Times New Roman" w:hAnsi="Times New Roman"/>
          <w:sz w:val="22"/>
          <w:szCs w:val="22"/>
          <w:color w:val="010000"/>
        </w:rPr>
      </w:pPr>
    </w:p>
    <w:p>
      <w:pPr>
        <w:jc w:val="both"/>
        <w:ind w:left="-20" w:firstLine="1304"/>
        <w:spacing w:after="0" w:line="244" w:lineRule="auto"/>
        <w:tabs>
          <w:tab w:leader="none" w:pos="1969" w:val="left"/>
        </w:tabs>
        <w:numPr>
          <w:ilvl w:val="0"/>
          <w:numId w:val="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Rescission Rights</w:t>
      </w:r>
      <w:r>
        <w:rPr>
          <w:rFonts w:ascii="Times New Roman" w:cs="Times New Roman" w:eastAsia="Times New Roman" w:hAnsi="Times New Roman"/>
          <w:sz w:val="22"/>
          <w:szCs w:val="22"/>
          <w:color w:val="auto"/>
        </w:rPr>
        <w:t>. If the Company fails to cause the Transfer Agent to transmit to the Holder the Warrant Shares pursuant to Section 2(e)(i) by the Warrant Share Delivery Date, then the Holder will have the right to rescind such exercise.</w:t>
      </w:r>
    </w:p>
    <w:p>
      <w:pPr>
        <w:spacing w:after="0" w:line="173" w:lineRule="exact"/>
        <w:rPr>
          <w:rFonts w:ascii="Times New Roman" w:cs="Times New Roman" w:eastAsia="Times New Roman" w:hAnsi="Times New Roman"/>
          <w:sz w:val="22"/>
          <w:szCs w:val="22"/>
          <w:color w:val="010000"/>
        </w:rPr>
      </w:pPr>
    </w:p>
    <w:p>
      <w:pPr>
        <w:jc w:val="both"/>
        <w:ind w:left="-20" w:firstLine="1304"/>
        <w:spacing w:after="0" w:line="243" w:lineRule="auto"/>
        <w:tabs>
          <w:tab w:leader="none" w:pos="1970" w:val="left"/>
        </w:tabs>
        <w:numPr>
          <w:ilvl w:val="0"/>
          <w:numId w:val="3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Compensation for Buy-In on Failure to Timely Deliver Warrant Shares Upon Exercise</w:t>
      </w:r>
      <w:r>
        <w:rPr>
          <w:rFonts w:ascii="Times New Roman" w:cs="Times New Roman" w:eastAsia="Times New Roman" w:hAnsi="Times New Roman"/>
          <w:sz w:val="21"/>
          <w:szCs w:val="21"/>
          <w:color w:val="auto"/>
        </w:rPr>
        <w:t>. In addition to any other rights available to the Holder, if the Company fails to cause the Transfer Agent to transmit to the Holder the Warrant Shares in accordance with the provisions of Section 2(e)(i)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21"/>
          <w:szCs w:val="21"/>
          <w:u w:val="single" w:color="auto"/>
          <w:color w:val="auto"/>
        </w:rPr>
        <w:t>Buy-In</w:t>
      </w:r>
      <w:r>
        <w:rPr>
          <w:rFonts w:ascii="Times New Roman" w:cs="Times New Roman" w:eastAsia="Times New Roman" w:hAnsi="Times New Roman"/>
          <w:sz w:val="21"/>
          <w:szCs w:val="21"/>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this Warrant to purchase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reasonably satisfactory to the Company with respect to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200" w:lineRule="exact"/>
        <w:rPr>
          <w:rFonts w:ascii="Times New Roman" w:cs="Times New Roman" w:eastAsia="Times New Roman" w:hAnsi="Times New Roman"/>
          <w:sz w:val="21"/>
          <w:szCs w:val="21"/>
          <w:color w:val="010000"/>
        </w:rPr>
      </w:pPr>
    </w:p>
    <w:p>
      <w:pPr>
        <w:spacing w:after="0" w:line="228" w:lineRule="exact"/>
        <w:rPr>
          <w:rFonts w:ascii="Times New Roman" w:cs="Times New Roman" w:eastAsia="Times New Roman" w:hAnsi="Times New Roman"/>
          <w:sz w:val="21"/>
          <w:szCs w:val="21"/>
          <w:color w:val="010000"/>
        </w:rPr>
      </w:pPr>
    </w:p>
    <w:p>
      <w:pPr>
        <w:jc w:val="both"/>
        <w:ind w:left="-20" w:firstLine="1304"/>
        <w:spacing w:after="0" w:line="236" w:lineRule="auto"/>
        <w:tabs>
          <w:tab w:leader="none" w:pos="2013" w:val="left"/>
        </w:tabs>
        <w:numPr>
          <w:ilvl w:val="0"/>
          <w:numId w:val="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Fractional Shares or Scrip</w:t>
      </w:r>
      <w:r>
        <w:rPr>
          <w:rFonts w:ascii="Times New Roman" w:cs="Times New Roman" w:eastAsia="Times New Roman" w:hAnsi="Times New Roman"/>
          <w:sz w:val="22"/>
          <w:szCs w:val="22"/>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 As to any fraction of a share which the Holder would otherwise be entitled to upon an alternative cashless exercise pursuant to Section 2(d), the Company shall round down the number of shares deliverable upon redemption to the next whole share.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030" w:right="339" w:bottom="1440" w:gutter="0" w:footer="0" w:header="0"/>
        </w:sectPr>
      </w:pPr>
    </w:p>
    <w:bookmarkStart w:id="30" w:name="page31"/>
    <w:bookmarkEnd w:id="30"/>
    <w:p>
      <w:pPr>
        <w:jc w:val="both"/>
        <w:ind w:left="-20" w:firstLine="1304"/>
        <w:spacing w:after="0" w:line="234" w:lineRule="auto"/>
        <w:tabs>
          <w:tab w:leader="none" w:pos="1903" w:val="left"/>
        </w:tabs>
        <w:numPr>
          <w:ilvl w:val="1"/>
          <w:numId w:val="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Charges, Taxes and Expenses</w:t>
      </w:r>
      <w:r>
        <w:rPr>
          <w:rFonts w:ascii="Times New Roman" w:cs="Times New Roman" w:eastAsia="Times New Roman" w:hAnsi="Times New Roman"/>
          <w:sz w:val="22"/>
          <w:szCs w:val="22"/>
          <w:color w:val="auto"/>
        </w:rPr>
        <w:t xml:space="preserve">. Issuance and delivery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3" w:lineRule="exact"/>
        <w:rPr>
          <w:rFonts w:ascii="Times New Roman" w:cs="Times New Roman" w:eastAsia="Times New Roman" w:hAnsi="Times New Roman"/>
          <w:sz w:val="22"/>
          <w:szCs w:val="22"/>
          <w:color w:val="010000"/>
        </w:rPr>
      </w:pPr>
    </w:p>
    <w:p>
      <w:pPr>
        <w:ind w:left="-20" w:firstLine="1304"/>
        <w:spacing w:after="0" w:line="258" w:lineRule="auto"/>
        <w:tabs>
          <w:tab w:leader="none" w:pos="2120" w:val="left"/>
        </w:tabs>
        <w:numPr>
          <w:ilvl w:val="1"/>
          <w:numId w:val="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Closing of Books</w:t>
      </w:r>
      <w:r>
        <w:rPr>
          <w:rFonts w:ascii="Times New Roman" w:cs="Times New Roman" w:eastAsia="Times New Roman" w:hAnsi="Times New Roman"/>
          <w:sz w:val="22"/>
          <w:szCs w:val="22"/>
          <w:color w:val="auto"/>
        </w:rPr>
        <w:t>. The Company will not close its stockholder books or records in any manner which prevents the timely exercise of this Warrant, pursuant to the terms hereof.</w:t>
      </w:r>
    </w:p>
    <w:p>
      <w:pPr>
        <w:spacing w:after="0" w:line="158" w:lineRule="exact"/>
        <w:rPr>
          <w:rFonts w:ascii="Times New Roman" w:cs="Times New Roman" w:eastAsia="Times New Roman" w:hAnsi="Times New Roman"/>
          <w:sz w:val="22"/>
          <w:szCs w:val="22"/>
          <w:color w:val="010000"/>
        </w:rPr>
      </w:pPr>
    </w:p>
    <w:p>
      <w:pPr>
        <w:jc w:val="both"/>
        <w:ind w:left="-20" w:firstLine="656"/>
        <w:spacing w:after="0" w:line="243" w:lineRule="auto"/>
        <w:tabs>
          <w:tab w:leader="none" w:pos="1321"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Holder’s Exercise Limitations</w:t>
      </w:r>
      <w:r>
        <w:rPr>
          <w:rFonts w:ascii="Times New Roman" w:cs="Times New Roman" w:eastAsia="Times New Roman" w:hAnsi="Times New Roman"/>
          <w:sz w:val="21"/>
          <w:szCs w:val="21"/>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21"/>
          <w:szCs w:val="21"/>
          <w:u w:val="single" w:color="auto"/>
          <w:color w:val="auto"/>
        </w:rPr>
        <w:t>Attribution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2(f),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2(f)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this Warrant that are not in compliance with the Beneficial Ownership Limitation (other than to the extent that information on the number of outstanding shares of Common Stock is provided by the Company, either directly or through one or more public filings, and relied upon by the Holder).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030" w:right="339" w:bottom="1440" w:gutter="0" w:footer="0" w:header="0"/>
        </w:sectPr>
      </w:pPr>
    </w:p>
    <w:bookmarkStart w:id="31" w:name="page32"/>
    <w:bookmarkEnd w:id="31"/>
    <w:p>
      <w:pPr>
        <w:spacing w:after="0" w:line="243" w:lineRule="auto"/>
        <w:rPr>
          <w:sz w:val="20"/>
          <w:szCs w:val="20"/>
          <w:color w:val="auto"/>
        </w:rPr>
      </w:pPr>
      <w:r>
        <w:rPr>
          <w:rFonts w:ascii="Times New Roman" w:cs="Times New Roman" w:eastAsia="Times New Roman" w:hAnsi="Times New Roman"/>
          <w:sz w:val="21"/>
          <w:szCs w:val="21"/>
          <w:color w:val="auto"/>
        </w:rPr>
        <w:t>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and shall have no liability for exercises of this Warrant that are not in compliance with the Beneficial Ownership Limitation (other than to the extent that information on the number of outstanding shares of Common Stock is provided by the Company, either directly or through one or more public filings, and relied upon by the Holder). For purposes of this Section 2(f),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21"/>
          <w:szCs w:val="21"/>
          <w:u w:val="single" w:color="auto"/>
          <w:color w:val="auto"/>
        </w:rPr>
        <w:t>Beneficial Ownership Limitation</w:t>
      </w:r>
      <w:r>
        <w:rPr>
          <w:rFonts w:ascii="Times New Roman" w:cs="Times New Roman" w:eastAsia="Times New Roman" w:hAnsi="Times New Roman"/>
          <w:sz w:val="21"/>
          <w:szCs w:val="21"/>
          <w:color w:val="auto"/>
        </w:rPr>
        <w:t>” shall be 4.99% (or, at the election of the Holder prior to the issuance of this Warrant,</w:t>
      </w:r>
    </w:p>
    <w:p>
      <w:pPr>
        <w:spacing w:after="0" w:line="3"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22"/>
          <w:szCs w:val="22"/>
          <w:color w:val="auto"/>
        </w:rPr>
        <w:t>9.99%) of the number of shares of the Common Stock outstanding immediately after giving effect to the issuance of shares of Common Stock issuable upon exercise of this Warrant. The Holder, upon written notice to the Company, may increase or decrease the Beneficial Ownership Limitation provisions of this Section 2(f),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2(f)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2(f)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If this Warrant is unexercisable as a result of the Holder’s Beneficial Ownership Limitation, no alternate consideration is owing to the Holder. For the avoidance of doubt, the restrictions on exercise of any portion of this Warrant in this Section 2(f), the restrictions on participation in any Purchase Right in Section 3(b) and the restrictions on participation in any Distribution in Section 3(c) shall not prevent or limit any such exercise or participation by the Holder if the number of shares of Common Stock beneficially owned by the Holder and its Affiliates and Attribution Parties immediately prior to giving effect to such exercise or participation exceeds 9.99% of the number of shares of the Common Stock outstanding immediately prior to giving effect to such exercise or participation.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32" w:name="page33"/>
    <w:bookmarkEnd w:id="32"/>
    <w:p>
      <w:pPr>
        <w:ind w:left="640"/>
        <w:spacing w:after="0"/>
        <w:tabs>
          <w:tab w:leader="none" w:pos="186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u w:val="single" w:color="auto"/>
          <w:color w:val="auto"/>
        </w:rPr>
        <w:t>Certain Adjustments; Rights Offering</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 w:firstLine="656"/>
        <w:spacing w:after="0" w:line="233" w:lineRule="auto"/>
        <w:tabs>
          <w:tab w:leader="none" w:pos="155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Dividends and Splits</w:t>
      </w:r>
      <w:r>
        <w:rPr>
          <w:rFonts w:ascii="Times New Roman" w:cs="Times New Roman" w:eastAsia="Times New Roman" w:hAnsi="Times New Roman"/>
          <w:sz w:val="22"/>
          <w:szCs w:val="22"/>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2" w:lineRule="exact"/>
        <w:rPr>
          <w:rFonts w:ascii="Times New Roman" w:cs="Times New Roman" w:eastAsia="Times New Roman" w:hAnsi="Times New Roman"/>
          <w:sz w:val="22"/>
          <w:szCs w:val="22"/>
          <w:color w:val="auto"/>
        </w:rPr>
      </w:pPr>
    </w:p>
    <w:p>
      <w:pPr>
        <w:jc w:val="both"/>
        <w:ind w:left="-20" w:firstLine="656"/>
        <w:spacing w:after="0" w:line="233" w:lineRule="auto"/>
        <w:tabs>
          <w:tab w:leader="none" w:pos="140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Subsequent Rights Offerings</w:t>
      </w:r>
      <w:r>
        <w:rPr>
          <w:rFonts w:ascii="Times New Roman" w:cs="Times New Roman" w:eastAsia="Times New Roman" w:hAnsi="Times New Roman"/>
          <w:sz w:val="22"/>
          <w:szCs w:val="22"/>
          <w:color w:val="auto"/>
        </w:rPr>
        <w:t>. If at any time this Warrant is outstanding the Company grants, issues or sells any Common Stock Equivalents or rights to purchase shares, warrants, securities or other property pro rata to all of the record holders of any class of shares of Common Stock (the “</w:t>
      </w:r>
      <w:r>
        <w:rPr>
          <w:rFonts w:ascii="Times New Roman" w:cs="Times New Roman" w:eastAsia="Times New Roman" w:hAnsi="Times New Roman"/>
          <w:sz w:val="22"/>
          <w:szCs w:val="22"/>
          <w:u w:val="single" w:color="auto"/>
          <w:color w:val="auto"/>
        </w:rPr>
        <w:t>Purchase Rights</w:t>
      </w:r>
      <w:r>
        <w:rPr>
          <w:rFonts w:ascii="Times New Roman" w:cs="Times New Roman" w:eastAsia="Times New Roman" w:hAnsi="Times New Roman"/>
          <w:sz w:val="22"/>
          <w:szCs w:val="22"/>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2" w:lineRule="exact"/>
        <w:rPr>
          <w:rFonts w:ascii="Times New Roman" w:cs="Times New Roman" w:eastAsia="Times New Roman" w:hAnsi="Times New Roman"/>
          <w:sz w:val="22"/>
          <w:szCs w:val="22"/>
          <w:color w:val="auto"/>
        </w:rPr>
      </w:pPr>
    </w:p>
    <w:p>
      <w:pPr>
        <w:jc w:val="both"/>
        <w:ind w:left="-20" w:firstLine="656"/>
        <w:spacing w:after="0" w:line="235" w:lineRule="auto"/>
        <w:tabs>
          <w:tab w:leader="none" w:pos="1272"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 Rata Distributions</w:t>
      </w:r>
      <w:r>
        <w:rPr>
          <w:rFonts w:ascii="Times New Roman" w:cs="Times New Roman" w:eastAsia="Times New Roman" w:hAnsi="Times New Roman"/>
          <w:sz w:val="22"/>
          <w:szCs w:val="22"/>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22"/>
          <w:szCs w:val="22"/>
          <w:u w:val="single" w:color="auto"/>
          <w:color w:val="auto"/>
        </w:rPr>
        <w:t>Distribution</w:t>
      </w:r>
      <w:r>
        <w:rPr>
          <w:rFonts w:ascii="Times New Roman" w:cs="Times New Roman" w:eastAsia="Times New Roman" w:hAnsi="Times New Roman"/>
          <w:sz w:val="22"/>
          <w:szCs w:val="22"/>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030" w:right="339" w:bottom="1440" w:gutter="0" w:footer="0" w:header="0"/>
        </w:sectPr>
      </w:pPr>
    </w:p>
    <w:bookmarkStart w:id="33" w:name="page34"/>
    <w:bookmarkEnd w:id="33"/>
    <w:p>
      <w:pPr>
        <w:ind w:right="40"/>
        <w:spacing w:after="0" w:line="235" w:lineRule="auto"/>
        <w:rPr>
          <w:sz w:val="20"/>
          <w:szCs w:val="20"/>
          <w:color w:val="auto"/>
        </w:rPr>
      </w:pPr>
      <w:r>
        <w:rPr>
          <w:rFonts w:ascii="Times New Roman" w:cs="Times New Roman" w:eastAsia="Times New Roman" w:hAnsi="Times New Roman"/>
          <w:sz w:val="22"/>
          <w:szCs w:val="22"/>
          <w:color w:val="auto"/>
        </w:rPr>
        <w:t>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3" w:lineRule="exact"/>
        <w:rPr>
          <w:sz w:val="20"/>
          <w:szCs w:val="20"/>
          <w:color w:val="auto"/>
        </w:rPr>
      </w:pPr>
    </w:p>
    <w:p>
      <w:pPr>
        <w:jc w:val="both"/>
        <w:ind w:firstLine="656"/>
        <w:spacing w:after="0" w:line="232" w:lineRule="auto"/>
        <w:tabs>
          <w:tab w:leader="none" w:pos="1305"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Fundamental Transaction</w:t>
      </w:r>
      <w:r>
        <w:rPr>
          <w:rFonts w:ascii="Times New Roman" w:cs="Times New Roman" w:eastAsia="Times New Roman" w:hAnsi="Times New Roman"/>
          <w:sz w:val="22"/>
          <w:szCs w:val="22"/>
          <w:color w:val="auto"/>
        </w:rPr>
        <w:t>. If, at any time while this Warrant is outstanding, (i) the Company, directly or indirectly, in one or more related transactions effects any merger or consolidation of the Company with or into another Person, (ii) the Company (or any subsidiary of the Company), directly or indirectly, effects any sale, lease, license, assignment, transfer, conveyance or other disposition of all or substantially all of the Company’s consolidated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voting power of the common equity of the Company, (iv) the Company, directly or indirectly, in one or more related transactions effects any reclassification, reorganization or recapitalization of shares of Common Stock or any compulsory share exchange pursuant to which the shares of Common Stock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voting power of the common equity of the Company (each, other than an Internal Reorganization (as defined below), a “</w:t>
      </w:r>
      <w:r>
        <w:rPr>
          <w:rFonts w:ascii="Times New Roman" w:cs="Times New Roman" w:eastAsia="Times New Roman" w:hAnsi="Times New Roman"/>
          <w:sz w:val="22"/>
          <w:szCs w:val="22"/>
          <w:u w:val="single" w:color="auto"/>
          <w:color w:val="auto"/>
        </w:rPr>
        <w:t>Fundamental Transaction</w:t>
      </w:r>
      <w:r>
        <w:rPr>
          <w:rFonts w:ascii="Times New Roman" w:cs="Times New Roman" w:eastAsia="Times New Roman" w:hAnsi="Times New Roman"/>
          <w:sz w:val="22"/>
          <w:szCs w:val="22"/>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2(f)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22"/>
          <w:szCs w:val="22"/>
          <w:u w:val="single" w:color="auto"/>
          <w:color w:val="auto"/>
        </w:rPr>
        <w:t>Alternate Consideration</w:t>
      </w:r>
      <w:r>
        <w:rPr>
          <w:rFonts w:ascii="Times New Roman" w:cs="Times New Roman" w:eastAsia="Times New Roman" w:hAnsi="Times New Roman"/>
          <w:sz w:val="22"/>
          <w:szCs w:val="22"/>
          <w:color w:val="auto"/>
        </w:rPr>
        <w:t>”) receivable as a result of such Fundamental Transaction by a holder of the number of shares of Common Stock for which this Warrant is exercisable immediately prior to such Fundamental Transaction (without regard to any limitation in Section 2(f)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color w:val="auto"/>
        </w:rPr>
        <w:t>If holders of Common Stock are given any choice as to the securities, cash or property to be received in a Fundamental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Transaction, then the Holder shall be given the same choice as to the Alternate Consideration it receives upon any exercise of this</w:t>
      </w:r>
    </w:p>
    <w:p>
      <w:pPr>
        <w:spacing w:after="0" w:line="231" w:lineRule="auto"/>
        <w:rPr>
          <w:sz w:val="20"/>
          <w:szCs w:val="20"/>
          <w:color w:val="auto"/>
        </w:rPr>
      </w:pPr>
      <w:r>
        <w:rPr>
          <w:rFonts w:ascii="Times New Roman" w:cs="Times New Roman" w:eastAsia="Times New Roman" w:hAnsi="Times New Roman"/>
          <w:sz w:val="22"/>
          <w:szCs w:val="22"/>
          <w:color w:val="auto"/>
        </w:rPr>
        <w:t>Warrant following such Fundamental Transaction. The Company shall use commercially reasonable efforts to cause any</w:t>
      </w:r>
    </w:p>
    <w:p>
      <w:pPr>
        <w:spacing w:after="0" w:line="231" w:lineRule="auto"/>
        <w:rPr>
          <w:sz w:val="20"/>
          <w:szCs w:val="20"/>
          <w:color w:val="auto"/>
        </w:rPr>
      </w:pPr>
      <w:r>
        <w:rPr>
          <w:rFonts w:ascii="Times New Roman" w:cs="Times New Roman" w:eastAsia="Times New Roman" w:hAnsi="Times New Roman"/>
          <w:sz w:val="22"/>
          <w:szCs w:val="22"/>
          <w:color w:val="auto"/>
        </w:rPr>
        <w:t>successor entity in a Fundamental Transaction in which the Company is not the survivor (the “</w:t>
      </w:r>
      <w:r>
        <w:rPr>
          <w:rFonts w:ascii="Times New Roman" w:cs="Times New Roman" w:eastAsia="Times New Roman" w:hAnsi="Times New Roman"/>
          <w:sz w:val="22"/>
          <w:szCs w:val="22"/>
          <w:u w:val="single" w:color="auto"/>
          <w:color w:val="auto"/>
        </w:rPr>
        <w:t>Successor Entity</w:t>
      </w:r>
      <w:r>
        <w:rPr>
          <w:rFonts w:ascii="Times New Roman" w:cs="Times New Roman" w:eastAsia="Times New Roman" w:hAnsi="Times New Roman"/>
          <w:sz w:val="22"/>
          <w:szCs w:val="22"/>
          <w:color w:val="auto"/>
        </w:rPr>
        <w:t>”) to assume in</w:t>
      </w:r>
    </w:p>
    <w:p>
      <w:pPr>
        <w:spacing w:after="0" w:line="231" w:lineRule="auto"/>
        <w:rPr>
          <w:sz w:val="20"/>
          <w:szCs w:val="20"/>
          <w:color w:val="auto"/>
        </w:rPr>
      </w:pPr>
      <w:r>
        <w:rPr>
          <w:rFonts w:ascii="Times New Roman" w:cs="Times New Roman" w:eastAsia="Times New Roman" w:hAnsi="Times New Roman"/>
          <w:sz w:val="22"/>
          <w:szCs w:val="22"/>
          <w:color w:val="auto"/>
        </w:rPr>
        <w:t>writing all of the obligations of the Company under this Warrant and the other Transaction Documents in accordance with the</w:t>
      </w:r>
    </w:p>
    <w:p>
      <w:pPr>
        <w:spacing w:after="0"/>
        <w:rPr>
          <w:sz w:val="20"/>
          <w:szCs w:val="20"/>
          <w:color w:val="auto"/>
        </w:rPr>
      </w:pPr>
      <w:r>
        <w:rPr>
          <w:rFonts w:ascii="Times New Roman" w:cs="Times New Roman" w:eastAsia="Times New Roman" w:hAnsi="Times New Roman"/>
          <w:sz w:val="21"/>
          <w:szCs w:val="21"/>
          <w:color w:val="auto"/>
        </w:rPr>
        <w:t>provisions of this Section 3(d) pursuant to written agreements in form and substance reasonably satisfactory to the Holder prior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such Fundamental Transaction and shall, at the option of the Holder, deliver to the Holder in exchange for this Warrant a security</w:t>
      </w:r>
    </w:p>
    <w:p>
      <w:pPr>
        <w:spacing w:after="0" w:line="231" w:lineRule="auto"/>
        <w:rPr>
          <w:sz w:val="20"/>
          <w:szCs w:val="20"/>
          <w:color w:val="auto"/>
        </w:rPr>
      </w:pPr>
      <w:r>
        <w:rPr>
          <w:rFonts w:ascii="Times New Roman" w:cs="Times New Roman" w:eastAsia="Times New Roman" w:hAnsi="Times New Roman"/>
          <w:sz w:val="22"/>
          <w:szCs w:val="22"/>
          <w:color w:val="auto"/>
        </w:rPr>
        <w:t>of the Successor Entity evidenced by a written instrument substantially similar in form and substance to this Warrant which 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exercisable for a corresponding number of shares of capital stock of such Successor Entity (or its parent entity) equivalent to the</w:t>
      </w:r>
    </w:p>
    <w:p>
      <w:pPr>
        <w:spacing w:after="0" w:line="231" w:lineRule="auto"/>
        <w:rPr>
          <w:sz w:val="20"/>
          <w:szCs w:val="20"/>
          <w:color w:val="auto"/>
        </w:rPr>
      </w:pPr>
      <w:r>
        <w:rPr>
          <w:rFonts w:ascii="Times New Roman" w:cs="Times New Roman" w:eastAsia="Times New Roman" w:hAnsi="Times New Roman"/>
          <w:sz w:val="22"/>
          <w:szCs w:val="22"/>
          <w:color w:val="auto"/>
        </w:rPr>
        <w:t>shares of Common Stock acquirable and receivable upon exercise of this Warrant (without regard to any limitations on the</w:t>
      </w:r>
    </w:p>
    <w:p>
      <w:pPr>
        <w:spacing w:after="0" w:line="231" w:lineRule="auto"/>
        <w:rPr>
          <w:sz w:val="20"/>
          <w:szCs w:val="20"/>
          <w:color w:val="auto"/>
        </w:rPr>
      </w:pPr>
      <w:r>
        <w:rPr>
          <w:rFonts w:ascii="Times New Roman" w:cs="Times New Roman" w:eastAsia="Times New Roman" w:hAnsi="Times New Roman"/>
          <w:sz w:val="22"/>
          <w:szCs w:val="22"/>
          <w:color w:val="auto"/>
        </w:rPr>
        <w:t>exercise of this Warrant) prior to such Fundamental Transaction, and with an exercise price which applies the exercise price</w:t>
      </w:r>
    </w:p>
    <w:p>
      <w:pPr>
        <w:spacing w:after="0" w:line="231" w:lineRule="auto"/>
        <w:rPr>
          <w:sz w:val="20"/>
          <w:szCs w:val="20"/>
          <w:color w:val="auto"/>
        </w:rPr>
      </w:pPr>
      <w:r>
        <w:rPr>
          <w:rFonts w:ascii="Times New Roman" w:cs="Times New Roman" w:eastAsia="Times New Roman" w:hAnsi="Times New Roman"/>
          <w:sz w:val="22"/>
          <w:szCs w:val="22"/>
          <w:color w:val="auto"/>
        </w:rPr>
        <w:t>hereunder to such shares of capital stock (but taking into account the relative value of the shares of Common Stock pursuant to</w:t>
      </w:r>
    </w:p>
    <w:p>
      <w:pPr>
        <w:spacing w:after="0" w:line="230" w:lineRule="auto"/>
        <w:rPr>
          <w:sz w:val="20"/>
          <w:szCs w:val="20"/>
          <w:color w:val="auto"/>
        </w:rPr>
      </w:pPr>
      <w:r>
        <w:rPr>
          <w:rFonts w:ascii="Times New Roman" w:cs="Times New Roman" w:eastAsia="Times New Roman" w:hAnsi="Times New Roman"/>
          <w:sz w:val="22"/>
          <w:szCs w:val="22"/>
          <w:color w:val="auto"/>
        </w:rPr>
        <w:t>such Fundamental Transaction and the value of such shares of capital stock, such number of shares of capital stock and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exercise price being for the purpose of protecting the economic value of this Warrant immediately prior to the consummation of</w:t>
      </w:r>
    </w:p>
    <w:p>
      <w:pPr>
        <w:spacing w:after="0" w:line="231" w:lineRule="auto"/>
        <w:rPr>
          <w:sz w:val="20"/>
          <w:szCs w:val="20"/>
          <w:color w:val="auto"/>
        </w:rPr>
      </w:pPr>
      <w:r>
        <w:rPr>
          <w:rFonts w:ascii="Times New Roman" w:cs="Times New Roman" w:eastAsia="Times New Roman" w:hAnsi="Times New Roman"/>
          <w:sz w:val="22"/>
          <w:szCs w:val="22"/>
          <w:color w:val="auto"/>
        </w:rPr>
        <w:t>such Fundamental Transaction), and which is reasonably satisfactory in form and substance to the Holder. Upon the occurrence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of any such Fundamental Transaction, the Successor Entity shall succeed to, and be substituted for (so that from and after the date</w:t>
      </w:r>
    </w:p>
    <w:p>
      <w:pPr>
        <w:spacing w:after="0" w:line="231" w:lineRule="auto"/>
        <w:rPr>
          <w:sz w:val="20"/>
          <w:szCs w:val="20"/>
          <w:color w:val="auto"/>
        </w:rPr>
      </w:pPr>
      <w:r>
        <w:rPr>
          <w:rFonts w:ascii="Times New Roman" w:cs="Times New Roman" w:eastAsia="Times New Roman" w:hAnsi="Times New Roman"/>
          <w:sz w:val="22"/>
          <w:szCs w:val="22"/>
          <w:color w:val="auto"/>
        </w:rPr>
        <w:t>of such Fundamental Transaction, the provisions of this Warrant and the other Transaction Documents referring to the</w:t>
      </w:r>
    </w:p>
    <w:p>
      <w:pPr>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shall refer instead to the Successor Entity), and may exercise every right and power of the Company and shall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assume all of the obligations of the Company under this Warrant and the other Transaction Documents with the same effect as if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such Successor Entity had been named as the Company herein. Notwithstanding anything to the contrary, the alternative cashless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exercise rights contemplated under Section 2(d) shall cease upon the consummation of a Fundamental Transaction. To the extent</w:t>
      </w:r>
    </w:p>
    <w:p>
      <w:pPr>
        <w:spacing w:after="0" w:line="231" w:lineRule="auto"/>
        <w:rPr>
          <w:sz w:val="20"/>
          <w:szCs w:val="20"/>
          <w:color w:val="auto"/>
        </w:rPr>
      </w:pPr>
      <w:r>
        <w:rPr>
          <w:rFonts w:ascii="Times New Roman" w:cs="Times New Roman" w:eastAsia="Times New Roman" w:hAnsi="Times New Roman"/>
          <w:sz w:val="22"/>
          <w:szCs w:val="22"/>
          <w:color w:val="auto"/>
        </w:rPr>
        <w:t>the Holder is entitled and elects to have this Warrant exercised in accordance with Section 2(d) prior to the consummation of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Fundamental Transaction, the Holder may condition such exercise on the consummation of a Fundamental Transaction, such that</w:t>
      </w:r>
    </w:p>
    <w:p>
      <w:pPr>
        <w:spacing w:after="0" w:line="231" w:lineRule="auto"/>
        <w:rPr>
          <w:sz w:val="20"/>
          <w:szCs w:val="20"/>
          <w:color w:val="auto"/>
        </w:rPr>
      </w:pPr>
      <w:r>
        <w:rPr>
          <w:rFonts w:ascii="Times New Roman" w:cs="Times New Roman" w:eastAsia="Times New Roman" w:hAnsi="Times New Roman"/>
          <w:sz w:val="22"/>
          <w:szCs w:val="22"/>
          <w:color w:val="auto"/>
        </w:rPr>
        <w:t>the alternative cashless exercise is effected immediately prior to the consummation of a Fundamental Transaction.</w:t>
      </w:r>
    </w:p>
    <w:p>
      <w:pPr>
        <w:spacing w:after="0" w:line="231" w:lineRule="auto"/>
        <w:rPr>
          <w:sz w:val="20"/>
          <w:szCs w:val="20"/>
          <w:color w:val="auto"/>
        </w:rPr>
      </w:pPr>
      <w:r>
        <w:rPr>
          <w:rFonts w:ascii="Times New Roman" w:cs="Times New Roman" w:eastAsia="Times New Roman" w:hAnsi="Times New Roman"/>
          <w:sz w:val="22"/>
          <w:szCs w:val="22"/>
          <w:color w:val="auto"/>
        </w:rPr>
        <w:t>Notwithstanding anything to the contrary, in the event of a Fundamental Transaction, the Company or any Successor Entity (as</w:t>
      </w:r>
    </w:p>
    <w:p>
      <w:pPr>
        <w:spacing w:after="0" w:line="231" w:lineRule="auto"/>
        <w:rPr>
          <w:sz w:val="20"/>
          <w:szCs w:val="20"/>
          <w:color w:val="auto"/>
        </w:rPr>
      </w:pPr>
      <w:r>
        <w:rPr>
          <w:rFonts w:ascii="Times New Roman" w:cs="Times New Roman" w:eastAsia="Times New Roman" w:hAnsi="Times New Roman"/>
          <w:sz w:val="22"/>
          <w:szCs w:val="22"/>
          <w:color w:val="auto"/>
        </w:rPr>
        <w:t>defined below) shall, at the Holder’s option, exercisable at any time concurrently with, or within thirty (30) days after, the</w:t>
      </w:r>
    </w:p>
    <w:p>
      <w:pPr>
        <w:spacing w:after="0" w:line="230" w:lineRule="auto"/>
        <w:rPr>
          <w:sz w:val="20"/>
          <w:szCs w:val="20"/>
          <w:color w:val="auto"/>
        </w:rPr>
      </w:pPr>
      <w:r>
        <w:rPr>
          <w:rFonts w:ascii="Times New Roman" w:cs="Times New Roman" w:eastAsia="Times New Roman" w:hAnsi="Times New Roman"/>
          <w:sz w:val="22"/>
          <w:szCs w:val="22"/>
          <w:color w:val="auto"/>
        </w:rPr>
        <w:t>consummation of the Fundamental Transaction (or, if later, the date of the public announcement of the applicable Fundamental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Transaction), purchase this Warrant from the Holder by paying to the Holder, as described below, an amount of cash equal to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 Scholes Value (as defined below) of the remaining unexercised portion of this Warrant on the date of the consummation of</w:t>
      </w:r>
    </w:p>
    <w:p>
      <w:pPr>
        <w:spacing w:after="0" w:line="231" w:lineRule="auto"/>
        <w:rPr>
          <w:sz w:val="20"/>
          <w:szCs w:val="20"/>
          <w:color w:val="auto"/>
        </w:rPr>
      </w:pPr>
      <w:r>
        <w:rPr>
          <w:rFonts w:ascii="Times New Roman" w:cs="Times New Roman" w:eastAsia="Times New Roman" w:hAnsi="Times New Roman"/>
          <w:sz w:val="22"/>
          <w:szCs w:val="22"/>
          <w:color w:val="auto"/>
        </w:rPr>
        <w:t xml:space="preserve">such Fundamental Transaction,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Fundamental Transaction is not within the Company’s control,</w:t>
      </w:r>
    </w:p>
    <w:p>
      <w:pPr>
        <w:spacing w:after="0" w:line="231" w:lineRule="auto"/>
        <w:rPr>
          <w:sz w:val="20"/>
          <w:szCs w:val="20"/>
          <w:color w:val="auto"/>
        </w:rPr>
      </w:pPr>
      <w:r>
        <w:rPr>
          <w:rFonts w:ascii="Times New Roman" w:cs="Times New Roman" w:eastAsia="Times New Roman" w:hAnsi="Times New Roman"/>
          <w:sz w:val="22"/>
          <w:szCs w:val="22"/>
          <w:color w:val="auto"/>
        </w:rPr>
        <w:t>including not approved by the board of directors of the Company, Holder shall only be entitled to receive from the Company or</w:t>
      </w:r>
    </w:p>
    <w:p>
      <w:pPr>
        <w:spacing w:after="0" w:line="231" w:lineRule="auto"/>
        <w:rPr>
          <w:sz w:val="20"/>
          <w:szCs w:val="20"/>
          <w:color w:val="auto"/>
        </w:rPr>
      </w:pPr>
      <w:r>
        <w:rPr>
          <w:rFonts w:ascii="Times New Roman" w:cs="Times New Roman" w:eastAsia="Times New Roman" w:hAnsi="Times New Roman"/>
          <w:sz w:val="22"/>
          <w:szCs w:val="22"/>
          <w:color w:val="auto"/>
        </w:rPr>
        <w:t>any Successor Entity, as of the date of the consummation of such Fundamental Transaction the same type or form of</w:t>
      </w:r>
    </w:p>
    <w:p>
      <w:pPr>
        <w:spacing w:after="0"/>
        <w:rPr>
          <w:sz w:val="20"/>
          <w:szCs w:val="20"/>
          <w:color w:val="auto"/>
        </w:rPr>
      </w:pPr>
      <w:r>
        <w:rPr>
          <w:rFonts w:ascii="Times New Roman" w:cs="Times New Roman" w:eastAsia="Times New Roman" w:hAnsi="Times New Roman"/>
          <w:sz w:val="21"/>
          <w:szCs w:val="21"/>
          <w:color w:val="auto"/>
        </w:rPr>
        <w:t>consideration (and in the same proportion), valued at the Black Scholes Value of the unexercised portion of this Warrant, that is</w:t>
      </w:r>
    </w:p>
    <w:p>
      <w:pPr>
        <w:spacing w:after="0" w:line="231" w:lineRule="auto"/>
        <w:rPr>
          <w:sz w:val="20"/>
          <w:szCs w:val="20"/>
          <w:color w:val="auto"/>
        </w:rPr>
      </w:pPr>
      <w:r>
        <w:rPr>
          <w:rFonts w:ascii="Times New Roman" w:cs="Times New Roman" w:eastAsia="Times New Roman" w:hAnsi="Times New Roman"/>
          <w:sz w:val="22"/>
          <w:szCs w:val="22"/>
          <w:color w:val="auto"/>
        </w:rPr>
        <w:t>being offered and paid to the holders of Common Stock of the Company in connection with the Fundamental Transaction,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whether that consideration be in the form of cash, stock or any combination thereof, or whether the holders of Common Stock are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given the choice to receive from among alternative forms of consideration in connection with the Fundamental Transaction;</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35" w:name="page36"/>
    <w:bookmarkEnd w:id="35"/>
    <w:p>
      <w:pPr>
        <w:ind w:right="20"/>
        <w:spacing w:after="0" w:line="244" w:lineRule="auto"/>
        <w:rPr>
          <w:sz w:val="20"/>
          <w:szCs w:val="20"/>
          <w:color w:val="auto"/>
        </w:rPr>
      </w:pP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if holders of Common Stock of the Company are not offered or paid any consideration in such Fundamental Transaction, such holders of Common Stock will be deemed to have received shares of the Successor Entity (which Successor Entity may be the Company following such Fundamental Transaction) in such Fundamental Transaction. “</w:t>
      </w:r>
      <w:r>
        <w:rPr>
          <w:rFonts w:ascii="Times New Roman" w:cs="Times New Roman" w:eastAsia="Times New Roman" w:hAnsi="Times New Roman"/>
          <w:sz w:val="21"/>
          <w:szCs w:val="21"/>
          <w:u w:val="single" w:color="auto"/>
          <w:color w:val="auto"/>
        </w:rPr>
        <w:t>Black Scholes Value</w:t>
      </w:r>
      <w:r>
        <w:rPr>
          <w:rFonts w:ascii="Times New Roman" w:cs="Times New Roman" w:eastAsia="Times New Roman" w:hAnsi="Times New Roman"/>
          <w:sz w:val="21"/>
          <w:szCs w:val="21"/>
          <w:color w:val="auto"/>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100%,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announcement of the applicable Fundamental Transaction (or the consummation of the applicable Fundamental Transaction, if earlier) and ending on the Trading Day of the Holder’s request pursuant to this Section 3(d) and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within five Business Days of the Holder’s election (or, if later, on the effective date of the Fundamental Transaction). For the avoidance of doubt, the Holder shall be entitled to the benefits of the provisions of this Section 3(d) regardless of whether the Company has sufficient authorized shares of Common Stock for the issuance of the Warrant Shares.</w:t>
      </w:r>
    </w:p>
    <w:p>
      <w:pPr>
        <w:spacing w:after="0" w:line="173" w:lineRule="exact"/>
        <w:rPr>
          <w:sz w:val="20"/>
          <w:szCs w:val="20"/>
          <w:color w:val="auto"/>
        </w:rPr>
      </w:pPr>
    </w:p>
    <w:p>
      <w:pPr>
        <w:jc w:val="both"/>
        <w:ind w:firstLine="656"/>
        <w:spacing w:after="0" w:line="233" w:lineRule="auto"/>
        <w:tabs>
          <w:tab w:leader="none" w:pos="167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Internal Reorganization</w:t>
      </w:r>
      <w:r>
        <w:rPr>
          <w:rFonts w:ascii="Times New Roman" w:cs="Times New Roman" w:eastAsia="Times New Roman" w:hAnsi="Times New Roman"/>
          <w:sz w:val="22"/>
          <w:szCs w:val="22"/>
          <w:color w:val="auto"/>
        </w:rPr>
        <w:t>. If, at any time while this Warrant is outstanding, the Company consummates any transaction of the type listed in clauses (i) to (v) of Section 3(d) solely with one or more of its Affiliates (each, an “</w:t>
      </w:r>
      <w:r>
        <w:rPr>
          <w:rFonts w:ascii="Times New Roman" w:cs="Times New Roman" w:eastAsia="Times New Roman" w:hAnsi="Times New Roman"/>
          <w:sz w:val="22"/>
          <w:szCs w:val="22"/>
          <w:u w:val="single" w:color="auto"/>
          <w:color w:val="auto"/>
        </w:rPr>
        <w:t>Internal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Reorganization</w:t>
      </w:r>
      <w:r>
        <w:rPr>
          <w:rFonts w:ascii="Times New Roman" w:cs="Times New Roman" w:eastAsia="Times New Roman" w:hAnsi="Times New Roman"/>
          <w:sz w:val="22"/>
          <w:szCs w:val="22"/>
          <w:color w:val="auto"/>
        </w:rPr>
        <w:t>”), then, notwithstanding anything to the contrary in Section 3(d), as a part of such Internal Reorganization, lawful provision shall be made so that the Holder shall thereafter be entitled to receive upon exercise of this Warrant, the kind and amount of securities, cash or other property of the successor entity resulting from such Internal Reorganization, equivalent in value to that which a holder of the Warrant Shares deliverable upon exercise of this Warrant would have been entitled in such Internal Reorganization if the right to purchase the Warrant Shares hereunder had been exercised immediately prior to such Internal Reorganization. In any such case, appropriate adjustment (as determined in good faith by the board of directors or equivalent governing body of the successor entity) shall be made in the application of the provisions of this Warrant with respect to the rights and interests of the Holder after such Internal Reorganization (including provisions for adjustments of the number of securities purchasable and receivable upon the exercise of this Warrant) to the end that the provisions of this Warrant shall be applicable after the event, as near as reasonably may be, in relation to any securities deliverable after that event upon the exercise of this Warrant.</w:t>
      </w:r>
    </w:p>
    <w:p>
      <w:pPr>
        <w:spacing w:after="0" w:line="191" w:lineRule="exact"/>
        <w:rPr>
          <w:rFonts w:ascii="Times New Roman" w:cs="Times New Roman" w:eastAsia="Times New Roman" w:hAnsi="Times New Roman"/>
          <w:sz w:val="22"/>
          <w:szCs w:val="22"/>
          <w:color w:val="auto"/>
        </w:rPr>
      </w:pPr>
    </w:p>
    <w:p>
      <w:pPr>
        <w:jc w:val="both"/>
        <w:ind w:firstLine="656"/>
        <w:spacing w:after="0" w:line="218" w:lineRule="auto"/>
        <w:tabs>
          <w:tab w:leader="none" w:pos="146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Calculations</w:t>
      </w:r>
      <w:r>
        <w:rPr>
          <w:rFonts w:ascii="Times New Roman" w:cs="Times New Roman" w:eastAsia="Times New Roman" w:hAnsi="Times New Roman"/>
          <w:sz w:val="22"/>
          <w:szCs w:val="22"/>
          <w:color w:val="auto"/>
        </w:rPr>
        <w:t>. All calculations under this Section 3 shall be made to the nearest cent or the nearest 1/100</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36" w:name="page37"/>
    <w:bookmarkEnd w:id="36"/>
    <w:p>
      <w:pPr>
        <w:ind w:left="1240" w:hanging="604"/>
        <w:spacing w:after="0"/>
        <w:tabs>
          <w:tab w:leader="none" w:pos="12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to Holder</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0" w:firstLine="1304"/>
        <w:spacing w:after="0" w:line="239" w:lineRule="auto"/>
        <w:tabs>
          <w:tab w:leader="none" w:pos="2051" w:val="left"/>
        </w:tabs>
        <w:numPr>
          <w:ilvl w:val="1"/>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Adjustment to Exercise Price</w:t>
      </w:r>
      <w:r>
        <w:rPr>
          <w:rFonts w:ascii="Times New Roman" w:cs="Times New Roman" w:eastAsia="Times New Roman" w:hAnsi="Times New Roman"/>
          <w:sz w:val="22"/>
          <w:szCs w:val="22"/>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180" w:lineRule="exact"/>
        <w:rPr>
          <w:rFonts w:ascii="Times New Roman" w:cs="Times New Roman" w:eastAsia="Times New Roman" w:hAnsi="Times New Roman"/>
          <w:sz w:val="22"/>
          <w:szCs w:val="22"/>
          <w:color w:val="010000"/>
        </w:rPr>
      </w:pPr>
    </w:p>
    <w:p>
      <w:pPr>
        <w:jc w:val="both"/>
        <w:ind w:left="-20" w:firstLine="1304"/>
        <w:spacing w:after="0" w:line="243" w:lineRule="auto"/>
        <w:tabs>
          <w:tab w:leader="none" w:pos="1918" w:val="left"/>
        </w:tabs>
        <w:numPr>
          <w:ilvl w:val="1"/>
          <w:numId w:val="4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Notice to Allow Exercise by Holder</w:t>
      </w:r>
      <w:r>
        <w:rPr>
          <w:rFonts w:ascii="Times New Roman" w:cs="Times New Roman" w:eastAsia="Times New Roman" w:hAnsi="Times New Roman"/>
          <w:sz w:val="21"/>
          <w:szCs w:val="21"/>
          <w:color w:val="auto"/>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shares of Common Stock rights or warrants to subscribe for or purchase any shares of capital stock of any class or any rights, (D) the approval of any stockholders of the Company shall be required in connection with a Fundamental Transaction or an Internal Reorganization,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Company’s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85" w:lineRule="exact"/>
        <w:rPr>
          <w:rFonts w:ascii="Times New Roman" w:cs="Times New Roman" w:eastAsia="Times New Roman" w:hAnsi="Times New Roman"/>
          <w:sz w:val="21"/>
          <w:szCs w:val="21"/>
          <w:color w:val="010000"/>
        </w:rPr>
      </w:pPr>
    </w:p>
    <w:p>
      <w:pPr>
        <w:jc w:val="both"/>
        <w:ind w:left="-20" w:firstLine="656"/>
        <w:spacing w:after="0" w:line="244" w:lineRule="auto"/>
        <w:tabs>
          <w:tab w:leader="none" w:pos="127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Adjustment by Company</w:t>
      </w:r>
      <w:r>
        <w:rPr>
          <w:rFonts w:ascii="Times New Roman" w:cs="Times New Roman" w:eastAsia="Times New Roman" w:hAnsi="Times New Roman"/>
          <w:sz w:val="22"/>
          <w:szCs w:val="22"/>
          <w:color w:val="auto"/>
        </w:rPr>
        <w:t>. Subject to the rules and regulations of the Trading Market, the Company may at any time while this Warrant is outstanding, reduce (temporarily or permanently) the then-current Exercise Price to any amount and for any period of time deemed appropriate by the board of directors of the Company in its sole discretion.</w:t>
      </w:r>
    </w:p>
    <w:p>
      <w:pPr>
        <w:spacing w:after="0" w:line="173"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22"/>
          <w:szCs w:val="22"/>
          <w:color w:val="auto"/>
        </w:rPr>
        <w:t>Section 4.</w:t>
      </w:r>
      <w:r>
        <w:rPr>
          <w:sz w:val="20"/>
          <w:szCs w:val="20"/>
          <w:color w:val="auto"/>
        </w:rPr>
        <w:tab/>
      </w:r>
      <w:r>
        <w:rPr>
          <w:rFonts w:ascii="Times New Roman" w:cs="Times New Roman" w:eastAsia="Times New Roman" w:hAnsi="Times New Roman"/>
          <w:sz w:val="21"/>
          <w:szCs w:val="21"/>
          <w:u w:val="single" w:color="auto"/>
          <w:color w:val="auto"/>
        </w:rPr>
        <w:t>Transfer of Warrant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 w:firstLine="656"/>
        <w:spacing w:after="0" w:line="239" w:lineRule="auto"/>
        <w:tabs>
          <w:tab w:leader="none" w:pos="1407"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814" w:right="339" w:bottom="1440" w:gutter="0" w:footer="0" w:header="0"/>
        </w:sectPr>
      </w:pPr>
    </w:p>
    <w:bookmarkStart w:id="37" w:name="page38"/>
    <w:bookmarkEnd w:id="37"/>
    <w:p>
      <w:pPr>
        <w:ind w:right="20"/>
        <w:spacing w:after="0" w:line="235" w:lineRule="auto"/>
        <w:rPr>
          <w:sz w:val="20"/>
          <w:szCs w:val="20"/>
          <w:color w:val="auto"/>
        </w:rPr>
      </w:pPr>
      <w:r>
        <w:rPr>
          <w:rFonts w:ascii="Times New Roman" w:cs="Times New Roman" w:eastAsia="Times New Roman" w:hAnsi="Times New Roman"/>
          <w:sz w:val="22"/>
          <w:szCs w:val="22"/>
          <w:color w:val="auto"/>
        </w:rPr>
        <w:t>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78" w:lineRule="exact"/>
        <w:rPr>
          <w:sz w:val="20"/>
          <w:szCs w:val="20"/>
          <w:color w:val="auto"/>
        </w:rPr>
      </w:pPr>
    </w:p>
    <w:p>
      <w:pPr>
        <w:jc w:val="both"/>
        <w:ind w:firstLine="656"/>
        <w:spacing w:after="0" w:line="235" w:lineRule="auto"/>
        <w:tabs>
          <w:tab w:leader="none" w:pos="1467"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Warrants</w:t>
      </w:r>
      <w:r>
        <w:rPr>
          <w:rFonts w:ascii="Times New Roman" w:cs="Times New Roman" w:eastAsia="Times New Roman" w:hAnsi="Times New Roman"/>
          <w:sz w:val="22"/>
          <w:szCs w:val="22"/>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maintain the Issuance Date of this Warrant and shall be identical with this Warrant except as to the number of Warrant Shares issuable pursuant thereto.</w:t>
      </w:r>
    </w:p>
    <w:p>
      <w:pPr>
        <w:spacing w:after="0" w:line="183" w:lineRule="exact"/>
        <w:rPr>
          <w:rFonts w:ascii="Times New Roman" w:cs="Times New Roman" w:eastAsia="Times New Roman" w:hAnsi="Times New Roman"/>
          <w:sz w:val="22"/>
          <w:szCs w:val="22"/>
          <w:color w:val="auto"/>
        </w:rPr>
      </w:pPr>
    </w:p>
    <w:p>
      <w:pPr>
        <w:jc w:val="both"/>
        <w:ind w:firstLine="656"/>
        <w:spacing w:after="0" w:line="239" w:lineRule="auto"/>
        <w:tabs>
          <w:tab w:leader="none" w:pos="123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Warrant Register</w:t>
      </w:r>
      <w:r>
        <w:rPr>
          <w:rFonts w:ascii="Times New Roman" w:cs="Times New Roman" w:eastAsia="Times New Roman" w:hAnsi="Times New Roman"/>
          <w:sz w:val="22"/>
          <w:szCs w:val="22"/>
          <w:color w:val="auto"/>
        </w:rPr>
        <w:t>. The Company shall register this Warrant, upon records to be maintained by the Company for that purpose (the “</w:t>
      </w:r>
      <w:r>
        <w:rPr>
          <w:rFonts w:ascii="Times New Roman" w:cs="Times New Roman" w:eastAsia="Times New Roman" w:hAnsi="Times New Roman"/>
          <w:sz w:val="22"/>
          <w:szCs w:val="22"/>
          <w:u w:val="single" w:color="auto"/>
          <w:color w:val="auto"/>
        </w:rPr>
        <w:t>Warrant Register</w:t>
      </w:r>
      <w:r>
        <w:rPr>
          <w:rFonts w:ascii="Times New Roman" w:cs="Times New Roman" w:eastAsia="Times New Roman" w:hAnsi="Times New Roman"/>
          <w:sz w:val="22"/>
          <w:szCs w:val="22"/>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0"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56"/>
        <w:spacing w:after="0" w:line="238" w:lineRule="auto"/>
        <w:tabs>
          <w:tab w:leader="none" w:pos="134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as Stockholder Until Exercise; No Settlement in Cash</w:t>
      </w:r>
      <w:r>
        <w:rPr>
          <w:rFonts w:ascii="Times New Roman" w:cs="Times New Roman" w:eastAsia="Times New Roman" w:hAnsi="Times New Roman"/>
          <w:sz w:val="22"/>
          <w:szCs w:val="22"/>
          <w:color w:val="auto"/>
        </w:rPr>
        <w:t>. This Warrant does not entitle the Holder to any voting rights, dividends or other rights as a stockholder of the Company prior to the exercise hereof as set forth in Section 2(e)(i), except as expressly set forth in Section 3. Without limiting the rights of a Holder to receive Warrant Shares on a “cashless exercise” or an “alternative cashless exercise”, and to receive the cash payments contemplated pursuant to Sections 2(e)(i) and 2(e)(iv), in no event will the Company be required to net cash settle an exercise of this Warrant.</w:t>
      </w:r>
    </w:p>
    <w:p>
      <w:pPr>
        <w:spacing w:after="0" w:line="176" w:lineRule="exact"/>
        <w:rPr>
          <w:rFonts w:ascii="Times New Roman" w:cs="Times New Roman" w:eastAsia="Times New Roman" w:hAnsi="Times New Roman"/>
          <w:sz w:val="22"/>
          <w:szCs w:val="22"/>
          <w:color w:val="auto"/>
        </w:rPr>
      </w:pPr>
    </w:p>
    <w:p>
      <w:pPr>
        <w:jc w:val="both"/>
        <w:ind w:firstLine="656"/>
        <w:spacing w:after="0" w:line="235" w:lineRule="auto"/>
        <w:tabs>
          <w:tab w:leader="none" w:pos="1345"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Loss, Theft, Destruction or Mutilation of Warrant</w:t>
      </w:r>
      <w:r>
        <w:rPr>
          <w:rFonts w:ascii="Times New Roman" w:cs="Times New Roman" w:eastAsia="Times New Roman" w:hAnsi="Times New Roman"/>
          <w:sz w:val="22"/>
          <w:szCs w:val="22"/>
          <w:color w:val="auto"/>
        </w:rPr>
        <w:t>. The Company covenants that upon receipt by the Company of evidence reasonably satisfactory to it of the loss, theft, destruction or mutilation of this Warrant, and in case of loss, theft or destruction, of indemnity or security reasonably satisfactory to it (which shall not include the posting of any bond), and upon surrender and cancellation of such Warrant, if mutilated, the Company will make and deliver a new Warrant of like tenor and dated as of such cancellation, in lieu of such Warrant. The applicant for a new certificate or instrument under such circumstances shall pay any reasonable third-party costs (including customary indemnity) associated with the issuance of such replacement warrant.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38" w:name="page39"/>
    <w:bookmarkEnd w:id="38"/>
    <w:p>
      <w:pPr>
        <w:jc w:val="both"/>
        <w:ind w:firstLine="656"/>
        <w:spacing w:after="0" w:line="244" w:lineRule="auto"/>
        <w:tabs>
          <w:tab w:leader="none" w:pos="129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Saturdays, Sundays, Holidays, etc</w:t>
      </w:r>
      <w:r>
        <w:rPr>
          <w:rFonts w:ascii="Times New Roman" w:cs="Times New Roman" w:eastAsia="Times New Roman" w:hAnsi="Times New Roman"/>
          <w:sz w:val="22"/>
          <w:szCs w:val="22"/>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73" w:lineRule="exact"/>
        <w:rPr>
          <w:rFonts w:ascii="Times New Roman" w:cs="Times New Roman" w:eastAsia="Times New Roman" w:hAnsi="Times New Roman"/>
          <w:sz w:val="22"/>
          <w:szCs w:val="22"/>
          <w:color w:val="auto"/>
        </w:rPr>
      </w:pPr>
    </w:p>
    <w:p>
      <w:pPr>
        <w:jc w:val="both"/>
        <w:ind w:firstLine="656"/>
        <w:spacing w:after="0" w:line="245" w:lineRule="auto"/>
        <w:tabs>
          <w:tab w:leader="none" w:pos="1332"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Authorized Shares</w:t>
      </w:r>
      <w:r>
        <w:rPr>
          <w:rFonts w:ascii="Times New Roman" w:cs="Times New Roman" w:eastAsia="Times New Roman" w:hAnsi="Times New Roman"/>
          <w:sz w:val="21"/>
          <w:szCs w:val="21"/>
          <w:color w:val="auto"/>
        </w:rPr>
        <w:t>. The Company covenants that, at all times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that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7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3" w:lineRule="exact"/>
        <w:rPr>
          <w:sz w:val="20"/>
          <w:szCs w:val="20"/>
          <w:color w:val="auto"/>
        </w:rPr>
      </w:pPr>
    </w:p>
    <w:p>
      <w:pPr>
        <w:ind w:firstLine="656"/>
        <w:spacing w:after="0" w:line="258" w:lineRule="auto"/>
        <w:tabs>
          <w:tab w:leader="none" w:pos="145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Jurisdiction</w:t>
      </w:r>
      <w:r>
        <w:rPr>
          <w:rFonts w:ascii="Times New Roman" w:cs="Times New Roman" w:eastAsia="Times New Roman" w:hAnsi="Times New Roman"/>
          <w:sz w:val="22"/>
          <w:szCs w:val="22"/>
          <w:color w:val="auto"/>
        </w:rPr>
        <w:t>. All questions concerning the construction, validity, enforcement and interpretation of this Warrant shall be determined in accordance with the provisions of the Purchase Agreement.</w:t>
      </w:r>
    </w:p>
    <w:p>
      <w:pPr>
        <w:spacing w:after="0" w:line="158" w:lineRule="exact"/>
        <w:rPr>
          <w:rFonts w:ascii="Times New Roman" w:cs="Times New Roman" w:eastAsia="Times New Roman" w:hAnsi="Times New Roman"/>
          <w:sz w:val="22"/>
          <w:szCs w:val="22"/>
          <w:color w:val="auto"/>
        </w:rPr>
      </w:pPr>
    </w:p>
    <w:p>
      <w:pPr>
        <w:jc w:val="both"/>
        <w:ind w:firstLine="656"/>
        <w:spacing w:after="0" w:line="244" w:lineRule="auto"/>
        <w:tabs>
          <w:tab w:leader="none" w:pos="135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w:t>
      </w:r>
      <w:r>
        <w:rPr>
          <w:rFonts w:ascii="Times New Roman" w:cs="Times New Roman" w:eastAsia="Times New Roman" w:hAnsi="Times New Roman"/>
          <w:sz w:val="22"/>
          <w:szCs w:val="22"/>
          <w:color w:val="auto"/>
        </w:rPr>
        <w:t>. The Holder acknowledges that the Warrant Shares acquired upon the exercise of this Warrant, if not registered, and the Holder does not utilize cashless exercise or alternative cashless exercise, will have restrictions upon resale imposed by state and federal securities laws.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39" w:name="page40"/>
    <w:bookmarkEnd w:id="39"/>
    <w:p>
      <w:pPr>
        <w:jc w:val="both"/>
        <w:ind w:left="-20" w:firstLine="656"/>
        <w:spacing w:after="0" w:line="235" w:lineRule="auto"/>
        <w:tabs>
          <w:tab w:leader="none" w:pos="131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Nonwaiver and Expenses</w:t>
      </w:r>
      <w:r>
        <w:rPr>
          <w:rFonts w:ascii="Times New Roman" w:cs="Times New Roman" w:eastAsia="Times New Roman" w:hAnsi="Times New Roman"/>
          <w:sz w:val="22"/>
          <w:szCs w:val="22"/>
          <w:color w:val="auto"/>
        </w:rPr>
        <w:t>. No course of dealing or any delay or failure to exercise any right hereunder on the part of Holder shall operate as a waiver of such right or otherwise prejudice the Holder’s rights, powers or remedies. For the avoidance of doubt, the foregoing shall in no way modify or qualify the right to exercise this Warrant terminating on the Termination Date. Without limiting any other provision of this Warrant, if the Company willfully and knowingly fails to comply with any provision of this Warrant or the Purchase Agreement,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78" w:lineRule="exact"/>
        <w:rPr>
          <w:rFonts w:ascii="Times New Roman" w:cs="Times New Roman" w:eastAsia="Times New Roman" w:hAnsi="Times New Roman"/>
          <w:sz w:val="22"/>
          <w:szCs w:val="22"/>
          <w:color w:val="auto"/>
        </w:rPr>
      </w:pPr>
    </w:p>
    <w:p>
      <w:pPr>
        <w:ind w:left="-20" w:firstLine="656"/>
        <w:spacing w:after="0" w:line="258" w:lineRule="auto"/>
        <w:tabs>
          <w:tab w:leader="none" w:pos="127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request or other document required or permitted to be given or delivered to the Holder by the Company shall be delivered in accordance with the notice provisions of the Purchase Agreement.</w:t>
      </w:r>
    </w:p>
    <w:p>
      <w:pPr>
        <w:spacing w:after="0" w:line="158" w:lineRule="exact"/>
        <w:rPr>
          <w:rFonts w:ascii="Times New Roman" w:cs="Times New Roman" w:eastAsia="Times New Roman" w:hAnsi="Times New Roman"/>
          <w:sz w:val="22"/>
          <w:szCs w:val="22"/>
          <w:color w:val="auto"/>
        </w:rPr>
      </w:pPr>
    </w:p>
    <w:p>
      <w:pPr>
        <w:jc w:val="both"/>
        <w:ind w:left="-20" w:right="20" w:firstLine="656"/>
        <w:spacing w:after="0" w:line="239" w:lineRule="auto"/>
        <w:tabs>
          <w:tab w:leader="none" w:pos="125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shares of Common Stock or as a stockholder of the Company, whether such liability is asserted by the Company or by creditors of the Company.</w:t>
      </w:r>
    </w:p>
    <w:p>
      <w:pPr>
        <w:spacing w:after="0" w:line="180" w:lineRule="exact"/>
        <w:rPr>
          <w:rFonts w:ascii="Times New Roman" w:cs="Times New Roman" w:eastAsia="Times New Roman" w:hAnsi="Times New Roman"/>
          <w:sz w:val="22"/>
          <w:szCs w:val="22"/>
          <w:color w:val="auto"/>
        </w:rPr>
      </w:pPr>
    </w:p>
    <w:p>
      <w:pPr>
        <w:jc w:val="both"/>
        <w:ind w:left="-20" w:firstLine="656"/>
        <w:spacing w:after="0" w:line="238" w:lineRule="auto"/>
        <w:tabs>
          <w:tab w:leader="none" w:pos="143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6" w:lineRule="exact"/>
        <w:rPr>
          <w:rFonts w:ascii="Times New Roman" w:cs="Times New Roman" w:eastAsia="Times New Roman" w:hAnsi="Times New Roman"/>
          <w:sz w:val="22"/>
          <w:szCs w:val="22"/>
          <w:color w:val="auto"/>
        </w:rPr>
      </w:pPr>
    </w:p>
    <w:p>
      <w:pPr>
        <w:jc w:val="both"/>
        <w:ind w:left="-20" w:firstLine="656"/>
        <w:spacing w:after="0" w:line="239" w:lineRule="auto"/>
        <w:tabs>
          <w:tab w:leader="none" w:pos="167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80" w:lineRule="exact"/>
        <w:rPr>
          <w:rFonts w:ascii="Times New Roman" w:cs="Times New Roman" w:eastAsia="Times New Roman" w:hAnsi="Times New Roman"/>
          <w:sz w:val="22"/>
          <w:szCs w:val="22"/>
          <w:color w:val="auto"/>
        </w:rPr>
      </w:pPr>
    </w:p>
    <w:p>
      <w:pPr>
        <w:ind w:left="-20" w:firstLine="656"/>
        <w:spacing w:after="0" w:line="258" w:lineRule="auto"/>
        <w:tabs>
          <w:tab w:leader="none" w:pos="129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Warrant may be modified or amended or the provisions hereof waived with the written consent of the Company, on the one hand, and the Holder of this Warrant, on the other hand.</w:t>
      </w:r>
    </w:p>
    <w:p>
      <w:pPr>
        <w:spacing w:after="0" w:line="158" w:lineRule="exact"/>
        <w:rPr>
          <w:rFonts w:ascii="Times New Roman" w:cs="Times New Roman" w:eastAsia="Times New Roman" w:hAnsi="Times New Roman"/>
          <w:sz w:val="22"/>
          <w:szCs w:val="22"/>
          <w:color w:val="auto"/>
        </w:rPr>
      </w:pPr>
    </w:p>
    <w:p>
      <w:pPr>
        <w:jc w:val="both"/>
        <w:ind w:left="-20" w:firstLine="656"/>
        <w:spacing w:after="0" w:line="239" w:lineRule="auto"/>
        <w:tabs>
          <w:tab w:leader="none" w:pos="152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030" w:right="339" w:bottom="1440" w:gutter="0" w:footer="0" w:header="0"/>
        </w:sectPr>
      </w:pPr>
    </w:p>
    <w:bookmarkStart w:id="40" w:name="page41"/>
    <w:bookmarkEnd w:id="40"/>
    <w:p>
      <w:pPr>
        <w:ind w:left="-20" w:firstLine="656"/>
        <w:spacing w:after="0" w:line="258" w:lineRule="auto"/>
        <w:tabs>
          <w:tab w:leader="none" w:pos="150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used in this Warrant are for the convenience of reference only and shall not, for any purpose, be deemed a part of this Warrant.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030" w:right="339" w:bottom="1440" w:gutter="0" w:footer="0" w:header="0"/>
        </w:sectPr>
      </w:pPr>
    </w:p>
    <w:bookmarkStart w:id="41" w:name="page42"/>
    <w:bookmarkEnd w:id="41"/>
    <w:p>
      <w:pPr>
        <w:ind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Company has caused this Warrant to be executed by its officer thereunto duly authorized as of the date first above indicated.</w:t>
      </w:r>
    </w:p>
    <w:p>
      <w:pPr>
        <w:spacing w:after="0" w:line="39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BAKKT HOLDINGS, INC.</w:t>
      </w:r>
    </w:p>
    <w:p>
      <w:pPr>
        <w:spacing w:after="0" w:line="237" w:lineRule="exact"/>
        <w:rPr>
          <w:sz w:val="20"/>
          <w:szCs w:val="20"/>
          <w:color w:val="auto"/>
        </w:rPr>
      </w:pPr>
    </w:p>
    <w:p>
      <w:pPr>
        <w:ind w:left="5080"/>
        <w:spacing w:after="0"/>
        <w:tabs>
          <w:tab w:leader="none" w:pos="57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10795</wp:posOffset>
            </wp:positionV>
            <wp:extent cx="32061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5740"/>
        <w:spacing w:after="0"/>
        <w:rPr>
          <w:sz w:val="20"/>
          <w:szCs w:val="20"/>
          <w:color w:val="auto"/>
        </w:rPr>
      </w:pPr>
      <w:r>
        <w:rPr>
          <w:rFonts w:ascii="Times New Roman" w:cs="Times New Roman" w:eastAsia="Times New Roman" w:hAnsi="Times New Roman"/>
          <w:sz w:val="22"/>
          <w:szCs w:val="22"/>
          <w:color w:val="auto"/>
        </w:rPr>
        <w:t>Name: Marc D’Annunzio</w:t>
      </w:r>
    </w:p>
    <w:p>
      <w:pPr>
        <w:ind w:left="5740"/>
        <w:spacing w:after="0"/>
        <w:rPr>
          <w:sz w:val="20"/>
          <w:szCs w:val="20"/>
          <w:color w:val="auto"/>
        </w:rPr>
      </w:pPr>
      <w:r>
        <w:rPr>
          <w:rFonts w:ascii="Times New Roman" w:cs="Times New Roman" w:eastAsia="Times New Roman" w:hAnsi="Times New Roman"/>
          <w:sz w:val="22"/>
          <w:szCs w:val="22"/>
          <w:color w:val="auto"/>
        </w:rPr>
        <w:t>Title: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Common Stock Purchase Warrant (Class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NOTICE OF EXERCISE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TO: </w:t>
      </w:r>
      <w:r>
        <w:rPr>
          <w:rFonts w:ascii="Times New Roman" w:cs="Times New Roman" w:eastAsia="Times New Roman" w:hAnsi="Times New Roman"/>
          <w:sz w:val="22"/>
          <w:szCs w:val="22"/>
          <w:b w:val="1"/>
          <w:bCs w:val="1"/>
          <w:color w:val="auto"/>
        </w:rPr>
        <w:t>BAKKT HOLDINGS, INC.</w:t>
      </w:r>
    </w:p>
    <w:p>
      <w:pPr>
        <w:spacing w:after="0" w:line="210" w:lineRule="exact"/>
        <w:rPr>
          <w:sz w:val="20"/>
          <w:szCs w:val="20"/>
          <w:color w:val="auto"/>
        </w:rPr>
      </w:pPr>
    </w:p>
    <w:p>
      <w:pPr>
        <w:jc w:val="both"/>
        <w:ind w:firstLine="656"/>
        <w:spacing w:after="0" w:line="244" w:lineRule="auto"/>
        <w:tabs>
          <w:tab w:leader="none" w:pos="1313"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hereby elects to purchase _____________ Warrant Shares of the Company pursuant to the terms of the attached Warrant (only if exercised in full), and tenders herewith payment of the exercise price in full, together with all applicable transfer taxes, if any.</w:t>
      </w:r>
    </w:p>
    <w:p>
      <w:pPr>
        <w:spacing w:after="0" w:line="173" w:lineRule="exact"/>
        <w:rPr>
          <w:rFonts w:ascii="Times New Roman" w:cs="Times New Roman" w:eastAsia="Times New Roman" w:hAnsi="Times New Roman"/>
          <w:sz w:val="22"/>
          <w:szCs w:val="22"/>
          <w:color w:val="auto"/>
        </w:rPr>
      </w:pPr>
    </w:p>
    <w:p>
      <w:pPr>
        <w:ind w:left="1300" w:right="5220" w:hanging="644"/>
        <w:spacing w:after="0" w:line="435" w:lineRule="auto"/>
        <w:tabs>
          <w:tab w:leader="none" w:pos="1282"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shall take the form of (check applicable box): [ ] in lawful money of the United States;</w:t>
      </w:r>
    </w:p>
    <w:p>
      <w:pPr>
        <w:spacing w:after="0" w:line="1" w:lineRule="exact"/>
        <w:rPr>
          <w:sz w:val="20"/>
          <w:szCs w:val="20"/>
          <w:color w:val="auto"/>
        </w:rPr>
      </w:pPr>
    </w:p>
    <w:p>
      <w:pPr>
        <w:jc w:val="both"/>
        <w:ind w:left="660" w:firstLine="644"/>
        <w:spacing w:after="0" w:line="244" w:lineRule="auto"/>
        <w:tabs>
          <w:tab w:leader="none" w:pos="144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if permitted the cancellation of such number of Warrant Shares as is necessary, in accordance with the formula set forth in Section 2(c), to exercise this Warrant with respect to the maximum number of Warrant Shares purchasable pursuant to the cashless exercise procedure set forth in Section 2(c); or</w:t>
      </w:r>
    </w:p>
    <w:p>
      <w:pPr>
        <w:spacing w:after="0" w:line="173" w:lineRule="exact"/>
        <w:rPr>
          <w:sz w:val="20"/>
          <w:szCs w:val="20"/>
          <w:color w:val="auto"/>
        </w:rPr>
      </w:pPr>
    </w:p>
    <w:p>
      <w:pPr>
        <w:jc w:val="both"/>
        <w:ind w:left="660" w:firstLine="644"/>
        <w:spacing w:after="0" w:line="244" w:lineRule="auto"/>
        <w:tabs>
          <w:tab w:leader="none" w:pos="1441"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if permitted the cancellation of such number of Warrant Shares as is necessary, in accordance with the formula set forth in Section 2(d), to exercise this Warrant with respect to the maximum number of Warrant Shares purchasable pursuant to the alternative cashless exercise procedure set forth in Section 2(d).</w:t>
      </w:r>
    </w:p>
    <w:p>
      <w:pPr>
        <w:spacing w:after="0" w:line="173" w:lineRule="exact"/>
        <w:rPr>
          <w:rFonts w:ascii="Times New Roman" w:cs="Times New Roman" w:eastAsia="Times New Roman" w:hAnsi="Times New Roman"/>
          <w:sz w:val="22"/>
          <w:szCs w:val="22"/>
          <w:color w:val="auto"/>
        </w:rPr>
      </w:pPr>
    </w:p>
    <w:p>
      <w:pPr>
        <w:ind w:left="1280" w:hanging="624"/>
        <w:spacing w:after="0"/>
        <w:tabs>
          <w:tab w:leader="none" w:pos="12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issue said Warrant Shares in the name of the undersigned or in such other name as is specified below: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2854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54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561340</wp:posOffset>
            </wp:positionV>
            <wp:extent cx="2854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54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964565</wp:posOffset>
            </wp:positionV>
            <wp:extent cx="2854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OF HOLDER]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28543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Signature of Authorized Signatory of Investing Entity</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28543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2854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2854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ASSIGNMENT FORM</w:t>
      </w:r>
    </w:p>
    <w:p>
      <w:pPr>
        <w:spacing w:after="0" w:line="20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i w:val="1"/>
          <w:iCs w:val="1"/>
          <w:color w:val="auto"/>
        </w:rPr>
        <w:t>(To assign the foregoing Warrant, execute this form and supply required information. Do not use this form to exercise the Warrant to purchase shares.)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VALUE RECEIVED, the foregoing Warrant and all rights evidenced thereby are hereby assigned to</w:t>
      </w:r>
    </w:p>
    <w:p>
      <w:pPr>
        <w:spacing w:after="0" w:line="2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-22860</wp:posOffset>
            </wp:positionV>
            <wp:extent cx="30175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ind w:left="6400"/>
        <w:spacing w:after="0"/>
        <w:rPr>
          <w:sz w:val="20"/>
          <w:szCs w:val="20"/>
          <w:color w:val="auto"/>
        </w:rPr>
      </w:pPr>
      <w:r>
        <w:rPr>
          <w:rFonts w:ascii="Times New Roman" w:cs="Times New Roman" w:eastAsia="Times New Roman" w:hAnsi="Times New Roman"/>
          <w:sz w:val="22"/>
          <w:szCs w:val="22"/>
          <w:color w:val="auto"/>
        </w:rPr>
        <w:t>(Please Print)</w:t>
      </w:r>
    </w:p>
    <w:p>
      <w:pPr>
        <w:spacing w:after="0" w:line="20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-22860</wp:posOffset>
            </wp:positionV>
            <wp:extent cx="30175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ind w:left="6400"/>
        <w:spacing w:after="0"/>
        <w:rPr>
          <w:sz w:val="20"/>
          <w:szCs w:val="20"/>
          <w:color w:val="auto"/>
        </w:rPr>
      </w:pPr>
      <w:r>
        <w:rPr>
          <w:rFonts w:ascii="Times New Roman" w:cs="Times New Roman" w:eastAsia="Times New Roman" w:hAnsi="Times New Roman"/>
          <w:sz w:val="22"/>
          <w:szCs w:val="22"/>
          <w:color w:val="auto"/>
        </w:rPr>
        <w:t>(Please Print)</w:t>
      </w:r>
    </w:p>
    <w:p>
      <w:pPr>
        <w:spacing w:after="0" w:line="20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-22860</wp:posOffset>
            </wp:positionV>
            <wp:extent cx="30175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22"/>
          <w:szCs w:val="22"/>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-31750</wp:posOffset>
            </wp:positionV>
            <wp:extent cx="30175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ind w:left="100"/>
        <w:spacing w:after="0" w:line="230" w:lineRule="auto"/>
        <w:rPr>
          <w:sz w:val="20"/>
          <w:szCs w:val="20"/>
          <w:color w:val="auto"/>
        </w:rPr>
      </w:pPr>
      <w:r>
        <w:rPr>
          <w:rFonts w:ascii="Times New Roman" w:cs="Times New Roman" w:eastAsia="Times New Roman" w:hAnsi="Times New Roman"/>
          <w:sz w:val="22"/>
          <w:szCs w:val="22"/>
          <w:color w:val="auto"/>
        </w:rPr>
        <w:t>Dated: ______________</w:t>
      </w:r>
    </w:p>
    <w:p>
      <w:pPr>
        <w:ind w:left="100"/>
        <w:spacing w:after="0" w:line="231" w:lineRule="auto"/>
        <w:rPr>
          <w:sz w:val="20"/>
          <w:szCs w:val="20"/>
          <w:color w:val="auto"/>
        </w:rPr>
      </w:pPr>
      <w:r>
        <w:rPr>
          <w:rFonts w:ascii="Times New Roman" w:cs="Times New Roman" w:eastAsia="Times New Roman" w:hAnsi="Times New Roman"/>
          <w:sz w:val="22"/>
          <w:szCs w:val="22"/>
          <w:color w:val="auto"/>
        </w:rPr>
        <w:t>Holder’s Signature:</w:t>
      </w:r>
    </w:p>
    <w:p>
      <w:pPr>
        <w:ind w:left="100"/>
        <w:spacing w:after="0"/>
        <w:rPr>
          <w:sz w:val="20"/>
          <w:szCs w:val="20"/>
          <w:color w:val="auto"/>
        </w:rPr>
      </w:pPr>
      <w:r>
        <w:rPr>
          <w:rFonts w:ascii="Times New Roman" w:cs="Times New Roman" w:eastAsia="Times New Roman" w:hAnsi="Times New Roman"/>
          <w:sz w:val="22"/>
          <w:szCs w:val="22"/>
          <w:color w:val="auto"/>
        </w:rPr>
        <w:t>Holder’s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44" w:name="page45"/>
    <w:bookmarkEnd w:id="44"/>
    <w:p>
      <w:pPr>
        <w:ind w:left="10020"/>
        <w:spacing w:after="0"/>
        <w:rPr>
          <w:sz w:val="20"/>
          <w:szCs w:val="20"/>
          <w:color w:val="auto"/>
        </w:rPr>
      </w:pPr>
      <w:r>
        <w:rPr>
          <w:rFonts w:ascii="Times New Roman" w:cs="Times New Roman" w:eastAsia="Times New Roman" w:hAnsi="Times New Roman"/>
          <w:sz w:val="21"/>
          <w:szCs w:val="21"/>
          <w:b w:val="1"/>
          <w:bCs w:val="1"/>
          <w:color w:val="auto"/>
        </w:rPr>
        <w:t>Exhibit 99.29</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COMMON STOCK PURCHASE WARRANT</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(Class 1)</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BAKKT HOLDINGS, INC.</w:t>
      </w:r>
    </w:p>
    <w:p>
      <w:pPr>
        <w:sectPr>
          <w:pgSz w:w="11900" w:h="16838" w:orient="portrait"/>
          <w:cols w:equalWidth="0" w:num="1">
            <w:col w:w="11240"/>
          </w:cols>
          <w:pgMar w:left="320" w:top="108" w:right="339" w:bottom="1440" w:gutter="0" w:footer="0" w:header="0"/>
        </w:sect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Warrant Shares: 175,440</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Issuance Date</w:t>
      </w:r>
      <w:r>
        <w:rPr>
          <w:rFonts w:ascii="Times New Roman" w:cs="Times New Roman" w:eastAsia="Times New Roman" w:hAnsi="Times New Roman"/>
          <w:sz w:val="22"/>
          <w:szCs w:val="22"/>
          <w:color w:val="auto"/>
        </w:rPr>
        <w:t>: November 3, 2025</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Initial Exercise Date</w:t>
      </w:r>
      <w:r>
        <w:rPr>
          <w:rFonts w:ascii="Times New Roman" w:cs="Times New Roman" w:eastAsia="Times New Roman" w:hAnsi="Times New Roman"/>
          <w:sz w:val="21"/>
          <w:szCs w:val="21"/>
          <w:color w:val="auto"/>
        </w:rPr>
        <w:t>: November 3, 2025</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Termination Date</w:t>
      </w:r>
      <w:r>
        <w:rPr>
          <w:rFonts w:ascii="Times New Roman" w:cs="Times New Roman" w:eastAsia="Times New Roman" w:hAnsi="Times New Roman"/>
          <w:sz w:val="22"/>
          <w:szCs w:val="22"/>
          <w:color w:val="auto"/>
        </w:rPr>
        <w:t>: September 4, 2029</w:t>
      </w:r>
    </w:p>
    <w:p>
      <w:pPr>
        <w:spacing w:after="0" w:line="182" w:lineRule="exact"/>
        <w:rPr>
          <w:sz w:val="20"/>
          <w:szCs w:val="20"/>
          <w:color w:val="auto"/>
        </w:rPr>
      </w:pPr>
    </w:p>
    <w:p>
      <w:pPr>
        <w:sectPr>
          <w:pgSz w:w="11900" w:h="16838" w:orient="portrait"/>
          <w:cols w:equalWidth="0" w:num="2">
            <w:col w:w="6920" w:space="720"/>
            <w:col w:w="3600"/>
          </w:cols>
          <w:pgMar w:left="320" w:top="108" w:right="339" w:bottom="1440" w:gutter="0" w:footer="0" w:header="0"/>
          <w:type w:val="continuous"/>
        </w:sect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THIS COMMON STOCK PURCHASE WARRANT (Class 1) (the “</w:t>
      </w:r>
      <w:r>
        <w:rPr>
          <w:rFonts w:ascii="Times New Roman" w:cs="Times New Roman" w:eastAsia="Times New Roman" w:hAnsi="Times New Roman"/>
          <w:sz w:val="22"/>
          <w:szCs w:val="22"/>
          <w:u w:val="single" w:color="auto"/>
          <w:color w:val="auto"/>
        </w:rPr>
        <w:t>Warrant</w:t>
      </w:r>
      <w:r>
        <w:rPr>
          <w:rFonts w:ascii="Times New Roman" w:cs="Times New Roman" w:eastAsia="Times New Roman" w:hAnsi="Times New Roman"/>
          <w:sz w:val="22"/>
          <w:szCs w:val="22"/>
          <w:color w:val="auto"/>
        </w:rPr>
        <w:t>”) certifies that, for value received, Intercontinental Exchange Holdings, Inc. or its assigns (the “</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is entitled, upon the terms and subject to the limitations on exercise and the conditions hereinafter set forth, at any time on or after November 3, 2025 (the “</w:t>
      </w:r>
      <w:r>
        <w:rPr>
          <w:rFonts w:ascii="Times New Roman" w:cs="Times New Roman" w:eastAsia="Times New Roman" w:hAnsi="Times New Roman"/>
          <w:sz w:val="22"/>
          <w:szCs w:val="22"/>
          <w:u w:val="single" w:color="auto"/>
          <w:color w:val="auto"/>
        </w:rPr>
        <w:t>Initial Exercise Date</w:t>
      </w:r>
      <w:r>
        <w:rPr>
          <w:rFonts w:ascii="Times New Roman" w:cs="Times New Roman" w:eastAsia="Times New Roman" w:hAnsi="Times New Roman"/>
          <w:sz w:val="22"/>
          <w:szCs w:val="22"/>
          <w:color w:val="auto"/>
        </w:rPr>
        <w:t>”) and on or prior to 5:00 p.m. (New York City time) on September 4, 2029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xml:space="preserve">”) but not thereafter, to subscribe for and purchase from </w:t>
      </w:r>
      <w:r>
        <w:rPr>
          <w:rFonts w:ascii="Times New Roman" w:cs="Times New Roman" w:eastAsia="Times New Roman" w:hAnsi="Times New Roman"/>
          <w:sz w:val="22"/>
          <w:szCs w:val="22"/>
          <w:b w:val="1"/>
          <w:bCs w:val="1"/>
          <w:color w:val="auto"/>
        </w:rPr>
        <w:t>BAKKT HOLDINGS, INC</w:t>
      </w:r>
      <w:r>
        <w:rPr>
          <w:rFonts w:ascii="Times New Roman" w:cs="Times New Roman" w:eastAsia="Times New Roman" w:hAnsi="Times New Roman"/>
          <w:sz w:val="22"/>
          <w:szCs w:val="22"/>
          <w:color w:val="auto"/>
        </w:rPr>
        <w:t>.,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up to </w:t>
      </w:r>
      <w:r>
        <w:rPr>
          <w:rFonts w:ascii="Times New Roman" w:cs="Times New Roman" w:eastAsia="Times New Roman" w:hAnsi="Times New Roman"/>
          <w:sz w:val="22"/>
          <w:szCs w:val="22"/>
          <w:b w:val="1"/>
          <w:bCs w:val="1"/>
          <w:color w:val="auto"/>
        </w:rPr>
        <w:t>175,440 shares</w:t>
      </w:r>
      <w:r>
        <w:rPr>
          <w:rFonts w:ascii="Times New Roman" w:cs="Times New Roman" w:eastAsia="Times New Roman" w:hAnsi="Times New Roman"/>
          <w:sz w:val="22"/>
          <w:szCs w:val="22"/>
          <w:color w:val="auto"/>
        </w:rPr>
        <w:t xml:space="preserve"> (as subject to adjustment hereunder, the “</w:t>
      </w:r>
      <w:r>
        <w:rPr>
          <w:rFonts w:ascii="Times New Roman" w:cs="Times New Roman" w:eastAsia="Times New Roman" w:hAnsi="Times New Roman"/>
          <w:sz w:val="22"/>
          <w:szCs w:val="22"/>
          <w:u w:val="single" w:color="auto"/>
          <w:color w:val="auto"/>
        </w:rPr>
        <w:t>Warrant Shares</w:t>
      </w:r>
      <w:r>
        <w:rPr>
          <w:rFonts w:ascii="Times New Roman" w:cs="Times New Roman" w:eastAsia="Times New Roman" w:hAnsi="Times New Roman"/>
          <w:sz w:val="22"/>
          <w:szCs w:val="22"/>
          <w:color w:val="auto"/>
        </w:rPr>
        <w:t>”) of the Company’s Class A Common Stock, par value $0.0001 per share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The purchase price of one share of Common Stock under this Warrant shall be equal to the Exercise Price, as defined in Section 2(b). The Company and the Holder each acknowledge and agree that this Warrant is issued in substitution of and replacement for that certain Common Stock Purchase Warrant (Class 1), issued by Bakkt Intermediate Holdings, Inc. (formerly known as Bakkt Holdings, Inc.) (the “</w:t>
      </w:r>
      <w:r>
        <w:rPr>
          <w:rFonts w:ascii="Times New Roman" w:cs="Times New Roman" w:eastAsia="Times New Roman" w:hAnsi="Times New Roman"/>
          <w:sz w:val="22"/>
          <w:szCs w:val="22"/>
          <w:u w:val="single" w:color="auto"/>
          <w:color w:val="auto"/>
        </w:rPr>
        <w:t>Predecessor Company</w:t>
      </w:r>
      <w:r>
        <w:rPr>
          <w:rFonts w:ascii="Times New Roman" w:cs="Times New Roman" w:eastAsia="Times New Roman" w:hAnsi="Times New Roman"/>
          <w:sz w:val="22"/>
          <w:szCs w:val="22"/>
          <w:color w:val="auto"/>
        </w:rPr>
        <w:t>”), as predecessor to the Company, to the Holder on April 25, 2024 and exercisable until September 4, 2029 (the “</w:t>
      </w:r>
      <w:r>
        <w:rPr>
          <w:rFonts w:ascii="Times New Roman" w:cs="Times New Roman" w:eastAsia="Times New Roman" w:hAnsi="Times New Roman"/>
          <w:sz w:val="22"/>
          <w:szCs w:val="22"/>
          <w:u w:val="single" w:color="auto"/>
          <w:color w:val="auto"/>
        </w:rPr>
        <w:t>Original Warrant</w:t>
      </w:r>
      <w:r>
        <w:rPr>
          <w:rFonts w:ascii="Times New Roman" w:cs="Times New Roman" w:eastAsia="Times New Roman" w:hAnsi="Times New Roman"/>
          <w:sz w:val="22"/>
          <w:szCs w:val="22"/>
          <w:color w:val="auto"/>
        </w:rPr>
        <w:t>”), pursuant to that certain waiver, acknowledgment and consent, dated October 16, 2025, between the purchaser signatory hereto and the Predecessor Company, in respect of the Original Warrant.</w:t>
      </w:r>
    </w:p>
    <w:p>
      <w:pPr>
        <w:spacing w:after="0" w:line="18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 dated February 29, 2024, among the Predecessor Company and the purchaser signatory thereto.</w:t>
      </w:r>
    </w:p>
    <w:p>
      <w:pPr>
        <w:spacing w:after="0" w:line="173"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Exercise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56"/>
        <w:spacing w:after="0" w:line="247" w:lineRule="auto"/>
        <w:tabs>
          <w:tab w:leader="none" w:pos="1279"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Exercise of Warrant</w:t>
      </w:r>
      <w:r>
        <w:rPr>
          <w:rFonts w:ascii="Times New Roman" w:cs="Times New Roman" w:eastAsia="Times New Roman" w:hAnsi="Times New Roman"/>
          <w:sz w:val="21"/>
          <w:szCs w:val="21"/>
          <w:color w:val="auto"/>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Times New Roman" w:cs="Times New Roman" w:eastAsia="Times New Roman" w:hAnsi="Times New Roman"/>
          <w:sz w:val="21"/>
          <w:szCs w:val="21"/>
          <w:u w:val="single" w:color="auto"/>
          <w:color w:val="auto"/>
        </w:rPr>
        <w:t>Notice of Exercise</w:t>
      </w:r>
      <w:r>
        <w:rPr>
          <w:rFonts w:ascii="Times New Roman" w:cs="Times New Roman" w:eastAsia="Times New Roman" w:hAnsi="Times New Roman"/>
          <w:sz w:val="21"/>
          <w:szCs w:val="21"/>
          <w:color w:val="auto"/>
        </w:rPr>
        <w:t>”). Within the earlier of (i) two (2) Trading Days (as defined in Section 2(c) herein) and</w:t>
      </w:r>
    </w:p>
    <w:p>
      <w:pPr>
        <w:spacing w:after="0" w:line="1" w:lineRule="exact"/>
        <w:rPr>
          <w:rFonts w:ascii="Times New Roman" w:cs="Times New Roman" w:eastAsia="Times New Roman" w:hAnsi="Times New Roman"/>
          <w:sz w:val="21"/>
          <w:szCs w:val="21"/>
          <w:color w:val="auto"/>
        </w:rPr>
      </w:pPr>
    </w:p>
    <w:p>
      <w:pPr>
        <w:jc w:val="both"/>
        <w:ind w:firstLine="8"/>
        <w:spacing w:after="0" w:line="232" w:lineRule="auto"/>
        <w:tabs>
          <w:tab w:leader="none" w:pos="33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Trading Days comprising the Standard Settlement Period (as defined in Section 2(e)(i) herein) following the date of exercise as aforesaid, the Holder shall deliver the aggregate Exercise Price for the number of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5" w:name="page46"/>
    <w:bookmarkEnd w:id="45"/>
    <w:p>
      <w:pPr>
        <w:ind w:right="360"/>
        <w:spacing w:after="0" w:line="235" w:lineRule="auto"/>
        <w:rPr>
          <w:sz w:val="20"/>
          <w:szCs w:val="20"/>
          <w:color w:val="auto"/>
        </w:rPr>
      </w:pPr>
      <w:r>
        <w:rPr>
          <w:rFonts w:ascii="Times New Roman" w:cs="Times New Roman" w:eastAsia="Times New Roman" w:hAnsi="Times New Roman"/>
          <w:sz w:val="22"/>
          <w:szCs w:val="22"/>
          <w:color w:val="auto"/>
        </w:rPr>
        <w:t xml:space="preserve">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22"/>
          <w:szCs w:val="22"/>
          <w:b w:val="1"/>
          <w:bCs w:val="1"/>
          <w:color w:val="auto"/>
        </w:rPr>
        <w:t>The Holder and any assignee, by acceptance of this Warrant,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78" w:lineRule="exact"/>
        <w:rPr>
          <w:sz w:val="20"/>
          <w:szCs w:val="20"/>
          <w:color w:val="auto"/>
        </w:rPr>
      </w:pPr>
    </w:p>
    <w:p>
      <w:pPr>
        <w:ind w:right="20" w:firstLine="656"/>
        <w:spacing w:after="0" w:line="258" w:lineRule="auto"/>
        <w:tabs>
          <w:tab w:leader="none" w:pos="152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The exercise price per share of Common Stock under this Warrant shall be $25.50, subject to adjustment hereunder (the “</w:t>
      </w: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656"/>
        <w:spacing w:after="0" w:line="244" w:lineRule="auto"/>
        <w:tabs>
          <w:tab w:leader="none" w:pos="141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Cashless Exercise</w:t>
      </w:r>
      <w:r>
        <w:rPr>
          <w:rFonts w:ascii="Times New Roman" w:cs="Times New Roman" w:eastAsia="Times New Roman" w:hAnsi="Times New Roman"/>
          <w:sz w:val="22"/>
          <w:szCs w:val="22"/>
          <w:color w:val="auto"/>
        </w:rPr>
        <w:t>. This Warrant may also be exercised, in whole or in part, at any time or times on or after the Initial Exercise Date and on or before the Termination Date by means of a “cashless exercise” in which the Holder shall be entitled to receive a number of Warrant Shares equal to the quotient obtained by dividing [(A-B) (X)] by (A), where:</w:t>
      </w:r>
    </w:p>
    <w:p>
      <w:pPr>
        <w:spacing w:after="0" w:line="173" w:lineRule="exact"/>
        <w:rPr>
          <w:rFonts w:ascii="Times New Roman" w:cs="Times New Roman" w:eastAsia="Times New Roman" w:hAnsi="Times New Roman"/>
          <w:sz w:val="22"/>
          <w:szCs w:val="22"/>
          <w:color w:val="auto"/>
        </w:rPr>
      </w:pPr>
    </w:p>
    <w:p>
      <w:pPr>
        <w:jc w:val="both"/>
        <w:ind w:left="660" w:firstLine="644"/>
        <w:spacing w:after="0" w:line="233" w:lineRule="auto"/>
        <w:tabs>
          <w:tab w:leader="none" w:pos="1668"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4" w:lineRule="exact"/>
        <w:rPr>
          <w:rFonts w:ascii="Times New Roman" w:cs="Times New Roman" w:eastAsia="Times New Roman" w:hAnsi="Times New Roman"/>
          <w:sz w:val="22"/>
          <w:szCs w:val="22"/>
          <w:color w:val="auto"/>
        </w:rPr>
      </w:pPr>
    </w:p>
    <w:p>
      <w:pPr>
        <w:ind w:left="1640" w:hanging="336"/>
        <w:spacing w:after="0"/>
        <w:tabs>
          <w:tab w:leader="none" w:pos="164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the Exercise Price of this Warrant, as adjusted hereunder; and</w:t>
      </w:r>
    </w:p>
    <w:p>
      <w:pPr>
        <w:spacing w:after="0" w:line="206" w:lineRule="exact"/>
        <w:rPr>
          <w:sz w:val="20"/>
          <w:szCs w:val="20"/>
          <w:color w:val="auto"/>
        </w:rPr>
      </w:pPr>
    </w:p>
    <w:p>
      <w:pPr>
        <w:ind w:left="660" w:firstLine="644"/>
        <w:spacing w:after="0" w:line="258" w:lineRule="auto"/>
        <w:tabs>
          <w:tab w:leader="none" w:pos="167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the number of Warrant Shares that would be issuable upon exercise of this Warrant in accordance with the terms of this Warrant if such exercise were by means of a cash exercise rather than a cashless exercise.</w:t>
      </w:r>
    </w:p>
    <w:p>
      <w:pPr>
        <w:spacing w:after="0" w:line="15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Bid Price</w:t>
      </w:r>
      <w:r>
        <w:rPr>
          <w:rFonts w:ascii="Times New Roman" w:cs="Times New Roman" w:eastAsia="Times New Roman" w:hAnsi="Times New Roman"/>
          <w:sz w:val="22"/>
          <w:szCs w:val="22"/>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46" w:name="page47"/>
    <w:bookmarkEnd w:id="46"/>
    <w:p>
      <w:pPr>
        <w:ind w:right="100"/>
        <w:spacing w:after="0" w:line="247" w:lineRule="auto"/>
        <w:rPr>
          <w:sz w:val="20"/>
          <w:szCs w:val="20"/>
          <w:color w:val="auto"/>
        </w:rPr>
      </w:pPr>
      <w:r>
        <w:rPr>
          <w:rFonts w:ascii="Times New Roman" w:cs="Times New Roman" w:eastAsia="Times New Roman" w:hAnsi="Times New Roman"/>
          <w:sz w:val="21"/>
          <w:szCs w:val="21"/>
          <w:color w:val="auto"/>
        </w:rPr>
        <w:t>(New York City time)), (b) if the Common Stock is then not listed on a Trading Market and if the Shares are listed or quoted for trading on the OTC Market Group’s OTCQB exchange (“</w:t>
      </w:r>
      <w:r>
        <w:rPr>
          <w:rFonts w:ascii="Times New Roman" w:cs="Times New Roman" w:eastAsia="Times New Roman" w:hAnsi="Times New Roman"/>
          <w:sz w:val="21"/>
          <w:szCs w:val="21"/>
          <w:u w:val="single" w:color="auto"/>
          <w:color w:val="auto"/>
        </w:rPr>
        <w:t>OTCQB</w:t>
      </w:r>
      <w:r>
        <w:rPr>
          <w:rFonts w:ascii="Times New Roman" w:cs="Times New Roman" w:eastAsia="Times New Roman" w:hAnsi="Times New Roman"/>
          <w:sz w:val="21"/>
          <w:szCs w:val="21"/>
          <w:color w:val="auto"/>
        </w:rPr>
        <w:t>”) or OTCQX exchange (“</w:t>
      </w:r>
      <w:r>
        <w:rPr>
          <w:rFonts w:ascii="Times New Roman" w:cs="Times New Roman" w:eastAsia="Times New Roman" w:hAnsi="Times New Roman"/>
          <w:sz w:val="21"/>
          <w:szCs w:val="21"/>
          <w:u w:val="single" w:color="auto"/>
          <w:color w:val="auto"/>
        </w:rPr>
        <w:t>OTCQX</w:t>
      </w:r>
      <w:r>
        <w:rPr>
          <w:rFonts w:ascii="Times New Roman" w:cs="Times New Roman" w:eastAsia="Times New Roman" w:hAnsi="Times New Roman"/>
          <w:sz w:val="21"/>
          <w:szCs w:val="21"/>
          <w:color w:val="auto"/>
        </w:rPr>
        <w: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172"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means any day on which the Trading Market is open for trading, including any day on which the Trading Market is open for trading for a period of time less than the customary time.</w:t>
      </w:r>
    </w:p>
    <w:p>
      <w:pPr>
        <w:spacing w:after="0" w:line="15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Market</w:t>
      </w:r>
      <w:r>
        <w:rPr>
          <w:rFonts w:ascii="Times New Roman" w:cs="Times New Roman" w:eastAsia="Times New Roman" w:hAnsi="Times New Roman"/>
          <w:sz w:val="22"/>
          <w:szCs w:val="22"/>
          <w:color w:val="auto"/>
        </w:rPr>
        <w:t>” means any of the following markets or exchanges on which the shares of Common Stock are listed or quoted for trading on the date in question: the NYSE American, The Nasdaq Capital Market, The Nasdaq Global Market, The Nasdaq Global Select Market, or the New York Stock Exchange (or any successors to any of the foregoing).</w:t>
      </w:r>
    </w:p>
    <w:p>
      <w:pPr>
        <w:spacing w:after="0" w:line="17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VWAP</w:t>
      </w:r>
      <w:r>
        <w:rPr>
          <w:rFonts w:ascii="Times New Roman" w:cs="Times New Roman" w:eastAsia="Times New Roman" w:hAnsi="Times New Roman"/>
          <w:sz w:val="22"/>
          <w:szCs w:val="22"/>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Common Stock is then not listed or quoted on a Trading Market and if the Shares are listed or quoted for trading on OTCQB or OTCQX,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73" w:lineRule="exact"/>
        <w:rPr>
          <w:sz w:val="20"/>
          <w:szCs w:val="20"/>
          <w:color w:val="auto"/>
        </w:rPr>
      </w:pPr>
    </w:p>
    <w:p>
      <w:pPr>
        <w:ind w:left="1260" w:hanging="604"/>
        <w:spacing w:after="0"/>
        <w:tabs>
          <w:tab w:leader="none" w:pos="12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47" w:name="page48"/>
    <w:bookmarkEnd w:id="47"/>
    <w:p>
      <w:pPr>
        <w:ind w:left="1220" w:hanging="584"/>
        <w:spacing w:after="0"/>
        <w:tabs>
          <w:tab w:leader="none" w:pos="122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Mechanics of Exercise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0" w:firstLine="1304"/>
        <w:spacing w:after="0" w:line="232" w:lineRule="auto"/>
        <w:tabs>
          <w:tab w:leader="none" w:pos="2226" w:val="left"/>
        </w:tabs>
        <w:numPr>
          <w:ilvl w:val="1"/>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Delivery of Warrant Shares Upon Exercise</w:t>
      </w:r>
      <w:r>
        <w:rPr>
          <w:rFonts w:ascii="Times New Roman" w:cs="Times New Roman" w:eastAsia="Times New Roman" w:hAnsi="Times New Roman"/>
          <w:sz w:val="22"/>
          <w:szCs w:val="22"/>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22"/>
          <w:szCs w:val="22"/>
          <w:u w:val="single" w:color="auto"/>
          <w:color w:val="auto"/>
        </w:rPr>
        <w:t>DWAC</w:t>
      </w:r>
      <w:r>
        <w:rPr>
          <w:rFonts w:ascii="Times New Roman" w:cs="Times New Roman" w:eastAsia="Times New Roman" w:hAnsi="Times New Roman"/>
          <w:sz w:val="22"/>
          <w:szCs w:val="22"/>
          <w:color w:val="auto"/>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(A) the earlier of (i) two (2) Trading Days and (ii) the number of days comprising the Standard Settlement Period, in each case after the delivery to the Company of the Notice of Exercise and (B) one (1) Trading Day after delivery of the aggregate Exercise Price to the Company (such date, the “</w:t>
      </w:r>
      <w:r>
        <w:rPr>
          <w:rFonts w:ascii="Times New Roman" w:cs="Times New Roman" w:eastAsia="Times New Roman" w:hAnsi="Times New Roman"/>
          <w:sz w:val="22"/>
          <w:szCs w:val="22"/>
          <w:u w:val="single" w:color="auto"/>
          <w:color w:val="auto"/>
        </w:rPr>
        <w:t>Warrant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Share Delivery Date</w:t>
      </w:r>
      <w:r>
        <w:rPr>
          <w:rFonts w:ascii="Times New Roman" w:cs="Times New Roman" w:eastAsia="Times New Roman" w:hAnsi="Times New Roman"/>
          <w:sz w:val="22"/>
          <w:szCs w:val="22"/>
          <w:color w:val="auto"/>
        </w:rPr>
        <w:t xml:space="preserve">”). Upon delivery of the Notice of Exercise, the Holder shall be deemed for all corporate purposes to have become the holder of record of the Warrant Shares with respect to which this Warrant has been exercised, irrespective of the date of delivery of the Warrant Shares,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such liquidated damages begin to accrue) for each Trading Day after such Warrant Share Delivery Date until such Warrant Shares are delivered or Holder rescinds such exercise. The Company agrees to maintain a transfer agent that is a participant in the Fast Automated Securities Transfer (“</w:t>
      </w:r>
      <w:r>
        <w:rPr>
          <w:rFonts w:ascii="Times New Roman" w:cs="Times New Roman" w:eastAsia="Times New Roman" w:hAnsi="Times New Roman"/>
          <w:sz w:val="22"/>
          <w:szCs w:val="22"/>
          <w:u w:val="single" w:color="auto"/>
          <w:color w:val="auto"/>
        </w:rPr>
        <w:t>FAST</w:t>
      </w:r>
      <w:r>
        <w:rPr>
          <w:rFonts w:ascii="Times New Roman" w:cs="Times New Roman" w:eastAsia="Times New Roman" w:hAnsi="Times New Roman"/>
          <w:sz w:val="22"/>
          <w:szCs w:val="22"/>
          <w:color w:val="auto"/>
        </w:rPr>
        <w:t>”) program so long as this Warrant remains outstanding and exercisable. As used herein, “</w:t>
      </w:r>
      <w:r>
        <w:rPr>
          <w:rFonts w:ascii="Times New Roman" w:cs="Times New Roman" w:eastAsia="Times New Roman" w:hAnsi="Times New Roman"/>
          <w:sz w:val="22"/>
          <w:szCs w:val="22"/>
          <w:u w:val="single" w:color="auto"/>
          <w:color w:val="auto"/>
        </w:rPr>
        <w:t>Standard Settlement Period</w:t>
      </w:r>
      <w:r>
        <w:rPr>
          <w:rFonts w:ascii="Times New Roman" w:cs="Times New Roman" w:eastAsia="Times New Roman" w:hAnsi="Times New Roman"/>
          <w:sz w:val="22"/>
          <w:szCs w:val="22"/>
          <w:color w:val="auto"/>
        </w:rPr>
        <w:t>” means the standard settlement period, expressed in a number of Trading Days, on the Company’s primary Trading Market with respect to the Common Stock as in effect on the date of delivery of the Notice of Exercise.</w:t>
      </w:r>
    </w:p>
    <w:p>
      <w:pPr>
        <w:spacing w:after="0" w:line="180" w:lineRule="exact"/>
        <w:rPr>
          <w:rFonts w:ascii="Times New Roman" w:cs="Times New Roman" w:eastAsia="Times New Roman" w:hAnsi="Times New Roman"/>
          <w:sz w:val="22"/>
          <w:szCs w:val="22"/>
          <w:color w:val="010000"/>
        </w:rPr>
      </w:pPr>
    </w:p>
    <w:p>
      <w:pPr>
        <w:jc w:val="both"/>
        <w:ind w:left="-20" w:firstLine="1304"/>
        <w:spacing w:after="0" w:line="239" w:lineRule="auto"/>
        <w:tabs>
          <w:tab w:leader="none" w:pos="1985" w:val="left"/>
        </w:tabs>
        <w:numPr>
          <w:ilvl w:val="1"/>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Delivery of New Warrants Upon Exercise</w:t>
      </w:r>
      <w:r>
        <w:rPr>
          <w:rFonts w:ascii="Times New Roman" w:cs="Times New Roman" w:eastAsia="Times New Roman" w:hAnsi="Times New Roman"/>
          <w:sz w:val="22"/>
          <w:szCs w:val="22"/>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80" w:lineRule="exact"/>
        <w:rPr>
          <w:rFonts w:ascii="Times New Roman" w:cs="Times New Roman" w:eastAsia="Times New Roman" w:hAnsi="Times New Roman"/>
          <w:sz w:val="22"/>
          <w:szCs w:val="22"/>
          <w:color w:val="010000"/>
        </w:rPr>
      </w:pPr>
    </w:p>
    <w:p>
      <w:pPr>
        <w:jc w:val="both"/>
        <w:ind w:left="-20" w:firstLine="1304"/>
        <w:spacing w:after="0" w:line="244" w:lineRule="auto"/>
        <w:tabs>
          <w:tab w:leader="none" w:pos="1969" w:val="left"/>
        </w:tabs>
        <w:numPr>
          <w:ilvl w:val="1"/>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Rescission Rights</w:t>
      </w:r>
      <w:r>
        <w:rPr>
          <w:rFonts w:ascii="Times New Roman" w:cs="Times New Roman" w:eastAsia="Times New Roman" w:hAnsi="Times New Roman"/>
          <w:sz w:val="22"/>
          <w:szCs w:val="22"/>
          <w:color w:val="auto"/>
        </w:rPr>
        <w:t>. If the Company fails to cause the Transfer Agent to transmit to the Holder the Warrant Shares pursuant to Section 2(e)(i) by the Warrant Share Delivery Date, then the Holder will have the right to rescind such exercise.</w:t>
      </w:r>
    </w:p>
    <w:p>
      <w:pPr>
        <w:spacing w:after="0" w:line="173" w:lineRule="exact"/>
        <w:rPr>
          <w:rFonts w:ascii="Times New Roman" w:cs="Times New Roman" w:eastAsia="Times New Roman" w:hAnsi="Times New Roman"/>
          <w:sz w:val="22"/>
          <w:szCs w:val="22"/>
          <w:color w:val="010000"/>
        </w:rPr>
      </w:pPr>
    </w:p>
    <w:p>
      <w:pPr>
        <w:jc w:val="both"/>
        <w:ind w:left="-20" w:firstLine="1304"/>
        <w:spacing w:after="0" w:line="249" w:lineRule="auto"/>
        <w:tabs>
          <w:tab w:leader="none" w:pos="1970" w:val="left"/>
        </w:tabs>
        <w:numPr>
          <w:ilvl w:val="1"/>
          <w:numId w:val="5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Compensation for Buy-In on Failure to Timely Deliver Warrant Shares Upon Exercise</w:t>
      </w:r>
      <w:r>
        <w:rPr>
          <w:rFonts w:ascii="Times New Roman" w:cs="Times New Roman" w:eastAsia="Times New Roman" w:hAnsi="Times New Roman"/>
          <w:sz w:val="21"/>
          <w:szCs w:val="21"/>
          <w:color w:val="auto"/>
        </w:rPr>
        <w:t>. In addition to any other rights available to the Holder, if the Company fails to cause the Transfer Agent to transmit to the Holder the Warrant Shares in accordance with the provisions of Section 2(e)(i)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21"/>
          <w:szCs w:val="21"/>
          <w:u w:val="single" w:color="auto"/>
          <w:color w:val="auto"/>
        </w:rPr>
        <w:t>Buy-In</w:t>
      </w:r>
      <w:r>
        <w:rPr>
          <w:rFonts w:ascii="Times New Roman" w:cs="Times New Roman" w:eastAsia="Times New Roman" w:hAnsi="Times New Roman"/>
          <w:sz w:val="21"/>
          <w:szCs w:val="21"/>
          <w:color w:val="auto"/>
        </w:rPr>
        <w:t>”), then the Company shall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030" w:right="339" w:bottom="1440" w:gutter="0" w:footer="0" w:header="0"/>
        </w:sectPr>
      </w:pPr>
    </w:p>
    <w:bookmarkStart w:id="48" w:name="page49"/>
    <w:bookmarkEnd w:id="48"/>
    <w:p>
      <w:pPr>
        <w:ind w:right="180" w:firstLine="8"/>
        <w:spacing w:after="0" w:line="249" w:lineRule="auto"/>
        <w:tabs>
          <w:tab w:leader="none" w:pos="354"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w:t>
      </w:r>
    </w:p>
    <w:p>
      <w:pPr>
        <w:spacing w:after="0" w:line="1" w:lineRule="exact"/>
        <w:rPr>
          <w:rFonts w:ascii="Times New Roman" w:cs="Times New Roman" w:eastAsia="Times New Roman" w:hAnsi="Times New Roman"/>
          <w:sz w:val="21"/>
          <w:szCs w:val="21"/>
          <w:color w:val="auto"/>
        </w:rPr>
      </w:pPr>
    </w:p>
    <w:p>
      <w:pPr>
        <w:spacing w:after="0" w:line="23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this Warrant to purchase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reasonably satisfactory to the Company with respect to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86" w:lineRule="exact"/>
        <w:rPr>
          <w:rFonts w:ascii="Times New Roman" w:cs="Times New Roman" w:eastAsia="Times New Roman" w:hAnsi="Times New Roman"/>
          <w:sz w:val="21"/>
          <w:szCs w:val="21"/>
          <w:color w:val="auto"/>
        </w:rPr>
      </w:pPr>
    </w:p>
    <w:p>
      <w:pPr>
        <w:jc w:val="both"/>
        <w:ind w:firstLine="1304"/>
        <w:spacing w:after="0" w:line="239" w:lineRule="auto"/>
        <w:tabs>
          <w:tab w:leader="none" w:pos="2033" w:val="left"/>
        </w:tabs>
        <w:numPr>
          <w:ilvl w:val="1"/>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Fractional Shares or Scrip</w:t>
      </w:r>
      <w:r>
        <w:rPr>
          <w:rFonts w:ascii="Times New Roman" w:cs="Times New Roman" w:eastAsia="Times New Roman" w:hAnsi="Times New Roman"/>
          <w:sz w:val="22"/>
          <w:szCs w:val="22"/>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0" w:lineRule="exact"/>
        <w:rPr>
          <w:rFonts w:ascii="Times New Roman" w:cs="Times New Roman" w:eastAsia="Times New Roman" w:hAnsi="Times New Roman"/>
          <w:sz w:val="22"/>
          <w:szCs w:val="22"/>
          <w:color w:val="010000"/>
        </w:rPr>
      </w:pPr>
    </w:p>
    <w:p>
      <w:pPr>
        <w:jc w:val="both"/>
        <w:ind w:firstLine="1304"/>
        <w:spacing w:after="0" w:line="234" w:lineRule="auto"/>
        <w:tabs>
          <w:tab w:leader="none" w:pos="1923" w:val="left"/>
        </w:tabs>
        <w:numPr>
          <w:ilvl w:val="1"/>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Charges, Taxes and Expenses</w:t>
      </w:r>
      <w:r>
        <w:rPr>
          <w:rFonts w:ascii="Times New Roman" w:cs="Times New Roman" w:eastAsia="Times New Roman" w:hAnsi="Times New Roman"/>
          <w:sz w:val="22"/>
          <w:szCs w:val="22"/>
          <w:color w:val="auto"/>
        </w:rPr>
        <w:t xml:space="preserve">. Issuance and delivery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49" w:name="page50"/>
    <w:bookmarkEnd w:id="49"/>
    <w:p>
      <w:pPr>
        <w:ind w:left="-20" w:firstLine="1304"/>
        <w:spacing w:after="0" w:line="258" w:lineRule="auto"/>
        <w:tabs>
          <w:tab w:leader="none" w:pos="2120" w:val="left"/>
        </w:tabs>
        <w:numPr>
          <w:ilvl w:val="1"/>
          <w:numId w:val="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Closing of Books</w:t>
      </w:r>
      <w:r>
        <w:rPr>
          <w:rFonts w:ascii="Times New Roman" w:cs="Times New Roman" w:eastAsia="Times New Roman" w:hAnsi="Times New Roman"/>
          <w:sz w:val="22"/>
          <w:szCs w:val="22"/>
          <w:color w:val="auto"/>
        </w:rPr>
        <w:t>. The Company will not close its stockholder books or records in any manner which prevents the timely exercise of this Warrant, pursuant to the terms hereof.</w:t>
      </w:r>
    </w:p>
    <w:p>
      <w:pPr>
        <w:spacing w:after="0" w:line="158" w:lineRule="exact"/>
        <w:rPr>
          <w:rFonts w:ascii="Times New Roman" w:cs="Times New Roman" w:eastAsia="Times New Roman" w:hAnsi="Times New Roman"/>
          <w:sz w:val="22"/>
          <w:szCs w:val="22"/>
          <w:color w:val="010000"/>
        </w:rPr>
      </w:pPr>
    </w:p>
    <w:p>
      <w:pPr>
        <w:jc w:val="both"/>
        <w:ind w:left="-20" w:firstLine="656"/>
        <w:spacing w:after="0" w:line="242" w:lineRule="auto"/>
        <w:tabs>
          <w:tab w:leader="none" w:pos="1321"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Holder’s Exercise Limitations</w:t>
      </w:r>
      <w:r>
        <w:rPr>
          <w:rFonts w:ascii="Times New Roman" w:cs="Times New Roman" w:eastAsia="Times New Roman" w:hAnsi="Times New Roman"/>
          <w:sz w:val="21"/>
          <w:szCs w:val="21"/>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21"/>
          <w:szCs w:val="21"/>
          <w:u w:val="single" w:color="auto"/>
          <w:color w:val="auto"/>
        </w:rPr>
        <w:t>Attribution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2(f),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2(f)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this Warrant that are not in compliance with the Beneficial Ownership Limitation (other than to the extent that information on the number of outstanding shares of Common Stock is provided by the Company, either directly or through one or more public filings, and relied upon by the Holder).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and shall have no liability for exercises of this Warrant that are not in compliance with the Beneficial Ownership Limitation (other than to the extent that information on the number of outstanding shares of Common Stock is provided by the Company, either directly or through one or more public filings, and relied upon by the Holder). For purposes of this Section 2(f), in determining the number of outstanding shares of Common Stock, a Holder may rely on the number of outstanding shares of Common Stock as reflected in (A) the Company’s most recent periodic or annual report filed with the Commission, as the case may be,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030" w:right="339" w:bottom="1440" w:gutter="0" w:footer="0" w:header="0"/>
        </w:sectPr>
      </w:pPr>
    </w:p>
    <w:bookmarkStart w:id="50" w:name="page51"/>
    <w:bookmarkEnd w:id="50"/>
    <w:p>
      <w:pPr>
        <w:ind w:left="-8" w:right="20" w:firstLine="8"/>
        <w:spacing w:after="0" w:line="232" w:lineRule="auto"/>
        <w:tabs>
          <w:tab w:leader="none" w:pos="33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22"/>
          <w:szCs w:val="22"/>
          <w:u w:val="single" w:color="auto"/>
          <w:color w:val="auto"/>
        </w:rPr>
        <w:t>Beneficial Ownership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Limitation</w:t>
      </w:r>
      <w:r>
        <w:rPr>
          <w:rFonts w:ascii="Times New Roman" w:cs="Times New Roman" w:eastAsia="Times New Roman" w:hAnsi="Times New Roman"/>
          <w:sz w:val="22"/>
          <w:szCs w:val="22"/>
          <w:color w:val="auto"/>
        </w:rPr>
        <w:t xml:space="preserve">” shall be 4.99% (or, at the election of the Holder prior to the issuance of this Warrant, 9.99%) of the number of shares of the Common Stock outstanding immediately after giving effect to the issuance of shares of Common Stock issuable upon exercise of this Warrant. The Holder, upon written notice to the Company, may increase or decrease the Beneficial Ownership Limitation provisions of this Section 2(f),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2(f)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2(f)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If this Warrant is unexercisable as a result of the Holder’s Beneficial Ownership Limitation, no alternate consideration is owing to the Holder. For the avoidance of doubt, the restrictions on exercise of any portion of this Warrant in this Section 2(f), the restrictions on participation in any Purchase Right in Section 3(b) and the restrictions on participation in any Distribution in Section 3(c) shall not prevent or limit any such exercise or participation by the Holder if the number of shares of Common Stock beneficially owned by the Holder and its Affiliates and Attribution Parties immediately prior to giving effect to such exercise or participation exceeds 9.99% of the number of shares of the Common Stock outstanding immediately prior to giving effect to such exercise or participation.</w:t>
      </w:r>
    </w:p>
    <w:p>
      <w:pPr>
        <w:spacing w:after="0" w:line="179" w:lineRule="exact"/>
        <w:rPr>
          <w:sz w:val="20"/>
          <w:szCs w:val="20"/>
          <w:color w:val="auto"/>
        </w:rPr>
      </w:pPr>
    </w:p>
    <w:p>
      <w:pPr>
        <w:ind w:left="652"/>
        <w:spacing w:after="0"/>
        <w:tabs>
          <w:tab w:leader="none" w:pos="1872"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u w:val="single" w:color="auto"/>
          <w:color w:val="auto"/>
        </w:rPr>
        <w:t>Certain Adjustments; Rights Offering</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8" w:firstLine="656"/>
        <w:spacing w:after="0" w:line="233" w:lineRule="auto"/>
        <w:tabs>
          <w:tab w:leader="none" w:pos="156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Dividends and Splits</w:t>
      </w:r>
      <w:r>
        <w:rPr>
          <w:rFonts w:ascii="Times New Roman" w:cs="Times New Roman" w:eastAsia="Times New Roman" w:hAnsi="Times New Roman"/>
          <w:sz w:val="22"/>
          <w:szCs w:val="22"/>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w:t>
      </w:r>
    </w:p>
    <w:p>
      <w:pPr>
        <w:spacing w:after="0" w:line="19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030" w:right="339" w:bottom="1440" w:gutter="0" w:footer="0" w:header="0"/>
        </w:sectPr>
      </w:pPr>
    </w:p>
    <w:bookmarkStart w:id="51" w:name="page52"/>
    <w:bookmarkEnd w:id="51"/>
    <w:p>
      <w:pPr>
        <w:jc w:val="both"/>
        <w:ind w:right="60"/>
        <w:spacing w:after="0" w:line="244" w:lineRule="auto"/>
        <w:rPr>
          <w:sz w:val="20"/>
          <w:szCs w:val="20"/>
          <w:color w:val="auto"/>
        </w:rPr>
      </w:pPr>
      <w:r>
        <w:rPr>
          <w:rFonts w:ascii="Times New Roman" w:cs="Times New Roman" w:eastAsia="Times New Roman" w:hAnsi="Times New Roman"/>
          <w:sz w:val="22"/>
          <w:szCs w:val="22"/>
          <w:color w:val="auto"/>
        </w:rPr>
        <w:t>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73" w:lineRule="exact"/>
        <w:rPr>
          <w:sz w:val="20"/>
          <w:szCs w:val="20"/>
          <w:color w:val="auto"/>
        </w:rPr>
      </w:pPr>
    </w:p>
    <w:p>
      <w:pPr>
        <w:jc w:val="both"/>
        <w:ind w:firstLine="656"/>
        <w:spacing w:after="0" w:line="233" w:lineRule="auto"/>
        <w:tabs>
          <w:tab w:leader="none" w:pos="142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Subsequent Rights Offerings</w:t>
      </w:r>
      <w:r>
        <w:rPr>
          <w:rFonts w:ascii="Times New Roman" w:cs="Times New Roman" w:eastAsia="Times New Roman" w:hAnsi="Times New Roman"/>
          <w:sz w:val="22"/>
          <w:szCs w:val="22"/>
          <w:color w:val="auto"/>
        </w:rPr>
        <w:t>. If at any time this Warrant is outstanding the Company grants, issues or sells any Common Stock Equivalents or rights to purchase shares, warrants, securities or other property pro rata to all of the record holders of any class of shares of Common Stock (the “</w:t>
      </w:r>
      <w:r>
        <w:rPr>
          <w:rFonts w:ascii="Times New Roman" w:cs="Times New Roman" w:eastAsia="Times New Roman" w:hAnsi="Times New Roman"/>
          <w:sz w:val="22"/>
          <w:szCs w:val="22"/>
          <w:u w:val="single" w:color="auto"/>
          <w:color w:val="auto"/>
        </w:rPr>
        <w:t>Purchase Rights</w:t>
      </w:r>
      <w:r>
        <w:rPr>
          <w:rFonts w:ascii="Times New Roman" w:cs="Times New Roman" w:eastAsia="Times New Roman" w:hAnsi="Times New Roman"/>
          <w:sz w:val="22"/>
          <w:szCs w:val="22"/>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2"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2"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 Rata Distributions</w:t>
      </w:r>
      <w:r>
        <w:rPr>
          <w:rFonts w:ascii="Times New Roman" w:cs="Times New Roman" w:eastAsia="Times New Roman" w:hAnsi="Times New Roman"/>
          <w:sz w:val="21"/>
          <w:szCs w:val="21"/>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21"/>
          <w:szCs w:val="21"/>
          <w:u w:val="single" w:color="auto"/>
          <w:color w:val="auto"/>
        </w:rPr>
        <w:t>Distribution</w:t>
      </w:r>
      <w:r>
        <w:rPr>
          <w:rFonts w:ascii="Times New Roman" w:cs="Times New Roman" w:eastAsia="Times New Roman" w:hAnsi="Times New Roman"/>
          <w:sz w:val="21"/>
          <w:szCs w:val="21"/>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52" w:name="page53"/>
    <w:bookmarkEnd w:id="52"/>
    <w:p>
      <w:pPr>
        <w:jc w:val="both"/>
        <w:ind w:left="-20" w:firstLine="656"/>
        <w:spacing w:after="0" w:line="231" w:lineRule="auto"/>
        <w:tabs>
          <w:tab w:leader="none" w:pos="128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Fundamental Transaction</w:t>
      </w:r>
      <w:r>
        <w:rPr>
          <w:rFonts w:ascii="Times New Roman" w:cs="Times New Roman" w:eastAsia="Times New Roman" w:hAnsi="Times New Roman"/>
          <w:sz w:val="22"/>
          <w:szCs w:val="22"/>
          <w:color w:val="auto"/>
        </w:rPr>
        <w:t>. If, at any time while this Warrant is outstanding, (i) the Company, directly or indirectly, in one or more related transactions effects any merger or consolidation of the Company with or into another Person, (ii) the Company (or any subsidiary of the Company), directly or indirectly, effects any sale, lease, license, assignment, transfer, conveyance or other disposition of all or substantially all of the Company’s consolidated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voting power of the common equity of the Company, (iv) the Company, directly or indirectly, in one or more related transactions effects any reclassification, reorganization or recapitalization of shares of Common Stock or any compulsory share exchange pursuant to which the shares of Common Stock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voting power of the common equity of the Company (each, other than an Internal Reorganization (as defined below), a “</w:t>
      </w:r>
      <w:r>
        <w:rPr>
          <w:rFonts w:ascii="Times New Roman" w:cs="Times New Roman" w:eastAsia="Times New Roman" w:hAnsi="Times New Roman"/>
          <w:sz w:val="22"/>
          <w:szCs w:val="22"/>
          <w:u w:val="single" w:color="auto"/>
          <w:color w:val="auto"/>
        </w:rPr>
        <w:t>Fundamental Transaction</w:t>
      </w:r>
      <w:r>
        <w:rPr>
          <w:rFonts w:ascii="Times New Roman" w:cs="Times New Roman" w:eastAsia="Times New Roman" w:hAnsi="Times New Roman"/>
          <w:sz w:val="22"/>
          <w:szCs w:val="22"/>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2(f)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22"/>
          <w:szCs w:val="22"/>
          <w:u w:val="single" w:color="auto"/>
          <w:color w:val="auto"/>
        </w:rPr>
        <w:t>Alternate Consideration</w:t>
      </w:r>
      <w:r>
        <w:rPr>
          <w:rFonts w:ascii="Times New Roman" w:cs="Times New Roman" w:eastAsia="Times New Roman" w:hAnsi="Times New Roman"/>
          <w:sz w:val="22"/>
          <w:szCs w:val="22"/>
          <w:color w:val="auto"/>
        </w:rPr>
        <w:t>”) receivable as a result of such Fundamental Transaction by a holder of the number of shares of Common Stock for which this Warrant is exercisable immediately prior to such Fundamental Transaction (without regard to any limitation in Section 2(f)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use commercially reasonable efforts to cause any successor entity in a Fundamental Transaction in which the Company is not the survivor (the “</w:t>
      </w:r>
      <w:r>
        <w:rPr>
          <w:rFonts w:ascii="Times New Roman" w:cs="Times New Roman" w:eastAsia="Times New Roman" w:hAnsi="Times New Roman"/>
          <w:sz w:val="22"/>
          <w:szCs w:val="22"/>
          <w:u w:val="single" w:color="auto"/>
          <w:color w:val="auto"/>
        </w:rPr>
        <w:t>Successor Entity</w:t>
      </w:r>
      <w:r>
        <w:rPr>
          <w:rFonts w:ascii="Times New Roman" w:cs="Times New Roman" w:eastAsia="Times New Roman" w:hAnsi="Times New Roman"/>
          <w:sz w:val="22"/>
          <w:szCs w:val="22"/>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030" w:right="339" w:bottom="1440" w:gutter="0" w:footer="0" w:header="0"/>
        </w:sectPr>
      </w:pPr>
    </w:p>
    <w:bookmarkStart w:id="53" w:name="page54"/>
    <w:bookmarkEnd w:id="53"/>
    <w:p>
      <w:pPr>
        <w:spacing w:after="0" w:line="242" w:lineRule="auto"/>
        <w:rPr>
          <w:sz w:val="20"/>
          <w:szCs w:val="20"/>
          <w:color w:val="auto"/>
        </w:rPr>
      </w:pPr>
      <w:r>
        <w:rPr>
          <w:rFonts w:ascii="Times New Roman" w:cs="Times New Roman" w:eastAsia="Times New Roman" w:hAnsi="Times New Roman"/>
          <w:sz w:val="21"/>
          <w:szCs w:val="21"/>
          <w:color w:val="auto"/>
        </w:rPr>
        <w:t>Upon the occurrence of any such Fundamental Transaction, the Successor Entity shall succeed to, and be substituted for (so that from and after the date of such Fundamental Transaction, the provisions of this Warrant and the other Transaction Documents referring to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xml:space="preserve">”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Notwithstanding anything to the contrary, in the event of a Fundamental Transaction, the Company or any Successor Entity (as defined below) shall, at the Holder’s option, exercisable at any time concurrently with, or within thirty (30) days after, the consummation of the Fundamental Transaction (or, if later, the date of the public announcement of the applicable Fundamental Transaction), purchase this Warrant from the Holder by paying to the Holder, as described below, an amount of cash equal to the Black Scholes Value (as defined below) of the remaining unexercised portion of this Warrant on the date of the consummation of such Fundamental Transaction,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the Fundamental Transaction is not within the Company’s control, including not approved by the board of directors of the Company, Holder shall only be entitled to receive from the Company or any Successor Entity, as of the date of the consummation of such Fundamental Transaction the same type or form of consideration (and in the same proportion), valued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if holders of Common Stock of the Company are not offered or paid any consideration in such Fundamental Transaction, such holders of Common Stock will be deemed to have received shares of the Successor Entity (which Successor Entity may be the Company following such Fundamental Transaction) in such Fundamental Transaction. “</w:t>
      </w:r>
      <w:r>
        <w:rPr>
          <w:rFonts w:ascii="Times New Roman" w:cs="Times New Roman" w:eastAsia="Times New Roman" w:hAnsi="Times New Roman"/>
          <w:sz w:val="21"/>
          <w:szCs w:val="21"/>
          <w:u w:val="single" w:color="auto"/>
          <w:color w:val="auto"/>
        </w:rPr>
        <w:t>Black Scholes Value</w:t>
      </w:r>
      <w:r>
        <w:rPr>
          <w:rFonts w:ascii="Times New Roman" w:cs="Times New Roman" w:eastAsia="Times New Roman" w:hAnsi="Times New Roman"/>
          <w:sz w:val="21"/>
          <w:szCs w:val="21"/>
          <w:color w:val="auto"/>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100%,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announcement of the applicable Fundamental Transaction (or the consummation of the applicable Fundamental Transaction, if earlier) and ending on the Trading Day of the Holder’s request pursuant to this Section 3(d) and (D) a remaining option time equal to the time between the date of the public announcement of the applicable Fundamental Transaction and the Termination Date and (E) a zero cost of borrow.</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54" w:name="page55"/>
    <w:bookmarkEnd w:id="54"/>
    <w:p>
      <w:pPr>
        <w:jc w:val="both"/>
        <w:ind w:right="40"/>
        <w:spacing w:after="0" w:line="239" w:lineRule="auto"/>
        <w:rPr>
          <w:sz w:val="20"/>
          <w:szCs w:val="20"/>
          <w:color w:val="auto"/>
        </w:rPr>
      </w:pPr>
      <w:r>
        <w:rPr>
          <w:rFonts w:ascii="Times New Roman" w:cs="Times New Roman" w:eastAsia="Times New Roman" w:hAnsi="Times New Roman"/>
          <w:sz w:val="22"/>
          <w:szCs w:val="22"/>
          <w:color w:val="auto"/>
        </w:rPr>
        <w:t>The payment of the Black Scholes Value will be made by wire transfer of immediately available funds within five Business Days of the Holder’s election (or, if later, on the effective date of the Fundamental Transaction). For the avoidance of doubt, the Holder shall be entitled to the benefits of the provisions of this Section 3(d) regardless of whether the Company has sufficient authorized shares of Common Stock for the issuance of the Warrant Shares.</w:t>
      </w:r>
    </w:p>
    <w:p>
      <w:pPr>
        <w:spacing w:after="0" w:line="180" w:lineRule="exact"/>
        <w:rPr>
          <w:sz w:val="20"/>
          <w:szCs w:val="20"/>
          <w:color w:val="auto"/>
        </w:rPr>
      </w:pPr>
    </w:p>
    <w:p>
      <w:pPr>
        <w:jc w:val="both"/>
        <w:ind w:firstLine="656"/>
        <w:spacing w:after="0" w:line="233" w:lineRule="auto"/>
        <w:tabs>
          <w:tab w:leader="none" w:pos="167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Internal Reorganization</w:t>
      </w:r>
      <w:r>
        <w:rPr>
          <w:rFonts w:ascii="Times New Roman" w:cs="Times New Roman" w:eastAsia="Times New Roman" w:hAnsi="Times New Roman"/>
          <w:sz w:val="22"/>
          <w:szCs w:val="22"/>
          <w:color w:val="auto"/>
        </w:rPr>
        <w:t>. If, at any time while this Warrant is outstanding, the Company consummates any transaction of the type listed in clauses (i) to (v) of Section 3(d) solely with one or more of its Affiliates (each, an “</w:t>
      </w:r>
      <w:r>
        <w:rPr>
          <w:rFonts w:ascii="Times New Roman" w:cs="Times New Roman" w:eastAsia="Times New Roman" w:hAnsi="Times New Roman"/>
          <w:sz w:val="22"/>
          <w:szCs w:val="22"/>
          <w:u w:val="single" w:color="auto"/>
          <w:color w:val="auto"/>
        </w:rPr>
        <w:t>Internal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Reorganization</w:t>
      </w:r>
      <w:r>
        <w:rPr>
          <w:rFonts w:ascii="Times New Roman" w:cs="Times New Roman" w:eastAsia="Times New Roman" w:hAnsi="Times New Roman"/>
          <w:sz w:val="22"/>
          <w:szCs w:val="22"/>
          <w:color w:val="auto"/>
        </w:rPr>
        <w:t>”), then, notwithstanding anything to the contrary in Section 3(d), as a part of such Internal Reorganization, lawful provision shall be made so that the Holder shall thereafter be entitled to receive upon exercise of this Warrant, the kind and amount of securities, cash or other property of the successor entity resulting from such Internal Reorganization, equivalent in value to that which a holder of the Warrant Shares deliverable upon exercise of this Warrant would have been entitled in such Internal Reorganization if the right to purchase the Warrant Shares hereunder had been exercised immediately prior to such Internal Reorganization. In any such case, appropriate adjustment (as determined in good faith by the board of directors or equivalent governing body of the successor entity) shall be made in the application of the provisions of this Warrant with respect to the rights and interests of the Holder after such Internal Reorganization (including provisions for adjustments of the number of securities purchasable and receivable upon the exercise of this Warrant) to the end that the provisions of this Warrant shall be applicable after the event, as near as reasonably may be, in relation to any securities deliverable after that event upon the exercise of this Warrant.</w:t>
      </w:r>
    </w:p>
    <w:p>
      <w:pPr>
        <w:spacing w:after="0" w:line="191" w:lineRule="exact"/>
        <w:rPr>
          <w:rFonts w:ascii="Times New Roman" w:cs="Times New Roman" w:eastAsia="Times New Roman" w:hAnsi="Times New Roman"/>
          <w:sz w:val="22"/>
          <w:szCs w:val="22"/>
          <w:color w:val="auto"/>
        </w:rPr>
      </w:pPr>
    </w:p>
    <w:p>
      <w:pPr>
        <w:jc w:val="both"/>
        <w:ind w:firstLine="656"/>
        <w:spacing w:after="0" w:line="218" w:lineRule="auto"/>
        <w:tabs>
          <w:tab w:leader="none" w:pos="1462"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Calculations</w:t>
      </w:r>
      <w:r>
        <w:rPr>
          <w:rFonts w:ascii="Times New Roman" w:cs="Times New Roman" w:eastAsia="Times New Roman" w:hAnsi="Times New Roman"/>
          <w:sz w:val="22"/>
          <w:szCs w:val="22"/>
          <w:color w:val="auto"/>
        </w:rPr>
        <w:t>. All calculations under this Section 3 shall be made to the nearest cent or the nearest 1/100</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7" w:lineRule="exact"/>
        <w:rPr>
          <w:rFonts w:ascii="Times New Roman" w:cs="Times New Roman" w:eastAsia="Times New Roman" w:hAnsi="Times New Roman"/>
          <w:sz w:val="22"/>
          <w:szCs w:val="22"/>
          <w:color w:val="auto"/>
        </w:rPr>
      </w:pPr>
    </w:p>
    <w:p>
      <w:pPr>
        <w:ind w:left="1260" w:hanging="604"/>
        <w:spacing w:after="0"/>
        <w:tabs>
          <w:tab w:leader="none" w:pos="12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to Holder</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304"/>
        <w:spacing w:after="0" w:line="239" w:lineRule="auto"/>
        <w:tabs>
          <w:tab w:leader="none" w:pos="2071" w:val="left"/>
        </w:tabs>
        <w:numPr>
          <w:ilvl w:val="1"/>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Adjustment to Exercise Price</w:t>
      </w:r>
      <w:r>
        <w:rPr>
          <w:rFonts w:ascii="Times New Roman" w:cs="Times New Roman" w:eastAsia="Times New Roman" w:hAnsi="Times New Roman"/>
          <w:sz w:val="22"/>
          <w:szCs w:val="22"/>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180" w:lineRule="exact"/>
        <w:rPr>
          <w:rFonts w:ascii="Times New Roman" w:cs="Times New Roman" w:eastAsia="Times New Roman" w:hAnsi="Times New Roman"/>
          <w:sz w:val="22"/>
          <w:szCs w:val="22"/>
          <w:color w:val="010000"/>
        </w:rPr>
      </w:pPr>
    </w:p>
    <w:p>
      <w:pPr>
        <w:jc w:val="both"/>
        <w:ind w:firstLine="1304"/>
        <w:spacing w:after="0" w:line="249" w:lineRule="auto"/>
        <w:tabs>
          <w:tab w:leader="none" w:pos="1938" w:val="left"/>
        </w:tabs>
        <w:numPr>
          <w:ilvl w:val="1"/>
          <w:numId w:val="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Notice to Allow Exercise by Holder</w:t>
      </w:r>
      <w:r>
        <w:rPr>
          <w:rFonts w:ascii="Times New Roman" w:cs="Times New Roman" w:eastAsia="Times New Roman" w:hAnsi="Times New Roman"/>
          <w:sz w:val="21"/>
          <w:szCs w:val="21"/>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shares of Common Stock rights or warrants to subscribe for or purchase any shares of capital stock of any class or any rights, (D) the approval of any stockholders of the Company shall be required in connection with a Fundamental Transaction or an Internal Reorganization, or (E) the Company shall authorize the voluntary or involuntary dissolution, liquidation or winding up of the affairs of the Company,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55" w:name="page56"/>
    <w:bookmarkEnd w:id="55"/>
    <w:p>
      <w:pPr>
        <w:spacing w:after="0" w:line="244" w:lineRule="auto"/>
        <w:rPr>
          <w:sz w:val="20"/>
          <w:szCs w:val="20"/>
          <w:color w:val="auto"/>
        </w:rPr>
      </w:pPr>
      <w:r>
        <w:rPr>
          <w:rFonts w:ascii="Times New Roman" w:cs="Times New Roman" w:eastAsia="Times New Roman" w:hAnsi="Times New Roman"/>
          <w:sz w:val="21"/>
          <w:szCs w:val="21"/>
          <w:color w:val="auto"/>
        </w:rPr>
        <w:t xml:space="preserve">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Company’s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81" w:lineRule="exact"/>
        <w:rPr>
          <w:sz w:val="20"/>
          <w:szCs w:val="20"/>
          <w:color w:val="auto"/>
        </w:rPr>
      </w:pPr>
    </w:p>
    <w:p>
      <w:pPr>
        <w:jc w:val="both"/>
        <w:ind w:firstLine="656"/>
        <w:spacing w:after="0" w:line="244" w:lineRule="auto"/>
        <w:tabs>
          <w:tab w:leader="none" w:pos="129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Adjustment by Company</w:t>
      </w:r>
      <w:r>
        <w:rPr>
          <w:rFonts w:ascii="Times New Roman" w:cs="Times New Roman" w:eastAsia="Times New Roman" w:hAnsi="Times New Roman"/>
          <w:sz w:val="22"/>
          <w:szCs w:val="22"/>
          <w:color w:val="auto"/>
        </w:rPr>
        <w:t>. Subject to the rules and regulations of the Trading Market, the Company may at any time while this Warrant is outstanding, reduce (temporarily or permanently) the then-current Exercise Price to any amount and for any period of time deemed appropriate by the board of directors of the Company in its sole discretion.</w:t>
      </w:r>
    </w:p>
    <w:p>
      <w:pPr>
        <w:spacing w:after="0" w:line="173"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4.</w:t>
      </w:r>
      <w:r>
        <w:rPr>
          <w:sz w:val="20"/>
          <w:szCs w:val="20"/>
          <w:color w:val="auto"/>
        </w:rPr>
        <w:tab/>
      </w:r>
      <w:r>
        <w:rPr>
          <w:rFonts w:ascii="Times New Roman" w:cs="Times New Roman" w:eastAsia="Times New Roman" w:hAnsi="Times New Roman"/>
          <w:sz w:val="21"/>
          <w:szCs w:val="21"/>
          <w:u w:val="single" w:color="auto"/>
          <w:color w:val="auto"/>
        </w:rPr>
        <w:t>Transfer of Warrant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56"/>
        <w:spacing w:after="0" w:line="233" w:lineRule="auto"/>
        <w:tabs>
          <w:tab w:leader="none" w:pos="142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84" w:lineRule="exact"/>
        <w:rPr>
          <w:rFonts w:ascii="Times New Roman" w:cs="Times New Roman" w:eastAsia="Times New Roman" w:hAnsi="Times New Roman"/>
          <w:sz w:val="22"/>
          <w:szCs w:val="22"/>
          <w:color w:val="auto"/>
        </w:rPr>
      </w:pPr>
    </w:p>
    <w:p>
      <w:pPr>
        <w:jc w:val="both"/>
        <w:ind w:firstLine="656"/>
        <w:spacing w:after="0" w:line="244" w:lineRule="auto"/>
        <w:tabs>
          <w:tab w:leader="none" w:pos="146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Warrants</w:t>
      </w:r>
      <w:r>
        <w:rPr>
          <w:rFonts w:ascii="Times New Roman" w:cs="Times New Roman" w:eastAsia="Times New Roman" w:hAnsi="Times New Roman"/>
          <w:sz w:val="22"/>
          <w:szCs w:val="22"/>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56" w:name="page57"/>
    <w:bookmarkEnd w:id="56"/>
    <w:p>
      <w:pPr>
        <w:ind w:right="40"/>
        <w:spacing w:after="0" w:line="239" w:lineRule="auto"/>
        <w:rPr>
          <w:sz w:val="20"/>
          <w:szCs w:val="20"/>
          <w:color w:val="auto"/>
        </w:rPr>
      </w:pPr>
      <w:r>
        <w:rPr>
          <w:rFonts w:ascii="Times New Roman" w:cs="Times New Roman" w:eastAsia="Times New Roman" w:hAnsi="Times New Roman"/>
          <w:sz w:val="22"/>
          <w:szCs w:val="22"/>
          <w:color w:val="auto"/>
        </w:rPr>
        <w:t>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maintain the Issuance Date of this Warrant and shall be identical with this Warrant except as to the number of Warrant Shares issuable pursuant thereto.</w:t>
      </w:r>
    </w:p>
    <w:p>
      <w:pPr>
        <w:spacing w:after="0" w:line="180" w:lineRule="exact"/>
        <w:rPr>
          <w:sz w:val="20"/>
          <w:szCs w:val="20"/>
          <w:color w:val="auto"/>
        </w:rPr>
      </w:pPr>
    </w:p>
    <w:p>
      <w:pPr>
        <w:jc w:val="both"/>
        <w:ind w:firstLine="656"/>
        <w:spacing w:after="0" w:line="239" w:lineRule="auto"/>
        <w:tabs>
          <w:tab w:leader="none" w:pos="123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Warrant Register</w:t>
      </w:r>
      <w:r>
        <w:rPr>
          <w:rFonts w:ascii="Times New Roman" w:cs="Times New Roman" w:eastAsia="Times New Roman" w:hAnsi="Times New Roman"/>
          <w:sz w:val="22"/>
          <w:szCs w:val="22"/>
          <w:color w:val="auto"/>
        </w:rPr>
        <w:t>. The Company shall register this Warrant, upon records to be maintained by the Company for that purpose (the “</w:t>
      </w:r>
      <w:r>
        <w:rPr>
          <w:rFonts w:ascii="Times New Roman" w:cs="Times New Roman" w:eastAsia="Times New Roman" w:hAnsi="Times New Roman"/>
          <w:sz w:val="22"/>
          <w:szCs w:val="22"/>
          <w:u w:val="single" w:color="auto"/>
          <w:color w:val="auto"/>
        </w:rPr>
        <w:t>Warrant Register</w:t>
      </w:r>
      <w:r>
        <w:rPr>
          <w:rFonts w:ascii="Times New Roman" w:cs="Times New Roman" w:eastAsia="Times New Roman" w:hAnsi="Times New Roman"/>
          <w:sz w:val="22"/>
          <w:szCs w:val="22"/>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0"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56"/>
        <w:spacing w:after="0" w:line="238" w:lineRule="auto"/>
        <w:tabs>
          <w:tab w:leader="none" w:pos="134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as Stockholder Until Exercise; No Settlement in Cash</w:t>
      </w:r>
      <w:r>
        <w:rPr>
          <w:rFonts w:ascii="Times New Roman" w:cs="Times New Roman" w:eastAsia="Times New Roman" w:hAnsi="Times New Roman"/>
          <w:sz w:val="22"/>
          <w:szCs w:val="22"/>
          <w:color w:val="auto"/>
        </w:rPr>
        <w:t>. This Warrant does not entitle the Holder to any voting rights, dividends or other rights as a stockholder of the Company prior to the exercise hereof as set forth in Section 2(e)(i), except as expressly set forth in Section 3. Without limiting the rights of a Holder to receive Warrant Shares on a “cashless exercise” and to receive the cash payments contemplated pursuant to Sections 2(e)(i) and 2(e)(iv), in no event will the Company be required to net cash settle an exercise of this Warrant.</w:t>
      </w:r>
    </w:p>
    <w:p>
      <w:pPr>
        <w:spacing w:after="0" w:line="176" w:lineRule="exact"/>
        <w:rPr>
          <w:rFonts w:ascii="Times New Roman" w:cs="Times New Roman" w:eastAsia="Times New Roman" w:hAnsi="Times New Roman"/>
          <w:sz w:val="22"/>
          <w:szCs w:val="22"/>
          <w:color w:val="auto"/>
        </w:rPr>
      </w:pPr>
    </w:p>
    <w:p>
      <w:pPr>
        <w:jc w:val="both"/>
        <w:ind w:firstLine="656"/>
        <w:spacing w:after="0" w:line="235" w:lineRule="auto"/>
        <w:tabs>
          <w:tab w:leader="none" w:pos="134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Loss, Theft, Destruction or Mutilation of Warrant</w:t>
      </w:r>
      <w:r>
        <w:rPr>
          <w:rFonts w:ascii="Times New Roman" w:cs="Times New Roman" w:eastAsia="Times New Roman" w:hAnsi="Times New Roman"/>
          <w:sz w:val="22"/>
          <w:szCs w:val="22"/>
          <w:color w:val="auto"/>
        </w:rPr>
        <w:t>. The Company covenants that upon receipt by the Company of evidence reasonably satisfactory to it of the loss, theft, destruction or mutilation of this Warrant, and in case of loss, theft or destruction, of indemnity or security reasonably satisfactory to it (which shall not include the posting of any bond), and upon surrender and cancellation of such Warrant, if mutilated, the Company will make and deliver a new Warrant of like tenor and dated as of such cancellation, in lieu of such Warrant. The applicant for a new certificate or instrument under such circumstances shall pay any reasonable third-party costs (including customary indemnity) associated with the issuance of such replacement warrant.</w:t>
      </w:r>
    </w:p>
    <w:p>
      <w:pPr>
        <w:spacing w:after="0" w:line="183"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2"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Saturdays, Sundays, Holidays, etc</w:t>
      </w:r>
      <w:r>
        <w:rPr>
          <w:rFonts w:ascii="Times New Roman" w:cs="Times New Roman" w:eastAsia="Times New Roman" w:hAnsi="Times New Roman"/>
          <w:sz w:val="22"/>
          <w:szCs w:val="22"/>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73" w:lineRule="exact"/>
        <w:rPr>
          <w:rFonts w:ascii="Times New Roman" w:cs="Times New Roman" w:eastAsia="Times New Roman" w:hAnsi="Times New Roman"/>
          <w:sz w:val="22"/>
          <w:szCs w:val="22"/>
          <w:color w:val="auto"/>
        </w:rPr>
      </w:pPr>
    </w:p>
    <w:p>
      <w:pPr>
        <w:jc w:val="both"/>
        <w:ind w:firstLine="656"/>
        <w:spacing w:after="0" w:line="235" w:lineRule="auto"/>
        <w:tabs>
          <w:tab w:leader="none" w:pos="1332"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Authorized Shares</w:t>
      </w:r>
      <w:r>
        <w:rPr>
          <w:rFonts w:ascii="Times New Roman" w:cs="Times New Roman" w:eastAsia="Times New Roman" w:hAnsi="Times New Roman"/>
          <w:sz w:val="22"/>
          <w:szCs w:val="22"/>
          <w:color w:val="auto"/>
        </w:rPr>
        <w:t>. The Company covenants that, at all times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57" w:name="page58"/>
    <w:bookmarkEnd w:id="57"/>
    <w:p>
      <w:pPr>
        <w:ind w:right="120"/>
        <w:spacing w:after="0" w:line="233" w:lineRule="auto"/>
        <w:rPr>
          <w:sz w:val="20"/>
          <w:szCs w:val="20"/>
          <w:color w:val="auto"/>
        </w:rPr>
      </w:pPr>
      <w:r>
        <w:rPr>
          <w:rFonts w:ascii="Times New Roman" w:cs="Times New Roman" w:eastAsia="Times New Roman" w:hAnsi="Times New Roman"/>
          <w:sz w:val="22"/>
          <w:szCs w:val="22"/>
          <w:color w:val="auto"/>
        </w:rPr>
        <w:t>The Company covenants that all Warrant Shares that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 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7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3" w:lineRule="exact"/>
        <w:rPr>
          <w:sz w:val="20"/>
          <w:szCs w:val="20"/>
          <w:color w:val="auto"/>
        </w:rPr>
      </w:pPr>
    </w:p>
    <w:p>
      <w:pPr>
        <w:ind w:firstLine="656"/>
        <w:spacing w:after="0" w:line="258" w:lineRule="auto"/>
        <w:tabs>
          <w:tab w:leader="none" w:pos="145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Jurisdiction</w:t>
      </w:r>
      <w:r>
        <w:rPr>
          <w:rFonts w:ascii="Times New Roman" w:cs="Times New Roman" w:eastAsia="Times New Roman" w:hAnsi="Times New Roman"/>
          <w:sz w:val="22"/>
          <w:szCs w:val="22"/>
          <w:color w:val="auto"/>
        </w:rPr>
        <w:t>. All questions concerning the construction, validity, enforcement and interpretation of this Warrant shall be determined in accordance with the provisions of the Purchase Agreement.</w:t>
      </w:r>
    </w:p>
    <w:p>
      <w:pPr>
        <w:spacing w:after="0" w:line="158" w:lineRule="exact"/>
        <w:rPr>
          <w:rFonts w:ascii="Times New Roman" w:cs="Times New Roman" w:eastAsia="Times New Roman" w:hAnsi="Times New Roman"/>
          <w:sz w:val="22"/>
          <w:szCs w:val="22"/>
          <w:color w:val="auto"/>
        </w:rPr>
      </w:pPr>
    </w:p>
    <w:p>
      <w:pPr>
        <w:jc w:val="both"/>
        <w:ind w:firstLine="656"/>
        <w:spacing w:after="0" w:line="244" w:lineRule="auto"/>
        <w:tabs>
          <w:tab w:leader="none" w:pos="135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w:t>
      </w:r>
      <w:r>
        <w:rPr>
          <w:rFonts w:ascii="Times New Roman" w:cs="Times New Roman" w:eastAsia="Times New Roman" w:hAnsi="Times New Roman"/>
          <w:sz w:val="22"/>
          <w:szCs w:val="22"/>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73" w:lineRule="exact"/>
        <w:rPr>
          <w:rFonts w:ascii="Times New Roman" w:cs="Times New Roman" w:eastAsia="Times New Roman" w:hAnsi="Times New Roman"/>
          <w:sz w:val="22"/>
          <w:szCs w:val="22"/>
          <w:color w:val="auto"/>
        </w:rPr>
      </w:pPr>
    </w:p>
    <w:p>
      <w:pPr>
        <w:jc w:val="both"/>
        <w:ind w:firstLine="656"/>
        <w:spacing w:after="0" w:line="235" w:lineRule="auto"/>
        <w:tabs>
          <w:tab w:leader="none" w:pos="1332"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Nonwaiver and Expenses</w:t>
      </w:r>
      <w:r>
        <w:rPr>
          <w:rFonts w:ascii="Times New Roman" w:cs="Times New Roman" w:eastAsia="Times New Roman" w:hAnsi="Times New Roman"/>
          <w:sz w:val="22"/>
          <w:szCs w:val="22"/>
          <w:color w:val="auto"/>
        </w:rPr>
        <w:t>. No course of dealing or any delay or failure to exercise any right hereunder on the part of Holder shall operate as a waiver of such right or otherwise prejudice the Holder’s rights, powers or remedies. For the avoidance of doubt, the foregoing shall in no way modify or qualify the right to exercise this Warrant terminating on the Termination Date. Without limiting any other provision of this Warrant, if the Company willfully and knowingly fails to comply with any provision of this Warrant or the Purchase Agreement,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58" w:name="page59"/>
    <w:bookmarkEnd w:id="58"/>
    <w:p>
      <w:pPr>
        <w:ind w:left="-20" w:firstLine="656"/>
        <w:spacing w:after="0" w:line="258" w:lineRule="auto"/>
        <w:tabs>
          <w:tab w:leader="none" w:pos="127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request or other document required or permitted to be given or delivered to the Holder by the Company shall be delivered in accordance with the notice provisions of the Purchase Agreement.</w:t>
      </w:r>
    </w:p>
    <w:p>
      <w:pPr>
        <w:spacing w:after="0" w:line="158" w:lineRule="exact"/>
        <w:rPr>
          <w:rFonts w:ascii="Times New Roman" w:cs="Times New Roman" w:eastAsia="Times New Roman" w:hAnsi="Times New Roman"/>
          <w:sz w:val="22"/>
          <w:szCs w:val="22"/>
          <w:color w:val="auto"/>
        </w:rPr>
      </w:pPr>
    </w:p>
    <w:p>
      <w:pPr>
        <w:jc w:val="both"/>
        <w:ind w:left="-20" w:right="20" w:firstLine="656"/>
        <w:spacing w:after="0" w:line="239" w:lineRule="auto"/>
        <w:tabs>
          <w:tab w:leader="none" w:pos="125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shares of Common Stock or as a stockholder of the Company, whether such liability is asserted by the Company or by creditors of the Company.</w:t>
      </w:r>
    </w:p>
    <w:p>
      <w:pPr>
        <w:spacing w:after="0" w:line="180" w:lineRule="exact"/>
        <w:rPr>
          <w:rFonts w:ascii="Times New Roman" w:cs="Times New Roman" w:eastAsia="Times New Roman" w:hAnsi="Times New Roman"/>
          <w:sz w:val="22"/>
          <w:szCs w:val="22"/>
          <w:color w:val="auto"/>
        </w:rPr>
      </w:pPr>
    </w:p>
    <w:p>
      <w:pPr>
        <w:jc w:val="both"/>
        <w:ind w:left="-20" w:firstLine="656"/>
        <w:spacing w:after="0" w:line="238" w:lineRule="auto"/>
        <w:tabs>
          <w:tab w:leader="none" w:pos="143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6" w:lineRule="exact"/>
        <w:rPr>
          <w:rFonts w:ascii="Times New Roman" w:cs="Times New Roman" w:eastAsia="Times New Roman" w:hAnsi="Times New Roman"/>
          <w:sz w:val="22"/>
          <w:szCs w:val="22"/>
          <w:color w:val="auto"/>
        </w:rPr>
      </w:pPr>
    </w:p>
    <w:p>
      <w:pPr>
        <w:jc w:val="both"/>
        <w:ind w:left="-20" w:firstLine="656"/>
        <w:spacing w:after="0" w:line="239" w:lineRule="auto"/>
        <w:tabs>
          <w:tab w:leader="none" w:pos="167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80" w:lineRule="exact"/>
        <w:rPr>
          <w:rFonts w:ascii="Times New Roman" w:cs="Times New Roman" w:eastAsia="Times New Roman" w:hAnsi="Times New Roman"/>
          <w:sz w:val="22"/>
          <w:szCs w:val="22"/>
          <w:color w:val="auto"/>
        </w:rPr>
      </w:pPr>
    </w:p>
    <w:p>
      <w:pPr>
        <w:ind w:left="-20" w:firstLine="656"/>
        <w:spacing w:after="0" w:line="258" w:lineRule="auto"/>
        <w:tabs>
          <w:tab w:leader="none" w:pos="129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Warrant may be modified or amended or the provisions hereof waived with the written consent of the Company, on the one hand, and the Holder of this Warrant, on the other hand.</w:t>
      </w:r>
    </w:p>
    <w:p>
      <w:pPr>
        <w:spacing w:after="0" w:line="158" w:lineRule="exact"/>
        <w:rPr>
          <w:rFonts w:ascii="Times New Roman" w:cs="Times New Roman" w:eastAsia="Times New Roman" w:hAnsi="Times New Roman"/>
          <w:sz w:val="22"/>
          <w:szCs w:val="22"/>
          <w:color w:val="auto"/>
        </w:rPr>
      </w:pPr>
    </w:p>
    <w:p>
      <w:pPr>
        <w:jc w:val="both"/>
        <w:ind w:left="-20" w:firstLine="656"/>
        <w:spacing w:after="0" w:line="239" w:lineRule="auto"/>
        <w:tabs>
          <w:tab w:leader="none" w:pos="152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80" w:lineRule="exact"/>
        <w:rPr>
          <w:rFonts w:ascii="Times New Roman" w:cs="Times New Roman" w:eastAsia="Times New Roman" w:hAnsi="Times New Roman"/>
          <w:sz w:val="22"/>
          <w:szCs w:val="22"/>
          <w:color w:val="auto"/>
        </w:rPr>
      </w:pPr>
    </w:p>
    <w:p>
      <w:pPr>
        <w:ind w:left="-20" w:firstLine="656"/>
        <w:spacing w:after="0" w:line="258" w:lineRule="auto"/>
        <w:tabs>
          <w:tab w:leader="none" w:pos="150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used in this Warrant are for the convenience of reference only and shall not, for any purpose, be deemed a part of this Warrant.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030" w:right="339" w:bottom="1440" w:gutter="0" w:footer="0" w:header="0"/>
        </w:sectPr>
      </w:pPr>
    </w:p>
    <w:bookmarkStart w:id="59" w:name="page60"/>
    <w:bookmarkEnd w:id="59"/>
    <w:p>
      <w:pPr>
        <w:ind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Company has caused this Warrant to be executed by its officer thereunto duly authorized as of the date first above indicated.</w:t>
      </w:r>
    </w:p>
    <w:p>
      <w:pPr>
        <w:spacing w:after="0" w:line="39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BAKKT HOLDINGS, INC.</w:t>
      </w:r>
    </w:p>
    <w:p>
      <w:pPr>
        <w:spacing w:after="0" w:line="237" w:lineRule="exact"/>
        <w:rPr>
          <w:sz w:val="20"/>
          <w:szCs w:val="20"/>
          <w:color w:val="auto"/>
        </w:rPr>
      </w:pPr>
    </w:p>
    <w:p>
      <w:pPr>
        <w:ind w:left="5080"/>
        <w:spacing w:after="0"/>
        <w:tabs>
          <w:tab w:leader="none" w:pos="57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10795</wp:posOffset>
            </wp:positionV>
            <wp:extent cx="32061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5740"/>
        <w:spacing w:after="0"/>
        <w:rPr>
          <w:sz w:val="20"/>
          <w:szCs w:val="20"/>
          <w:color w:val="auto"/>
        </w:rPr>
      </w:pPr>
      <w:r>
        <w:rPr>
          <w:rFonts w:ascii="Times New Roman" w:cs="Times New Roman" w:eastAsia="Times New Roman" w:hAnsi="Times New Roman"/>
          <w:sz w:val="22"/>
          <w:szCs w:val="22"/>
          <w:color w:val="auto"/>
        </w:rPr>
        <w:t>Name: Marc D’Annunzio</w:t>
      </w:r>
    </w:p>
    <w:p>
      <w:pPr>
        <w:ind w:left="5740"/>
        <w:spacing w:after="0"/>
        <w:rPr>
          <w:sz w:val="20"/>
          <w:szCs w:val="20"/>
          <w:color w:val="auto"/>
        </w:rPr>
      </w:pPr>
      <w:r>
        <w:rPr>
          <w:rFonts w:ascii="Times New Roman" w:cs="Times New Roman" w:eastAsia="Times New Roman" w:hAnsi="Times New Roman"/>
          <w:sz w:val="22"/>
          <w:szCs w:val="22"/>
          <w:color w:val="auto"/>
        </w:rPr>
        <w:t>Title: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Common Stock Purchase Warrant (Class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NOTICE OF EXERCISE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TO: </w:t>
      </w:r>
      <w:r>
        <w:rPr>
          <w:rFonts w:ascii="Times New Roman" w:cs="Times New Roman" w:eastAsia="Times New Roman" w:hAnsi="Times New Roman"/>
          <w:sz w:val="22"/>
          <w:szCs w:val="22"/>
          <w:b w:val="1"/>
          <w:bCs w:val="1"/>
          <w:color w:val="auto"/>
        </w:rPr>
        <w:t>BAKKT HOLDINGS, INC.</w:t>
      </w:r>
    </w:p>
    <w:p>
      <w:pPr>
        <w:spacing w:after="0" w:line="210" w:lineRule="exact"/>
        <w:rPr>
          <w:sz w:val="20"/>
          <w:szCs w:val="20"/>
          <w:color w:val="auto"/>
        </w:rPr>
      </w:pPr>
    </w:p>
    <w:p>
      <w:pPr>
        <w:jc w:val="both"/>
        <w:ind w:firstLine="656"/>
        <w:spacing w:after="0" w:line="244" w:lineRule="auto"/>
        <w:tabs>
          <w:tab w:leader="none" w:pos="1305"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73" w:lineRule="exact"/>
        <w:rPr>
          <w:rFonts w:ascii="Times New Roman" w:cs="Times New Roman" w:eastAsia="Times New Roman" w:hAnsi="Times New Roman"/>
          <w:sz w:val="22"/>
          <w:szCs w:val="22"/>
          <w:color w:val="auto"/>
        </w:rPr>
      </w:pPr>
    </w:p>
    <w:p>
      <w:pPr>
        <w:ind w:left="1300" w:right="5220" w:hanging="644"/>
        <w:spacing w:after="0" w:line="435" w:lineRule="auto"/>
        <w:tabs>
          <w:tab w:leader="none" w:pos="1282"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shall take the form of (check applicable box): [ ] in lawful money of the United States; or</w:t>
      </w:r>
    </w:p>
    <w:p>
      <w:pPr>
        <w:spacing w:after="0" w:line="1" w:lineRule="exact"/>
        <w:rPr>
          <w:sz w:val="20"/>
          <w:szCs w:val="20"/>
          <w:color w:val="auto"/>
        </w:rPr>
      </w:pPr>
    </w:p>
    <w:p>
      <w:pPr>
        <w:jc w:val="both"/>
        <w:ind w:left="660" w:firstLine="644"/>
        <w:spacing w:after="0" w:line="244" w:lineRule="auto"/>
        <w:tabs>
          <w:tab w:leader="none" w:pos="1441"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if permitted the cancellation of such number of Warrant Shares as is necessary, in accordance with the formula set forth in Section 2(c), to exercise this Warrant with respect to the maximum number of Warrant Shares purchasable pursuant to the cashless exercise procedure set forth in Section 2(c).</w:t>
      </w:r>
    </w:p>
    <w:p>
      <w:pPr>
        <w:spacing w:after="0" w:line="173" w:lineRule="exact"/>
        <w:rPr>
          <w:rFonts w:ascii="Times New Roman" w:cs="Times New Roman" w:eastAsia="Times New Roman" w:hAnsi="Times New Roman"/>
          <w:sz w:val="22"/>
          <w:szCs w:val="22"/>
          <w:color w:val="auto"/>
        </w:rPr>
      </w:pPr>
    </w:p>
    <w:p>
      <w:pPr>
        <w:ind w:left="1280" w:hanging="624"/>
        <w:spacing w:after="0"/>
        <w:tabs>
          <w:tab w:leader="none" w:pos="12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issue said Warrant Shares in the name of the undersigned or in such other name as is specified below: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2854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54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561340</wp:posOffset>
            </wp:positionV>
            <wp:extent cx="2854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54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964565</wp:posOffset>
            </wp:positionV>
            <wp:extent cx="2854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OF HOLDER]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28543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Signature of Authorized Signatory of Investing Entity</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28543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2854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28543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ASSIGNMENT FORM</w:t>
      </w:r>
    </w:p>
    <w:p>
      <w:pPr>
        <w:spacing w:after="0" w:line="20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i w:val="1"/>
          <w:iCs w:val="1"/>
          <w:color w:val="auto"/>
        </w:rPr>
        <w:t>(To assign the foregoing Warrant, execute this form and supply required information. Do not use this form to exercise the Warrant to purchase shares.)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VALUE RECEIVED, the foregoing Warrant and all rights evidenced thereby are hereby assigned to</w:t>
      </w:r>
    </w:p>
    <w:p>
      <w:pPr>
        <w:spacing w:after="0" w:line="2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-22860</wp:posOffset>
            </wp:positionV>
            <wp:extent cx="30175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ind w:left="6400"/>
        <w:spacing w:after="0"/>
        <w:rPr>
          <w:sz w:val="20"/>
          <w:szCs w:val="20"/>
          <w:color w:val="auto"/>
        </w:rPr>
      </w:pPr>
      <w:r>
        <w:rPr>
          <w:rFonts w:ascii="Times New Roman" w:cs="Times New Roman" w:eastAsia="Times New Roman" w:hAnsi="Times New Roman"/>
          <w:sz w:val="22"/>
          <w:szCs w:val="22"/>
          <w:color w:val="auto"/>
        </w:rPr>
        <w:t>(Please Print)</w:t>
      </w:r>
    </w:p>
    <w:p>
      <w:pPr>
        <w:spacing w:after="0" w:line="20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-22860</wp:posOffset>
            </wp:positionV>
            <wp:extent cx="30175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ind w:left="6400"/>
        <w:spacing w:after="0"/>
        <w:rPr>
          <w:sz w:val="20"/>
          <w:szCs w:val="20"/>
          <w:color w:val="auto"/>
        </w:rPr>
      </w:pPr>
      <w:r>
        <w:rPr>
          <w:rFonts w:ascii="Times New Roman" w:cs="Times New Roman" w:eastAsia="Times New Roman" w:hAnsi="Times New Roman"/>
          <w:sz w:val="22"/>
          <w:szCs w:val="22"/>
          <w:color w:val="auto"/>
        </w:rPr>
        <w:t>(Please Print)</w:t>
      </w:r>
    </w:p>
    <w:p>
      <w:pPr>
        <w:spacing w:after="0" w:line="20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-22860</wp:posOffset>
            </wp:positionV>
            <wp:extent cx="30175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22"/>
          <w:szCs w:val="22"/>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-31750</wp:posOffset>
            </wp:positionV>
            <wp:extent cx="30175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ind w:left="100"/>
        <w:spacing w:after="0" w:line="230" w:lineRule="auto"/>
        <w:rPr>
          <w:sz w:val="20"/>
          <w:szCs w:val="20"/>
          <w:color w:val="auto"/>
        </w:rPr>
      </w:pPr>
      <w:r>
        <w:rPr>
          <w:rFonts w:ascii="Times New Roman" w:cs="Times New Roman" w:eastAsia="Times New Roman" w:hAnsi="Times New Roman"/>
          <w:sz w:val="22"/>
          <w:szCs w:val="22"/>
          <w:color w:val="auto"/>
        </w:rPr>
        <w:t>Dated: ______________</w:t>
      </w:r>
    </w:p>
    <w:p>
      <w:pPr>
        <w:ind w:left="100"/>
        <w:spacing w:after="0" w:line="231" w:lineRule="auto"/>
        <w:rPr>
          <w:sz w:val="20"/>
          <w:szCs w:val="20"/>
          <w:color w:val="auto"/>
        </w:rPr>
      </w:pPr>
      <w:r>
        <w:rPr>
          <w:rFonts w:ascii="Times New Roman" w:cs="Times New Roman" w:eastAsia="Times New Roman" w:hAnsi="Times New Roman"/>
          <w:sz w:val="22"/>
          <w:szCs w:val="22"/>
          <w:color w:val="auto"/>
        </w:rPr>
        <w:t>Holder’s Signature:</w:t>
      </w:r>
    </w:p>
    <w:p>
      <w:pPr>
        <w:ind w:left="100"/>
        <w:spacing w:after="0"/>
        <w:rPr>
          <w:sz w:val="20"/>
          <w:szCs w:val="20"/>
          <w:color w:val="auto"/>
        </w:rPr>
      </w:pPr>
      <w:r>
        <w:rPr>
          <w:rFonts w:ascii="Times New Roman" w:cs="Times New Roman" w:eastAsia="Times New Roman" w:hAnsi="Times New Roman"/>
          <w:sz w:val="22"/>
          <w:szCs w:val="22"/>
          <w:color w:val="auto"/>
        </w:rPr>
        <w:t>Holder’s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62" w:name="page63"/>
    <w:bookmarkEnd w:id="62"/>
    <w:p>
      <w:pPr>
        <w:ind w:left="10020"/>
        <w:spacing w:after="0"/>
        <w:rPr>
          <w:sz w:val="20"/>
          <w:szCs w:val="20"/>
          <w:color w:val="auto"/>
        </w:rPr>
      </w:pPr>
      <w:r>
        <w:rPr>
          <w:rFonts w:ascii="Times New Roman" w:cs="Times New Roman" w:eastAsia="Times New Roman" w:hAnsi="Times New Roman"/>
          <w:sz w:val="21"/>
          <w:szCs w:val="21"/>
          <w:b w:val="1"/>
          <w:bCs w:val="1"/>
          <w:color w:val="auto"/>
        </w:rPr>
        <w:t>Exhibit 99.30</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COMMON STOCK PURCHASE WARRANT</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(Class 2)</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BAKKT HOLDINGS, INC.</w:t>
      </w:r>
    </w:p>
    <w:p>
      <w:pPr>
        <w:sectPr>
          <w:pgSz w:w="11900" w:h="16838" w:orient="portrait"/>
          <w:cols w:equalWidth="0" w:num="1">
            <w:col w:w="11240"/>
          </w:cols>
          <w:pgMar w:left="320" w:top="108" w:right="339" w:bottom="1440" w:gutter="0" w:footer="0" w:header="0"/>
        </w:sect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Warrant Shares: 175,440</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Issuance Date</w:t>
      </w:r>
      <w:r>
        <w:rPr>
          <w:rFonts w:ascii="Times New Roman" w:cs="Times New Roman" w:eastAsia="Times New Roman" w:hAnsi="Times New Roman"/>
          <w:sz w:val="22"/>
          <w:szCs w:val="22"/>
          <w:color w:val="auto"/>
        </w:rPr>
        <w:t>: November 3, 2025</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Initial Exercise Date</w:t>
      </w:r>
      <w:r>
        <w:rPr>
          <w:rFonts w:ascii="Times New Roman" w:cs="Times New Roman" w:eastAsia="Times New Roman" w:hAnsi="Times New Roman"/>
          <w:sz w:val="21"/>
          <w:szCs w:val="21"/>
          <w:color w:val="auto"/>
        </w:rPr>
        <w:t>: November 3, 2025</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Termination Date</w:t>
      </w:r>
      <w:r>
        <w:rPr>
          <w:rFonts w:ascii="Times New Roman" w:cs="Times New Roman" w:eastAsia="Times New Roman" w:hAnsi="Times New Roman"/>
          <w:sz w:val="22"/>
          <w:szCs w:val="22"/>
          <w:color w:val="auto"/>
        </w:rPr>
        <w:t>: September 4, 2029</w:t>
      </w:r>
    </w:p>
    <w:p>
      <w:pPr>
        <w:spacing w:after="0" w:line="182" w:lineRule="exact"/>
        <w:rPr>
          <w:sz w:val="20"/>
          <w:szCs w:val="20"/>
          <w:color w:val="auto"/>
        </w:rPr>
      </w:pPr>
    </w:p>
    <w:p>
      <w:pPr>
        <w:sectPr>
          <w:pgSz w:w="11900" w:h="16838" w:orient="portrait"/>
          <w:cols w:equalWidth="0" w:num="2">
            <w:col w:w="6920" w:space="720"/>
            <w:col w:w="3600"/>
          </w:cols>
          <w:pgMar w:left="320" w:top="108" w:right="339" w:bottom="1440" w:gutter="0" w:footer="0" w:header="0"/>
          <w:type w:val="continuous"/>
        </w:sect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THIS COMMON STOCK PURCHASE WARRANT (Class 2) (the “</w:t>
      </w:r>
      <w:r>
        <w:rPr>
          <w:rFonts w:ascii="Times New Roman" w:cs="Times New Roman" w:eastAsia="Times New Roman" w:hAnsi="Times New Roman"/>
          <w:sz w:val="22"/>
          <w:szCs w:val="22"/>
          <w:u w:val="single" w:color="auto"/>
          <w:color w:val="auto"/>
        </w:rPr>
        <w:t>Warrant</w:t>
      </w:r>
      <w:r>
        <w:rPr>
          <w:rFonts w:ascii="Times New Roman" w:cs="Times New Roman" w:eastAsia="Times New Roman" w:hAnsi="Times New Roman"/>
          <w:sz w:val="22"/>
          <w:szCs w:val="22"/>
          <w:color w:val="auto"/>
        </w:rPr>
        <w:t>”) certifies that, for value received, Intercontinental Exchange Holdings, Inc. or its assigns (the “</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is entitled, upon the terms and subject to the limitations on exercise and the conditions hereinafter set forth, at any time on or after November 3, 2025 (the “</w:t>
      </w:r>
      <w:r>
        <w:rPr>
          <w:rFonts w:ascii="Times New Roman" w:cs="Times New Roman" w:eastAsia="Times New Roman" w:hAnsi="Times New Roman"/>
          <w:sz w:val="22"/>
          <w:szCs w:val="22"/>
          <w:u w:val="single" w:color="auto"/>
          <w:color w:val="auto"/>
        </w:rPr>
        <w:t>Initial Exercise Date</w:t>
      </w:r>
      <w:r>
        <w:rPr>
          <w:rFonts w:ascii="Times New Roman" w:cs="Times New Roman" w:eastAsia="Times New Roman" w:hAnsi="Times New Roman"/>
          <w:sz w:val="22"/>
          <w:szCs w:val="22"/>
          <w:color w:val="auto"/>
        </w:rPr>
        <w:t>”) and on or prior to 5:00 p.m. (New York City time) on September 4, 2029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xml:space="preserve">”) but not thereafter, to subscribe for and purchase from </w:t>
      </w:r>
      <w:r>
        <w:rPr>
          <w:rFonts w:ascii="Times New Roman" w:cs="Times New Roman" w:eastAsia="Times New Roman" w:hAnsi="Times New Roman"/>
          <w:sz w:val="22"/>
          <w:szCs w:val="22"/>
          <w:b w:val="1"/>
          <w:bCs w:val="1"/>
          <w:color w:val="auto"/>
        </w:rPr>
        <w:t>BAKKT HOLDINGS, INC</w:t>
      </w:r>
      <w:r>
        <w:rPr>
          <w:rFonts w:ascii="Times New Roman" w:cs="Times New Roman" w:eastAsia="Times New Roman" w:hAnsi="Times New Roman"/>
          <w:sz w:val="22"/>
          <w:szCs w:val="22"/>
          <w:color w:val="auto"/>
        </w:rPr>
        <w:t>.,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up to </w:t>
      </w:r>
      <w:r>
        <w:rPr>
          <w:rFonts w:ascii="Times New Roman" w:cs="Times New Roman" w:eastAsia="Times New Roman" w:hAnsi="Times New Roman"/>
          <w:sz w:val="22"/>
          <w:szCs w:val="22"/>
          <w:b w:val="1"/>
          <w:bCs w:val="1"/>
          <w:color w:val="auto"/>
        </w:rPr>
        <w:t>175,440 shares</w:t>
      </w:r>
      <w:r>
        <w:rPr>
          <w:rFonts w:ascii="Times New Roman" w:cs="Times New Roman" w:eastAsia="Times New Roman" w:hAnsi="Times New Roman"/>
          <w:sz w:val="22"/>
          <w:szCs w:val="22"/>
          <w:color w:val="auto"/>
        </w:rPr>
        <w:t xml:space="preserve"> (as subject to adjustment hereunder, the “</w:t>
      </w:r>
      <w:r>
        <w:rPr>
          <w:rFonts w:ascii="Times New Roman" w:cs="Times New Roman" w:eastAsia="Times New Roman" w:hAnsi="Times New Roman"/>
          <w:sz w:val="22"/>
          <w:szCs w:val="22"/>
          <w:u w:val="single" w:color="auto"/>
          <w:color w:val="auto"/>
        </w:rPr>
        <w:t>Warrant Shares</w:t>
      </w:r>
      <w:r>
        <w:rPr>
          <w:rFonts w:ascii="Times New Roman" w:cs="Times New Roman" w:eastAsia="Times New Roman" w:hAnsi="Times New Roman"/>
          <w:sz w:val="22"/>
          <w:szCs w:val="22"/>
          <w:color w:val="auto"/>
        </w:rPr>
        <w:t>”) of the Company’s Class A Common Stock, par value $0.0001 per share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The purchase price of one share of Common Stock under this Warrant shall be equal to the Exercise Price, as defined in Section 2(b). The Company and the Holder each acknowledge and agree that this Warrant is issued in substitution of and replacement for that certain Common Stock Purchase Warrant (Class 2), issued by Bakkt Intermediate Holdings, Inc. (formerly known as Bakkt Holdings, Inc.) (the “</w:t>
      </w:r>
      <w:r>
        <w:rPr>
          <w:rFonts w:ascii="Times New Roman" w:cs="Times New Roman" w:eastAsia="Times New Roman" w:hAnsi="Times New Roman"/>
          <w:sz w:val="22"/>
          <w:szCs w:val="22"/>
          <w:u w:val="single" w:color="auto"/>
          <w:color w:val="auto"/>
        </w:rPr>
        <w:t>Predecessor Company</w:t>
      </w:r>
      <w:r>
        <w:rPr>
          <w:rFonts w:ascii="Times New Roman" w:cs="Times New Roman" w:eastAsia="Times New Roman" w:hAnsi="Times New Roman"/>
          <w:sz w:val="22"/>
          <w:szCs w:val="22"/>
          <w:color w:val="auto"/>
        </w:rPr>
        <w:t>”), as predecessor to the Company, to the Holder on April 25, 2024 and exercisable until September 4, 2029 (the “</w:t>
      </w:r>
      <w:r>
        <w:rPr>
          <w:rFonts w:ascii="Times New Roman" w:cs="Times New Roman" w:eastAsia="Times New Roman" w:hAnsi="Times New Roman"/>
          <w:sz w:val="22"/>
          <w:szCs w:val="22"/>
          <w:u w:val="single" w:color="auto"/>
          <w:color w:val="auto"/>
        </w:rPr>
        <w:t>Original Warrant</w:t>
      </w:r>
      <w:r>
        <w:rPr>
          <w:rFonts w:ascii="Times New Roman" w:cs="Times New Roman" w:eastAsia="Times New Roman" w:hAnsi="Times New Roman"/>
          <w:sz w:val="22"/>
          <w:szCs w:val="22"/>
          <w:color w:val="auto"/>
        </w:rPr>
        <w:t>”), pursuant to that certain waiver, acknowledgment and consent, dated October 16, 2025, between the purchaser signatory hereto and the Predecessor Company, in respect of the Original Warrant.</w:t>
      </w:r>
    </w:p>
    <w:p>
      <w:pPr>
        <w:spacing w:after="0" w:line="18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 dated February 29, 2024, among the Predecessor Company and the purchaser signatory thereto.</w:t>
      </w:r>
    </w:p>
    <w:p>
      <w:pPr>
        <w:spacing w:after="0" w:line="173"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Exercise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56"/>
        <w:spacing w:after="0" w:line="247" w:lineRule="auto"/>
        <w:tabs>
          <w:tab w:leader="none" w:pos="1279"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Exercise of Warrant</w:t>
      </w:r>
      <w:r>
        <w:rPr>
          <w:rFonts w:ascii="Times New Roman" w:cs="Times New Roman" w:eastAsia="Times New Roman" w:hAnsi="Times New Roman"/>
          <w:sz w:val="21"/>
          <w:szCs w:val="21"/>
          <w:color w:val="auto"/>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Times New Roman" w:cs="Times New Roman" w:eastAsia="Times New Roman" w:hAnsi="Times New Roman"/>
          <w:sz w:val="21"/>
          <w:szCs w:val="21"/>
          <w:u w:val="single" w:color="auto"/>
          <w:color w:val="auto"/>
        </w:rPr>
        <w:t>Notice of Exercise</w:t>
      </w:r>
      <w:r>
        <w:rPr>
          <w:rFonts w:ascii="Times New Roman" w:cs="Times New Roman" w:eastAsia="Times New Roman" w:hAnsi="Times New Roman"/>
          <w:sz w:val="21"/>
          <w:szCs w:val="21"/>
          <w:color w:val="auto"/>
        </w:rPr>
        <w:t>”). Within the earlier of (i) two (2) Trading Days (as defined in Section 2(c) herein) and</w:t>
      </w:r>
    </w:p>
    <w:p>
      <w:pPr>
        <w:spacing w:after="0" w:line="1" w:lineRule="exact"/>
        <w:rPr>
          <w:rFonts w:ascii="Times New Roman" w:cs="Times New Roman" w:eastAsia="Times New Roman" w:hAnsi="Times New Roman"/>
          <w:sz w:val="21"/>
          <w:szCs w:val="21"/>
          <w:color w:val="auto"/>
        </w:rPr>
      </w:pPr>
    </w:p>
    <w:p>
      <w:pPr>
        <w:jc w:val="both"/>
        <w:ind w:firstLine="8"/>
        <w:spacing w:after="0" w:line="243" w:lineRule="auto"/>
        <w:tabs>
          <w:tab w:leader="none" w:pos="334"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Trading Days comprising the Standard Settlement Period (as defined in Section 2(e)(i) herein) following the date of exercise as aforesaid, the Holder shall deliver the aggregate Exercise Price for the number of Warrant Shares specified in the applicable Notice of Exercise by wire transfer or cashier’s check drawn on a United States bank unless the cashless exercise or alternative cashless exercise procedure specified in Section 2(c) or Section 2(d)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63" w:name="page64"/>
    <w:bookmarkEnd w:id="63"/>
    <w:p>
      <w:pPr>
        <w:ind w:right="360"/>
        <w:spacing w:after="0" w:line="235" w:lineRule="auto"/>
        <w:rPr>
          <w:sz w:val="20"/>
          <w:szCs w:val="20"/>
          <w:color w:val="auto"/>
        </w:rPr>
      </w:pPr>
      <w:r>
        <w:rPr>
          <w:rFonts w:ascii="Times New Roman" w:cs="Times New Roman" w:eastAsia="Times New Roman" w:hAnsi="Times New Roman"/>
          <w:sz w:val="22"/>
          <w:szCs w:val="22"/>
          <w:color w:val="auto"/>
        </w:rPr>
        <w:t xml:space="preserve">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22"/>
          <w:szCs w:val="22"/>
          <w:b w:val="1"/>
          <w:bCs w:val="1"/>
          <w:color w:val="auto"/>
        </w:rPr>
        <w:t>The Holder and any assignee, by acceptance of this Warrant,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78" w:lineRule="exact"/>
        <w:rPr>
          <w:sz w:val="20"/>
          <w:szCs w:val="20"/>
          <w:color w:val="auto"/>
        </w:rPr>
      </w:pPr>
    </w:p>
    <w:p>
      <w:pPr>
        <w:ind w:right="20" w:firstLine="656"/>
        <w:spacing w:after="0" w:line="258" w:lineRule="auto"/>
        <w:tabs>
          <w:tab w:leader="none" w:pos="152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The exercise price per share of Common Stock under this Warrant shall be $25.50, subject to adjustment hereunder (the “</w:t>
      </w: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656"/>
        <w:spacing w:after="0" w:line="244" w:lineRule="auto"/>
        <w:tabs>
          <w:tab w:leader="none" w:pos="141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Cashless Exercise</w:t>
      </w:r>
      <w:r>
        <w:rPr>
          <w:rFonts w:ascii="Times New Roman" w:cs="Times New Roman" w:eastAsia="Times New Roman" w:hAnsi="Times New Roman"/>
          <w:sz w:val="22"/>
          <w:szCs w:val="22"/>
          <w:color w:val="auto"/>
        </w:rPr>
        <w:t>. This Warrant may also be exercised, in whole or in part, at any time or times on or after the Initial Exercise Date and on or before the Termination Date by means of a “cashless exercise” in which the Holder shall be entitled to receive a number of Warrant Shares equal to the quotient obtained by dividing [(A-B) (X)] by (A), where:</w:t>
      </w:r>
    </w:p>
    <w:p>
      <w:pPr>
        <w:spacing w:after="0" w:line="173" w:lineRule="exact"/>
        <w:rPr>
          <w:rFonts w:ascii="Times New Roman" w:cs="Times New Roman" w:eastAsia="Times New Roman" w:hAnsi="Times New Roman"/>
          <w:sz w:val="22"/>
          <w:szCs w:val="22"/>
          <w:color w:val="auto"/>
        </w:rPr>
      </w:pPr>
    </w:p>
    <w:p>
      <w:pPr>
        <w:jc w:val="both"/>
        <w:ind w:left="660" w:firstLine="644"/>
        <w:spacing w:after="0" w:line="233" w:lineRule="auto"/>
        <w:tabs>
          <w:tab w:leader="none" w:pos="1668"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4" w:lineRule="exact"/>
        <w:rPr>
          <w:rFonts w:ascii="Times New Roman" w:cs="Times New Roman" w:eastAsia="Times New Roman" w:hAnsi="Times New Roman"/>
          <w:sz w:val="22"/>
          <w:szCs w:val="22"/>
          <w:color w:val="auto"/>
        </w:rPr>
      </w:pPr>
    </w:p>
    <w:p>
      <w:pPr>
        <w:ind w:left="1640" w:hanging="336"/>
        <w:spacing w:after="0"/>
        <w:tabs>
          <w:tab w:leader="none" w:pos="164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the Exercise Price of this Warrant, as adjusted hereunder; and</w:t>
      </w:r>
    </w:p>
    <w:p>
      <w:pPr>
        <w:spacing w:after="0" w:line="206" w:lineRule="exact"/>
        <w:rPr>
          <w:sz w:val="20"/>
          <w:szCs w:val="20"/>
          <w:color w:val="auto"/>
        </w:rPr>
      </w:pPr>
    </w:p>
    <w:p>
      <w:pPr>
        <w:ind w:left="660" w:firstLine="644"/>
        <w:spacing w:after="0" w:line="258" w:lineRule="auto"/>
        <w:tabs>
          <w:tab w:leader="none" w:pos="1675"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the number of Warrant Shares that would be issuable upon exercise of this Warrant in accordance with the terms of this Warrant if such exercise were by means of a cash exercise rather than a cashless exercise.</w:t>
      </w:r>
    </w:p>
    <w:p>
      <w:pPr>
        <w:spacing w:after="0" w:line="15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Bid Price</w:t>
      </w:r>
      <w:r>
        <w:rPr>
          <w:rFonts w:ascii="Times New Roman" w:cs="Times New Roman" w:eastAsia="Times New Roman" w:hAnsi="Times New Roman"/>
          <w:sz w:val="22"/>
          <w:szCs w:val="22"/>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64" w:name="page65"/>
    <w:bookmarkEnd w:id="64"/>
    <w:p>
      <w:pPr>
        <w:ind w:right="100"/>
        <w:spacing w:after="0" w:line="247" w:lineRule="auto"/>
        <w:rPr>
          <w:sz w:val="20"/>
          <w:szCs w:val="20"/>
          <w:color w:val="auto"/>
        </w:rPr>
      </w:pPr>
      <w:r>
        <w:rPr>
          <w:rFonts w:ascii="Times New Roman" w:cs="Times New Roman" w:eastAsia="Times New Roman" w:hAnsi="Times New Roman"/>
          <w:sz w:val="21"/>
          <w:szCs w:val="21"/>
          <w:color w:val="auto"/>
        </w:rPr>
        <w:t>(New York City time)), (b) if the Common Stock is then not listed on a Trading Market and if the Shares are listed or quoted for trading on the OTC Market Group’s OTCQB exchange (“</w:t>
      </w:r>
      <w:r>
        <w:rPr>
          <w:rFonts w:ascii="Times New Roman" w:cs="Times New Roman" w:eastAsia="Times New Roman" w:hAnsi="Times New Roman"/>
          <w:sz w:val="21"/>
          <w:szCs w:val="21"/>
          <w:u w:val="single" w:color="auto"/>
          <w:color w:val="auto"/>
        </w:rPr>
        <w:t>OTCQB</w:t>
      </w:r>
      <w:r>
        <w:rPr>
          <w:rFonts w:ascii="Times New Roman" w:cs="Times New Roman" w:eastAsia="Times New Roman" w:hAnsi="Times New Roman"/>
          <w:sz w:val="21"/>
          <w:szCs w:val="21"/>
          <w:color w:val="auto"/>
        </w:rPr>
        <w:t>”) or OTCQX exchange (“</w:t>
      </w:r>
      <w:r>
        <w:rPr>
          <w:rFonts w:ascii="Times New Roman" w:cs="Times New Roman" w:eastAsia="Times New Roman" w:hAnsi="Times New Roman"/>
          <w:sz w:val="21"/>
          <w:szCs w:val="21"/>
          <w:u w:val="single" w:color="auto"/>
          <w:color w:val="auto"/>
        </w:rPr>
        <w:t>OTCQX</w:t>
      </w:r>
      <w:r>
        <w:rPr>
          <w:rFonts w:ascii="Times New Roman" w:cs="Times New Roman" w:eastAsia="Times New Roman" w:hAnsi="Times New Roman"/>
          <w:sz w:val="21"/>
          <w:szCs w:val="21"/>
          <w:color w:val="auto"/>
        </w:rPr>
        <w: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172"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means any day on which the Trading Market is open for trading, including any day on which the Trading Market is open for trading for a period of time less than the customary time.</w:t>
      </w:r>
    </w:p>
    <w:p>
      <w:pPr>
        <w:spacing w:after="0" w:line="15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Market</w:t>
      </w:r>
      <w:r>
        <w:rPr>
          <w:rFonts w:ascii="Times New Roman" w:cs="Times New Roman" w:eastAsia="Times New Roman" w:hAnsi="Times New Roman"/>
          <w:sz w:val="22"/>
          <w:szCs w:val="22"/>
          <w:color w:val="auto"/>
        </w:rPr>
        <w:t>” means any of the following markets or exchanges on which the shares of Common Stock are listed or quoted for trading on the date in question: the NYSE American, The Nasdaq Capital Market, The Nasdaq Global Market, The Nasdaq Global Select Market, or the New York Stock Exchange (or any successors to any of the foregoing).</w:t>
      </w:r>
    </w:p>
    <w:p>
      <w:pPr>
        <w:spacing w:after="0" w:line="17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VWAP</w:t>
      </w:r>
      <w:r>
        <w:rPr>
          <w:rFonts w:ascii="Times New Roman" w:cs="Times New Roman" w:eastAsia="Times New Roman" w:hAnsi="Times New Roman"/>
          <w:sz w:val="22"/>
          <w:szCs w:val="22"/>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Common Stock is not then listed or quoted on a Trading Market and if the Shares are listed or quoted for trading on OTCQB or OTCQX,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73" w:lineRule="exact"/>
        <w:rPr>
          <w:sz w:val="20"/>
          <w:szCs w:val="20"/>
          <w:color w:val="auto"/>
        </w:rPr>
      </w:pPr>
    </w:p>
    <w:p>
      <w:pPr>
        <w:jc w:val="both"/>
        <w:ind w:firstLine="656"/>
        <w:spacing w:after="0" w:line="234" w:lineRule="auto"/>
        <w:tabs>
          <w:tab w:leader="none" w:pos="14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Alternative Cashless Exercise</w:t>
      </w:r>
      <w:r>
        <w:rPr>
          <w:rFonts w:ascii="Times New Roman" w:cs="Times New Roman" w:eastAsia="Times New Roman" w:hAnsi="Times New Roman"/>
          <w:sz w:val="22"/>
          <w:szCs w:val="22"/>
          <w:color w:val="auto"/>
        </w:rPr>
        <w:t>. After the Company has obtained Stockholder Approval, then, while the Warrant remains outstanding, if at any time during the period beginning on Initial Exercise Date the Reference Value is less than the Exercise Price (the “</w:t>
      </w:r>
      <w:r>
        <w:rPr>
          <w:rFonts w:ascii="Times New Roman" w:cs="Times New Roman" w:eastAsia="Times New Roman" w:hAnsi="Times New Roman"/>
          <w:sz w:val="22"/>
          <w:szCs w:val="22"/>
          <w:u w:val="single" w:color="auto"/>
          <w:color w:val="auto"/>
        </w:rPr>
        <w:t>Trigger Event</w:t>
      </w:r>
      <w:r>
        <w:rPr>
          <w:rFonts w:ascii="Times New Roman" w:cs="Times New Roman" w:eastAsia="Times New Roman" w:hAnsi="Times New Roman"/>
          <w:sz w:val="22"/>
          <w:szCs w:val="22"/>
          <w:color w:val="auto"/>
        </w:rPr>
        <w:t>”), then the Holder shall have the option, exercisable at any time when the Trigger Event shall have occurred or shall be continuing to occur, to effect an “alternative cashless exercise” by providing the Company with a Notice of Exercise specifying the aggregate number of Warrant Shares subject to such alternative cashless exercise with the number of shares issuable upon such alternative cashless exercise being equal to the product of (x) the aggregate number of Warrant Shares subject to the alternative cashless exercise Notice of Exercise (up to the full number of shares that would be issuable upon exercise of this Warrant in accordance with the terms of this Warrant if such exercise were by means of a cash exercise rather than a cashless exercise) and (y) 0.5.</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65" w:name="page66"/>
    <w:bookmarkEnd w:id="65"/>
    <w:p>
      <w:pPr>
        <w:ind w:right="80"/>
        <w:spacing w:after="0" w:line="239" w:lineRule="auto"/>
        <w:rPr>
          <w:sz w:val="20"/>
          <w:szCs w:val="20"/>
          <w:color w:val="auto"/>
        </w:rPr>
      </w:pPr>
      <w:r>
        <w:rPr>
          <w:rFonts w:ascii="Times New Roman" w:cs="Times New Roman" w:eastAsia="Times New Roman" w:hAnsi="Times New Roman"/>
          <w:sz w:val="22"/>
          <w:szCs w:val="22"/>
          <w:color w:val="auto"/>
        </w:rPr>
        <w:t>For purposes of this Warrant, the “Reference Value” shall mean the last reported sales price of the Common Stock for each of the three (3) Trading Days ending on the Trading Day prior to the date on which Notice of Exercise is given. If Warrant Shares are issued in such an alternative cashless exercise, the parties acknowledge and agree that in accordance with Section 3(a)(9) of the Securities Act, the Warrant Shares shall take on the registered characteristics of the Warrants being exercised.</w:t>
      </w:r>
    </w:p>
    <w:p>
      <w:pPr>
        <w:spacing w:after="0" w:line="180" w:lineRule="exact"/>
        <w:rPr>
          <w:sz w:val="20"/>
          <w:szCs w:val="20"/>
          <w:color w:val="auto"/>
        </w:rPr>
      </w:pPr>
    </w:p>
    <w:p>
      <w:pPr>
        <w:ind w:left="1240" w:hanging="584"/>
        <w:spacing w:after="0"/>
        <w:tabs>
          <w:tab w:leader="none" w:pos="124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Mechanics of Exercise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296"/>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010000"/>
        </w:rPr>
        <w:t xml:space="preserve">i. </w:t>
      </w:r>
      <w:r>
        <w:rPr>
          <w:rFonts w:ascii="Times New Roman" w:cs="Times New Roman" w:eastAsia="Times New Roman" w:hAnsi="Times New Roman"/>
          <w:sz w:val="21"/>
          <w:szCs w:val="21"/>
          <w:u w:val="single" w:color="auto"/>
          <w:color w:val="000000"/>
        </w:rPr>
        <w:t>Delivery of Warrant Shares Upon Exercise</w:t>
      </w:r>
      <w:r>
        <w:rPr>
          <w:rFonts w:ascii="Times New Roman" w:cs="Times New Roman" w:eastAsia="Times New Roman" w:hAnsi="Times New Roman"/>
          <w:sz w:val="21"/>
          <w:szCs w:val="21"/>
          <w:color w:val="000000"/>
        </w:rPr>
        <w:t>. The Company shall cause the Warrant Shares purchased</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21"/>
          <w:szCs w:val="21"/>
          <w:u w:val="single" w:color="auto"/>
          <w:color w:val="000000"/>
        </w:rPr>
        <w:t>DWAC</w:t>
      </w:r>
      <w:r>
        <w:rPr>
          <w:rFonts w:ascii="Times New Roman" w:cs="Times New Roman" w:eastAsia="Times New Roman" w:hAnsi="Times New Roman"/>
          <w:sz w:val="21"/>
          <w:szCs w:val="21"/>
          <w:color w:val="000000"/>
        </w:rPr>
        <w:t>”) if the Company is then a participant in such system and either (A) there is an effective registration statement permitting the issuance of the Warrant Shares to or resale of the Warrant Shares by the Holder or (B) this Warrant is being exercised via cashless exercise or alternative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(A) the earlier of (i) two (2) Trading Days and (ii) the number of days comprising the Standard Settlement Period, in each case after the delivery to the Company of the Notice of Exercise and (B) one (1) Trading Day after delivery of the aggregate Exercise Price to the Company (such date, the “</w:t>
      </w:r>
      <w:r>
        <w:rPr>
          <w:rFonts w:ascii="Times New Roman" w:cs="Times New Roman" w:eastAsia="Times New Roman" w:hAnsi="Times New Roman"/>
          <w:sz w:val="21"/>
          <w:szCs w:val="21"/>
          <w:u w:val="single" w:color="auto"/>
          <w:color w:val="000000"/>
        </w:rPr>
        <w:t>Warrant Share Delivery Date</w:t>
      </w:r>
      <w:r>
        <w:rPr>
          <w:rFonts w:ascii="Times New Roman" w:cs="Times New Roman" w:eastAsia="Times New Roman" w:hAnsi="Times New Roman"/>
          <w:sz w:val="21"/>
          <w:szCs w:val="21"/>
          <w:color w:val="000000"/>
        </w:rPr>
        <w:t xml:space="preserve">”). Upon delivery of the Notice of Exercise, the Holder shall be deemed for all corporate purposes to have become the holder of record of the Warrant Shares with respect to which this Warrant has been exercised, irrespective of the date of delivery of the Warrant Shares,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that payment of the aggregate Exercise Price (other than in the case of a cashless exercise or alternative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such liquidated damages begin to accrue) for each Trading Day after such Warrant Share Delivery Date until such Warrant Shares are delivered or Holder rescinds such exercise. The Company agrees to maintain a transfer agent that is a participant in the Fast Automated Securities Transfer (“</w:t>
      </w:r>
      <w:r>
        <w:rPr>
          <w:rFonts w:ascii="Times New Roman" w:cs="Times New Roman" w:eastAsia="Times New Roman" w:hAnsi="Times New Roman"/>
          <w:sz w:val="21"/>
          <w:szCs w:val="21"/>
          <w:u w:val="single" w:color="auto"/>
          <w:color w:val="000000"/>
        </w:rPr>
        <w:t>FAST</w:t>
      </w:r>
      <w:r>
        <w:rPr>
          <w:rFonts w:ascii="Times New Roman" w:cs="Times New Roman" w:eastAsia="Times New Roman" w:hAnsi="Times New Roman"/>
          <w:sz w:val="21"/>
          <w:szCs w:val="21"/>
          <w:color w:val="000000"/>
        </w:rPr>
        <w:t>”) program so long as this Warrant remains outstanding and exercisable. As used herein, “</w:t>
      </w:r>
      <w:r>
        <w:rPr>
          <w:rFonts w:ascii="Times New Roman" w:cs="Times New Roman" w:eastAsia="Times New Roman" w:hAnsi="Times New Roman"/>
          <w:sz w:val="21"/>
          <w:szCs w:val="21"/>
          <w:u w:val="single" w:color="auto"/>
          <w:color w:val="000000"/>
        </w:rPr>
        <w:t>Standard Settlement Period</w:t>
      </w:r>
      <w:r>
        <w:rPr>
          <w:rFonts w:ascii="Times New Roman" w:cs="Times New Roman" w:eastAsia="Times New Roman" w:hAnsi="Times New Roman"/>
          <w:sz w:val="21"/>
          <w:szCs w:val="21"/>
          <w:color w:val="000000"/>
        </w:rPr>
        <w:t>” means the standard settlement period, expressed in a number of Trading Days, on the Company’s primary Trading Market with respect to the Common Stock as in effect on the date of delivery of the Notice of Exercise.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66" w:name="page67"/>
    <w:bookmarkEnd w:id="66"/>
    <w:p>
      <w:pPr>
        <w:jc w:val="both"/>
        <w:ind w:left="-20" w:firstLine="1304"/>
        <w:spacing w:after="0" w:line="239" w:lineRule="auto"/>
        <w:tabs>
          <w:tab w:leader="none" w:pos="1985" w:val="left"/>
        </w:tabs>
        <w:numPr>
          <w:ilvl w:val="0"/>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Delivery of New Warrants Upon Exercise</w:t>
      </w:r>
      <w:r>
        <w:rPr>
          <w:rFonts w:ascii="Times New Roman" w:cs="Times New Roman" w:eastAsia="Times New Roman" w:hAnsi="Times New Roman"/>
          <w:sz w:val="22"/>
          <w:szCs w:val="22"/>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80" w:lineRule="exact"/>
        <w:rPr>
          <w:rFonts w:ascii="Times New Roman" w:cs="Times New Roman" w:eastAsia="Times New Roman" w:hAnsi="Times New Roman"/>
          <w:sz w:val="22"/>
          <w:szCs w:val="22"/>
          <w:color w:val="010000"/>
        </w:rPr>
      </w:pPr>
    </w:p>
    <w:p>
      <w:pPr>
        <w:jc w:val="both"/>
        <w:ind w:left="-20" w:firstLine="1304"/>
        <w:spacing w:after="0" w:line="244" w:lineRule="auto"/>
        <w:tabs>
          <w:tab w:leader="none" w:pos="1969" w:val="left"/>
        </w:tabs>
        <w:numPr>
          <w:ilvl w:val="0"/>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Rescission Rights</w:t>
      </w:r>
      <w:r>
        <w:rPr>
          <w:rFonts w:ascii="Times New Roman" w:cs="Times New Roman" w:eastAsia="Times New Roman" w:hAnsi="Times New Roman"/>
          <w:sz w:val="22"/>
          <w:szCs w:val="22"/>
          <w:color w:val="auto"/>
        </w:rPr>
        <w:t>. If the Company fails to cause the Transfer Agent to transmit to the Holder the Warrant Shares pursuant to Section 2(e)(i) by the Warrant Share Delivery Date, then the Holder will have the right to rescind such exercise.</w:t>
      </w:r>
    </w:p>
    <w:p>
      <w:pPr>
        <w:spacing w:after="0" w:line="173" w:lineRule="exact"/>
        <w:rPr>
          <w:rFonts w:ascii="Times New Roman" w:cs="Times New Roman" w:eastAsia="Times New Roman" w:hAnsi="Times New Roman"/>
          <w:sz w:val="22"/>
          <w:szCs w:val="22"/>
          <w:color w:val="010000"/>
        </w:rPr>
      </w:pPr>
    </w:p>
    <w:p>
      <w:pPr>
        <w:jc w:val="both"/>
        <w:ind w:left="-20" w:firstLine="1304"/>
        <w:spacing w:after="0" w:line="243" w:lineRule="auto"/>
        <w:tabs>
          <w:tab w:leader="none" w:pos="1970" w:val="left"/>
        </w:tabs>
        <w:numPr>
          <w:ilvl w:val="0"/>
          <w:numId w:val="7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Compensation for Buy-In on Failure to Timely Deliver Warrant Shares Upon Exercise</w:t>
      </w:r>
      <w:r>
        <w:rPr>
          <w:rFonts w:ascii="Times New Roman" w:cs="Times New Roman" w:eastAsia="Times New Roman" w:hAnsi="Times New Roman"/>
          <w:sz w:val="21"/>
          <w:szCs w:val="21"/>
          <w:color w:val="auto"/>
        </w:rPr>
        <w:t>. In addition to any other rights available to the Holder, if the Company fails to cause the Transfer Agent to transmit to the Holder the Warrant Shares in accordance with the provisions of Section 2(e)(i)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21"/>
          <w:szCs w:val="21"/>
          <w:u w:val="single" w:color="auto"/>
          <w:color w:val="auto"/>
        </w:rPr>
        <w:t>Buy-In</w:t>
      </w:r>
      <w:r>
        <w:rPr>
          <w:rFonts w:ascii="Times New Roman" w:cs="Times New Roman" w:eastAsia="Times New Roman" w:hAnsi="Times New Roman"/>
          <w:sz w:val="21"/>
          <w:szCs w:val="21"/>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this Warrant to purchase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reasonably satisfactory to the Company with respect to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200" w:lineRule="exact"/>
        <w:rPr>
          <w:rFonts w:ascii="Times New Roman" w:cs="Times New Roman" w:eastAsia="Times New Roman" w:hAnsi="Times New Roman"/>
          <w:sz w:val="21"/>
          <w:szCs w:val="21"/>
          <w:color w:val="010000"/>
        </w:rPr>
      </w:pPr>
    </w:p>
    <w:p>
      <w:pPr>
        <w:spacing w:after="0" w:line="228" w:lineRule="exact"/>
        <w:rPr>
          <w:rFonts w:ascii="Times New Roman" w:cs="Times New Roman" w:eastAsia="Times New Roman" w:hAnsi="Times New Roman"/>
          <w:sz w:val="21"/>
          <w:szCs w:val="21"/>
          <w:color w:val="010000"/>
        </w:rPr>
      </w:pPr>
    </w:p>
    <w:p>
      <w:pPr>
        <w:jc w:val="both"/>
        <w:ind w:left="-20" w:firstLine="1304"/>
        <w:spacing w:after="0" w:line="236" w:lineRule="auto"/>
        <w:tabs>
          <w:tab w:leader="none" w:pos="2013" w:val="left"/>
        </w:tabs>
        <w:numPr>
          <w:ilvl w:val="0"/>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Fractional Shares or Scrip</w:t>
      </w:r>
      <w:r>
        <w:rPr>
          <w:rFonts w:ascii="Times New Roman" w:cs="Times New Roman" w:eastAsia="Times New Roman" w:hAnsi="Times New Roman"/>
          <w:sz w:val="22"/>
          <w:szCs w:val="22"/>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 As to any fraction of a share which the Holder would otherwise be entitled to upon an alternative cashless exercise pursuant to Section 2(d), the Company shall round down the number of shares deliverable upon redemption to the next whole share.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030" w:right="339" w:bottom="1440" w:gutter="0" w:footer="0" w:header="0"/>
        </w:sectPr>
      </w:pPr>
    </w:p>
    <w:bookmarkStart w:id="67" w:name="page68"/>
    <w:bookmarkEnd w:id="67"/>
    <w:p>
      <w:pPr>
        <w:jc w:val="both"/>
        <w:ind w:left="-20" w:firstLine="1304"/>
        <w:spacing w:after="0" w:line="234" w:lineRule="auto"/>
        <w:tabs>
          <w:tab w:leader="none" w:pos="1903" w:val="left"/>
        </w:tabs>
        <w:numPr>
          <w:ilvl w:val="1"/>
          <w:numId w:val="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Charges, Taxes and Expenses</w:t>
      </w:r>
      <w:r>
        <w:rPr>
          <w:rFonts w:ascii="Times New Roman" w:cs="Times New Roman" w:eastAsia="Times New Roman" w:hAnsi="Times New Roman"/>
          <w:sz w:val="22"/>
          <w:szCs w:val="22"/>
          <w:color w:val="auto"/>
        </w:rPr>
        <w:t xml:space="preserve">. Issuance and delivery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3" w:lineRule="exact"/>
        <w:rPr>
          <w:rFonts w:ascii="Times New Roman" w:cs="Times New Roman" w:eastAsia="Times New Roman" w:hAnsi="Times New Roman"/>
          <w:sz w:val="22"/>
          <w:szCs w:val="22"/>
          <w:color w:val="010000"/>
        </w:rPr>
      </w:pPr>
    </w:p>
    <w:p>
      <w:pPr>
        <w:ind w:left="-20" w:firstLine="1304"/>
        <w:spacing w:after="0" w:line="258" w:lineRule="auto"/>
        <w:tabs>
          <w:tab w:leader="none" w:pos="2120" w:val="left"/>
        </w:tabs>
        <w:numPr>
          <w:ilvl w:val="1"/>
          <w:numId w:val="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Closing of Books</w:t>
      </w:r>
      <w:r>
        <w:rPr>
          <w:rFonts w:ascii="Times New Roman" w:cs="Times New Roman" w:eastAsia="Times New Roman" w:hAnsi="Times New Roman"/>
          <w:sz w:val="22"/>
          <w:szCs w:val="22"/>
          <w:color w:val="auto"/>
        </w:rPr>
        <w:t>. The Company will not close its stockholder books or records in any manner which prevents the timely exercise of this Warrant, pursuant to the terms hereof.</w:t>
      </w:r>
    </w:p>
    <w:p>
      <w:pPr>
        <w:spacing w:after="0" w:line="158" w:lineRule="exact"/>
        <w:rPr>
          <w:rFonts w:ascii="Times New Roman" w:cs="Times New Roman" w:eastAsia="Times New Roman" w:hAnsi="Times New Roman"/>
          <w:sz w:val="22"/>
          <w:szCs w:val="22"/>
          <w:color w:val="010000"/>
        </w:rPr>
      </w:pPr>
    </w:p>
    <w:p>
      <w:pPr>
        <w:jc w:val="both"/>
        <w:ind w:left="-20" w:firstLine="656"/>
        <w:spacing w:after="0" w:line="232" w:lineRule="auto"/>
        <w:tabs>
          <w:tab w:leader="none" w:pos="132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Holder’s Exercise Limitations</w:t>
      </w:r>
      <w:r>
        <w:rPr>
          <w:rFonts w:ascii="Times New Roman" w:cs="Times New Roman" w:eastAsia="Times New Roman" w:hAnsi="Times New Roman"/>
          <w:sz w:val="22"/>
          <w:szCs w:val="22"/>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22"/>
          <w:szCs w:val="22"/>
          <w:u w:val="single" w:color="auto"/>
          <w:color w:val="auto"/>
        </w:rPr>
        <w:t>Attribution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2(f),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2(f)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030" w:right="339" w:bottom="1440" w:gutter="0" w:footer="0" w:header="0"/>
        </w:sectPr>
      </w:pPr>
    </w:p>
    <w:bookmarkStart w:id="68" w:name="page69"/>
    <w:bookmarkEnd w:id="68"/>
    <w:p>
      <w:pPr>
        <w:spacing w:after="0" w:line="242" w:lineRule="auto"/>
        <w:rPr>
          <w:sz w:val="20"/>
          <w:szCs w:val="20"/>
          <w:color w:val="auto"/>
        </w:rPr>
      </w:pPr>
      <w:r>
        <w:rPr>
          <w:rFonts w:ascii="Times New Roman" w:cs="Times New Roman" w:eastAsia="Times New Roman" w:hAnsi="Times New Roman"/>
          <w:sz w:val="21"/>
          <w:szCs w:val="21"/>
          <w:color w:val="auto"/>
        </w:rPr>
        <w:t>and of which portion of this Warrant is exercisable, in each case subject to the Beneficial Ownership Limitation, and the Company shall have no obligation to verify or confirm the accuracy of such determination and shall have no liability for exercises of this Warrant that are not in compliance with the Beneficial Ownership Limitation (other than to the extent that information on the number of outstanding shares of Common Stock is provided by the Company, either directly or through one or more public filings, and relied upon by the Holder).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and shall have no liability for exercises of this Warrant that are not in compliance with the Beneficial Ownership Limitation (other than to the extent that information on the number of outstanding shares of Common Stock is provided by the Company, either directly or through one or more public filings, and relied upon by the Holder). For purposes of this Section 2(f),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21"/>
          <w:szCs w:val="21"/>
          <w:u w:val="single" w:color="auto"/>
          <w:color w:val="auto"/>
        </w:rPr>
        <w:t>Beneficial Ownership Limitation</w:t>
      </w:r>
      <w:r>
        <w:rPr>
          <w:rFonts w:ascii="Times New Roman" w:cs="Times New Roman" w:eastAsia="Times New Roman" w:hAnsi="Times New Roman"/>
          <w:sz w:val="21"/>
          <w:szCs w:val="21"/>
          <w:color w:val="auto"/>
        </w:rPr>
        <w:t>” shall be 4.99% (or, at the election of the Holder prior to the issuance of this Warrant, 9.99%) of the number of shares of the Common Stock outstanding immediately after giving effect to the issuance of shares of Common Stock issuable upon exercise of this Warrant. The Holder, upon written notice to the Company, may increase or decrease the Beneficial Ownership Limitation provisions of this Section 2(f),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2(f)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2(f)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If this Warrant is unexercisable as a result of the Holder’s Beneficial Ownership Limitation, no alternate consideration is owing to the Holder. For the avoidance of doubt, the restrictions on exercise of any portion of this Warrant in this Section 2(f), the restrictions on participation in any Purchase Right in Section 3(b) and the restrictions on participation in any Distribution in Section 3(c) shall not prevent or limit any such exercise or participation by the Holder if the number of shares of Common Stock beneficially owned by the Holder and its Affiliates and Attribution Parties immediately prior to giving effect to such exercise or participation exceeds 9.99% of the number of shares of the Common Stock outstanding immediately prior to giving effect to such exercise or participation.</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0" w:right="359" w:bottom="1440" w:gutter="0" w:footer="0" w:header="0"/>
        </w:sectPr>
      </w:pPr>
    </w:p>
    <w:bookmarkStart w:id="69" w:name="page70"/>
    <w:bookmarkEnd w:id="69"/>
    <w:p>
      <w:pPr>
        <w:ind w:left="640"/>
        <w:spacing w:after="0"/>
        <w:tabs>
          <w:tab w:leader="none" w:pos="186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u w:val="single" w:color="auto"/>
          <w:color w:val="auto"/>
        </w:rPr>
        <w:t>Certain Adjustments; Rights Offering</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 w:firstLine="656"/>
        <w:spacing w:after="0" w:line="233" w:lineRule="auto"/>
        <w:tabs>
          <w:tab w:leader="none" w:pos="155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Dividends and Splits</w:t>
      </w:r>
      <w:r>
        <w:rPr>
          <w:rFonts w:ascii="Times New Roman" w:cs="Times New Roman" w:eastAsia="Times New Roman" w:hAnsi="Times New Roman"/>
          <w:sz w:val="22"/>
          <w:szCs w:val="22"/>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2" w:lineRule="exact"/>
        <w:rPr>
          <w:rFonts w:ascii="Times New Roman" w:cs="Times New Roman" w:eastAsia="Times New Roman" w:hAnsi="Times New Roman"/>
          <w:sz w:val="22"/>
          <w:szCs w:val="22"/>
          <w:color w:val="auto"/>
        </w:rPr>
      </w:pPr>
    </w:p>
    <w:p>
      <w:pPr>
        <w:jc w:val="both"/>
        <w:ind w:left="-20" w:firstLine="656"/>
        <w:spacing w:after="0" w:line="233" w:lineRule="auto"/>
        <w:tabs>
          <w:tab w:leader="none" w:pos="140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Subsequent Rights Offerings</w:t>
      </w:r>
      <w:r>
        <w:rPr>
          <w:rFonts w:ascii="Times New Roman" w:cs="Times New Roman" w:eastAsia="Times New Roman" w:hAnsi="Times New Roman"/>
          <w:sz w:val="22"/>
          <w:szCs w:val="22"/>
          <w:color w:val="auto"/>
        </w:rPr>
        <w:t>. If at any time this Warrant is outstanding the Company grants, issues or sells any Common Stock Equivalents or rights to purchase shares, warrants, securities or other property pro rata to all of the record holders of any class of shares of Common Stock (the “</w:t>
      </w:r>
      <w:r>
        <w:rPr>
          <w:rFonts w:ascii="Times New Roman" w:cs="Times New Roman" w:eastAsia="Times New Roman" w:hAnsi="Times New Roman"/>
          <w:sz w:val="22"/>
          <w:szCs w:val="22"/>
          <w:u w:val="single" w:color="auto"/>
          <w:color w:val="auto"/>
        </w:rPr>
        <w:t>Purchase Rights</w:t>
      </w:r>
      <w:r>
        <w:rPr>
          <w:rFonts w:ascii="Times New Roman" w:cs="Times New Roman" w:eastAsia="Times New Roman" w:hAnsi="Times New Roman"/>
          <w:sz w:val="22"/>
          <w:szCs w:val="22"/>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2" w:lineRule="exact"/>
        <w:rPr>
          <w:rFonts w:ascii="Times New Roman" w:cs="Times New Roman" w:eastAsia="Times New Roman" w:hAnsi="Times New Roman"/>
          <w:sz w:val="22"/>
          <w:szCs w:val="22"/>
          <w:color w:val="auto"/>
        </w:rPr>
      </w:pPr>
    </w:p>
    <w:p>
      <w:pPr>
        <w:jc w:val="both"/>
        <w:ind w:left="-20" w:firstLine="656"/>
        <w:spacing w:after="0" w:line="238" w:lineRule="auto"/>
        <w:tabs>
          <w:tab w:leader="none" w:pos="1272"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 Rata Distributions</w:t>
      </w:r>
      <w:r>
        <w:rPr>
          <w:rFonts w:ascii="Times New Roman" w:cs="Times New Roman" w:eastAsia="Times New Roman" w:hAnsi="Times New Roman"/>
          <w:sz w:val="22"/>
          <w:szCs w:val="22"/>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22"/>
          <w:szCs w:val="22"/>
          <w:u w:val="single" w:color="auto"/>
          <w:color w:val="auto"/>
        </w:rPr>
        <w:t>Distribution</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030" w:right="339" w:bottom="1440" w:gutter="0" w:footer="0" w:header="0"/>
        </w:sectPr>
      </w:pPr>
    </w:p>
    <w:bookmarkStart w:id="70" w:name="page71"/>
    <w:bookmarkEnd w:id="70"/>
    <w:p>
      <w:pPr>
        <w:ind w:right="40"/>
        <w:spacing w:after="0" w:line="246" w:lineRule="auto"/>
        <w:rPr>
          <w:sz w:val="20"/>
          <w:szCs w:val="20"/>
          <w:color w:val="auto"/>
        </w:rPr>
      </w:pPr>
      <w:r>
        <w:rPr>
          <w:rFonts w:ascii="Times New Roman" w:cs="Times New Roman" w:eastAsia="Times New Roman" w:hAnsi="Times New Roman"/>
          <w:sz w:val="21"/>
          <w:szCs w:val="21"/>
          <w:color w:val="auto"/>
        </w:rPr>
        <w:t>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71" w:lineRule="exact"/>
        <w:rPr>
          <w:sz w:val="20"/>
          <w:szCs w:val="20"/>
          <w:color w:val="auto"/>
        </w:rPr>
      </w:pPr>
    </w:p>
    <w:p>
      <w:pPr>
        <w:jc w:val="both"/>
        <w:ind w:firstLine="656"/>
        <w:spacing w:after="0" w:line="231" w:lineRule="auto"/>
        <w:tabs>
          <w:tab w:leader="none" w:pos="1305"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Fundamental Transaction</w:t>
      </w:r>
      <w:r>
        <w:rPr>
          <w:rFonts w:ascii="Times New Roman" w:cs="Times New Roman" w:eastAsia="Times New Roman" w:hAnsi="Times New Roman"/>
          <w:sz w:val="22"/>
          <w:szCs w:val="22"/>
          <w:color w:val="auto"/>
        </w:rPr>
        <w:t>. If, at any time while this Warrant is outstanding, (i) the Company, directly or indirectly, in one or more related transactions effects any merger or consolidation of the Company with or into another Person, (ii) the Company (or any subsidiary of the Company), directly or indirectly, effects any sale, lease, license, assignment, transfer, conveyance or other disposition of all or substantially all of the Company’s consolidated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voting power of the common equity of the Company, (iv) the Company, directly or indirectly, in one or more related transactions effects any reclassification, reorganization or recapitalization of shares of Common Stock or any compulsory share exchange pursuant to which the shares of Common Stock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voting power of the common equity of the Company (each, other than an Internal Reorganization (as defined below), a “</w:t>
      </w:r>
      <w:r>
        <w:rPr>
          <w:rFonts w:ascii="Times New Roman" w:cs="Times New Roman" w:eastAsia="Times New Roman" w:hAnsi="Times New Roman"/>
          <w:sz w:val="22"/>
          <w:szCs w:val="22"/>
          <w:u w:val="single" w:color="auto"/>
          <w:color w:val="auto"/>
        </w:rPr>
        <w:t>Fundamental Transaction</w:t>
      </w:r>
      <w:r>
        <w:rPr>
          <w:rFonts w:ascii="Times New Roman" w:cs="Times New Roman" w:eastAsia="Times New Roman" w:hAnsi="Times New Roman"/>
          <w:sz w:val="22"/>
          <w:szCs w:val="22"/>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2(f)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22"/>
          <w:szCs w:val="22"/>
          <w:u w:val="single" w:color="auto"/>
          <w:color w:val="auto"/>
        </w:rPr>
        <w:t>Alternate Consideration</w:t>
      </w:r>
      <w:r>
        <w:rPr>
          <w:rFonts w:ascii="Times New Roman" w:cs="Times New Roman" w:eastAsia="Times New Roman" w:hAnsi="Times New Roman"/>
          <w:sz w:val="22"/>
          <w:szCs w:val="22"/>
          <w:color w:val="auto"/>
        </w:rPr>
        <w:t>”) receivable as a result of such Fundamental Transaction by a holder of the number of shares of Common Stock for which this Warrant is exercisable immediately prior to such Fundamental Transaction (without regard to any limitation in Section 2(f)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71" w:name="page72"/>
    <w:bookmarkEnd w:id="71"/>
    <w:p>
      <w:pPr>
        <w:spacing w:after="0" w:line="242" w:lineRule="auto"/>
        <w:rPr>
          <w:sz w:val="20"/>
          <w:szCs w:val="20"/>
          <w:color w:val="auto"/>
        </w:rPr>
      </w:pPr>
      <w:r>
        <w:rPr>
          <w:rFonts w:ascii="Times New Roman" w:cs="Times New Roman" w:eastAsia="Times New Roman" w:hAnsi="Times New Roman"/>
          <w:sz w:val="21"/>
          <w:szCs w:val="21"/>
          <w:color w:val="auto"/>
        </w:rPr>
        <w:t>The Company shall use commercially reasonable efforts to cause any successor entity in a Fundamental Transaction in which the Company is not the survivor (the “</w:t>
      </w:r>
      <w:r>
        <w:rPr>
          <w:rFonts w:ascii="Times New Roman" w:cs="Times New Roman" w:eastAsia="Times New Roman" w:hAnsi="Times New Roman"/>
          <w:sz w:val="21"/>
          <w:szCs w:val="21"/>
          <w:u w:val="single" w:color="auto"/>
          <w:color w:val="auto"/>
        </w:rPr>
        <w:t>Successor Entity</w:t>
      </w:r>
      <w:r>
        <w:rPr>
          <w:rFonts w:ascii="Times New Roman" w:cs="Times New Roman" w:eastAsia="Times New Roman" w:hAnsi="Times New Roman"/>
          <w:sz w:val="21"/>
          <w:szCs w:val="21"/>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xml:space="preserve">”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Notwithstanding anything to the contrary, the alternative cashless exercise rights contemplated under Section 2(d) shall cease upon the consummation of a Fundamental Transaction. To the extent the Holder is entitled and elects to have this Warrant exercised in accordance with Section 2(d) prior to the consummation of a Fundamental Transaction, the Holder may condition such exercise on the consummation of a Fundamental Transaction, such that the alternative cashless exercise is effected immediately prior to the consummation of a Fundamental Transaction. Notwithstanding anything to the contrary, in the event of a Fundamental Transaction, the Company or any Successor Entity (as defined below) shall, at the Holder’s option, exercisable at any time concurrently with, or within thirty (30) days after, the consummation of the Fundamental Transaction (or, if later, the date of the public announcement of the applicable Fundamental Transaction), purchase this Warrant from the Holder by paying to the Holder, as described below, an amount of cash equal to the Black Scholes Value (as defined below) of the remaining unexercised portion of this Warrant on the date of the consummation of such Fundamental Transaction,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the Fundamental Transaction is not within the Company’s control, including not approved by the board of directors of the Company, Holder shall only be entitled to receive from the Company or any Successor Entity, as of the date of the consummation of such Fundamental Transaction the same type or form of consideration (and in the same proportion), valued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0" w:right="359" w:bottom="1440" w:gutter="0" w:footer="0" w:header="0"/>
        </w:sectPr>
      </w:pPr>
    </w:p>
    <w:bookmarkStart w:id="72" w:name="page73"/>
    <w:bookmarkEnd w:id="72"/>
    <w:p>
      <w:pPr>
        <w:ind w:right="20"/>
        <w:spacing w:after="0" w:line="244" w:lineRule="auto"/>
        <w:rPr>
          <w:sz w:val="20"/>
          <w:szCs w:val="20"/>
          <w:color w:val="auto"/>
        </w:rPr>
      </w:pP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if holders of Common Stock of the Company are not offered or paid any consideration in such Fundamental Transaction, such holders of Common Stock will be deemed to have received shares of the Successor Entity (which Successor Entity may be the Company following such Fundamental Transaction) in such Fundamental Transaction. “</w:t>
      </w:r>
      <w:r>
        <w:rPr>
          <w:rFonts w:ascii="Times New Roman" w:cs="Times New Roman" w:eastAsia="Times New Roman" w:hAnsi="Times New Roman"/>
          <w:sz w:val="21"/>
          <w:szCs w:val="21"/>
          <w:u w:val="single" w:color="auto"/>
          <w:color w:val="auto"/>
        </w:rPr>
        <w:t>Black Scholes Value</w:t>
      </w:r>
      <w:r>
        <w:rPr>
          <w:rFonts w:ascii="Times New Roman" w:cs="Times New Roman" w:eastAsia="Times New Roman" w:hAnsi="Times New Roman"/>
          <w:sz w:val="21"/>
          <w:szCs w:val="21"/>
          <w:color w:val="auto"/>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100%,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announcement of the applicable Fundamental Transaction (or the consummation of the applicable Fundamental Transaction, if earlier) and ending on the Trading Day of the Holder’s request pursuant to this Section 3(d) and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within five Business Days of the Holder’s election (or, if later, on the effective date of the Fundamental Transaction). For the avoidance of doubt, the Holder shall be entitled to the benefits of the provisions of this Section 3(d) regardless of whether the Company has sufficient authorized shares of Common Stock for the issuance of the Warrant Shares.</w:t>
      </w:r>
    </w:p>
    <w:p>
      <w:pPr>
        <w:spacing w:after="0" w:line="173" w:lineRule="exact"/>
        <w:rPr>
          <w:sz w:val="20"/>
          <w:szCs w:val="20"/>
          <w:color w:val="auto"/>
        </w:rPr>
      </w:pPr>
    </w:p>
    <w:p>
      <w:pPr>
        <w:jc w:val="both"/>
        <w:ind w:firstLine="656"/>
        <w:spacing w:after="0" w:line="233" w:lineRule="auto"/>
        <w:tabs>
          <w:tab w:leader="none" w:pos="167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Internal Reorganization</w:t>
      </w:r>
      <w:r>
        <w:rPr>
          <w:rFonts w:ascii="Times New Roman" w:cs="Times New Roman" w:eastAsia="Times New Roman" w:hAnsi="Times New Roman"/>
          <w:sz w:val="22"/>
          <w:szCs w:val="22"/>
          <w:color w:val="auto"/>
        </w:rPr>
        <w:t>. If, at any time while this Warrant is outstanding, the Company consummates any transaction of the type listed in clauses (i) to (v) of Section 3(d) solely with one or more of its Affiliates (each, an “</w:t>
      </w:r>
      <w:r>
        <w:rPr>
          <w:rFonts w:ascii="Times New Roman" w:cs="Times New Roman" w:eastAsia="Times New Roman" w:hAnsi="Times New Roman"/>
          <w:sz w:val="22"/>
          <w:szCs w:val="22"/>
          <w:u w:val="single" w:color="auto"/>
          <w:color w:val="auto"/>
        </w:rPr>
        <w:t>Internal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Reorganization</w:t>
      </w:r>
      <w:r>
        <w:rPr>
          <w:rFonts w:ascii="Times New Roman" w:cs="Times New Roman" w:eastAsia="Times New Roman" w:hAnsi="Times New Roman"/>
          <w:sz w:val="22"/>
          <w:szCs w:val="22"/>
          <w:color w:val="auto"/>
        </w:rPr>
        <w:t>”), then, notwithstanding anything to the contrary in Section 3(d), as a part of such Internal Reorganization, lawful provision shall be made so that the Holder shall thereafter be entitled to receive upon exercise of this Warrant, the kind and amount of securities, cash or other property of the successor entity resulting from such Internal Reorganization, equivalent in value to that which a holder of the Warrant Shares deliverable upon exercise of this Warrant would have been entitled in such Internal Reorganization if the right to purchase the Warrant Shares hereunder had been exercised immediately prior to such Internal Reorganization. In any such case, appropriate adjustment (as determined in good faith by the board of directors or equivalent governing body of the successor entity) shall be made in the application of the provisions of this Warrant with respect to the rights and interests of the Holder after such Internal Reorganization (including provisions for adjustments of the number of securities purchasable and receivable upon the exercise of this Warrant) to the end that the provisions of this Warrant shall be applicable after the event, as near as reasonably may be, in relation to any securities deliverable after that event upon the exercise of this Warrant.</w:t>
      </w:r>
    </w:p>
    <w:p>
      <w:pPr>
        <w:spacing w:after="0" w:line="191" w:lineRule="exact"/>
        <w:rPr>
          <w:rFonts w:ascii="Times New Roman" w:cs="Times New Roman" w:eastAsia="Times New Roman" w:hAnsi="Times New Roman"/>
          <w:sz w:val="22"/>
          <w:szCs w:val="22"/>
          <w:color w:val="auto"/>
        </w:rPr>
      </w:pPr>
    </w:p>
    <w:p>
      <w:pPr>
        <w:jc w:val="both"/>
        <w:ind w:firstLine="656"/>
        <w:spacing w:after="0" w:line="218" w:lineRule="auto"/>
        <w:tabs>
          <w:tab w:leader="none" w:pos="1462"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Calculations</w:t>
      </w:r>
      <w:r>
        <w:rPr>
          <w:rFonts w:ascii="Times New Roman" w:cs="Times New Roman" w:eastAsia="Times New Roman" w:hAnsi="Times New Roman"/>
          <w:sz w:val="22"/>
          <w:szCs w:val="22"/>
          <w:color w:val="auto"/>
        </w:rPr>
        <w:t>. All calculations under this Section 3 shall be made to the nearest cent or the nearest 1/100</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73" w:name="page74"/>
    <w:bookmarkEnd w:id="73"/>
    <w:p>
      <w:pPr>
        <w:ind w:left="1240" w:hanging="604"/>
        <w:spacing w:after="0"/>
        <w:tabs>
          <w:tab w:leader="none" w:pos="124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to Holder</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0" w:firstLine="1304"/>
        <w:spacing w:after="0" w:line="239" w:lineRule="auto"/>
        <w:tabs>
          <w:tab w:leader="none" w:pos="2051" w:val="left"/>
        </w:tabs>
        <w:numPr>
          <w:ilvl w:val="1"/>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Adjustment to Exercise Price</w:t>
      </w:r>
      <w:r>
        <w:rPr>
          <w:rFonts w:ascii="Times New Roman" w:cs="Times New Roman" w:eastAsia="Times New Roman" w:hAnsi="Times New Roman"/>
          <w:sz w:val="22"/>
          <w:szCs w:val="22"/>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180" w:lineRule="exact"/>
        <w:rPr>
          <w:rFonts w:ascii="Times New Roman" w:cs="Times New Roman" w:eastAsia="Times New Roman" w:hAnsi="Times New Roman"/>
          <w:sz w:val="22"/>
          <w:szCs w:val="22"/>
          <w:color w:val="010000"/>
        </w:rPr>
      </w:pPr>
    </w:p>
    <w:p>
      <w:pPr>
        <w:jc w:val="both"/>
        <w:ind w:left="-20" w:firstLine="1304"/>
        <w:spacing w:after="0" w:line="243" w:lineRule="auto"/>
        <w:tabs>
          <w:tab w:leader="none" w:pos="1918" w:val="left"/>
        </w:tabs>
        <w:numPr>
          <w:ilvl w:val="1"/>
          <w:numId w:val="8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Notice to Allow Exercise by Holder</w:t>
      </w:r>
      <w:r>
        <w:rPr>
          <w:rFonts w:ascii="Times New Roman" w:cs="Times New Roman" w:eastAsia="Times New Roman" w:hAnsi="Times New Roman"/>
          <w:sz w:val="21"/>
          <w:szCs w:val="21"/>
          <w:color w:val="auto"/>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shares of Common Stock rights or warrants to subscribe for or purchase any shares of capital stock of any class or any rights, (D) the approval of any stockholders of the Company shall be required in connection with a Fundamental Transaction or an Internal Reorganization,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Company’s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85" w:lineRule="exact"/>
        <w:rPr>
          <w:rFonts w:ascii="Times New Roman" w:cs="Times New Roman" w:eastAsia="Times New Roman" w:hAnsi="Times New Roman"/>
          <w:sz w:val="21"/>
          <w:szCs w:val="21"/>
          <w:color w:val="010000"/>
        </w:rPr>
      </w:pPr>
    </w:p>
    <w:p>
      <w:pPr>
        <w:jc w:val="both"/>
        <w:ind w:left="-20" w:firstLine="656"/>
        <w:spacing w:after="0" w:line="244" w:lineRule="auto"/>
        <w:tabs>
          <w:tab w:leader="none" w:pos="127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Adjustment by Company</w:t>
      </w:r>
      <w:r>
        <w:rPr>
          <w:rFonts w:ascii="Times New Roman" w:cs="Times New Roman" w:eastAsia="Times New Roman" w:hAnsi="Times New Roman"/>
          <w:sz w:val="22"/>
          <w:szCs w:val="22"/>
          <w:color w:val="auto"/>
        </w:rPr>
        <w:t>. Subject to the rules and regulations of the Trading Market, the Company may at any time while this Warrant is outstanding, reduce (temporarily or permanently) the then-current Exercise Price to any amount and for any period of time deemed appropriate by the board of directors of the Company in its sole discretion.</w:t>
      </w:r>
    </w:p>
    <w:p>
      <w:pPr>
        <w:spacing w:after="0" w:line="173"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22"/>
          <w:szCs w:val="22"/>
          <w:color w:val="auto"/>
        </w:rPr>
        <w:t>Section 4.</w:t>
      </w:r>
      <w:r>
        <w:rPr>
          <w:sz w:val="20"/>
          <w:szCs w:val="20"/>
          <w:color w:val="auto"/>
        </w:rPr>
        <w:tab/>
      </w:r>
      <w:r>
        <w:rPr>
          <w:rFonts w:ascii="Times New Roman" w:cs="Times New Roman" w:eastAsia="Times New Roman" w:hAnsi="Times New Roman"/>
          <w:sz w:val="21"/>
          <w:szCs w:val="21"/>
          <w:u w:val="single" w:color="auto"/>
          <w:color w:val="auto"/>
        </w:rPr>
        <w:t>Transfer of Warrant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 w:firstLine="656"/>
        <w:spacing w:after="0" w:line="239" w:lineRule="auto"/>
        <w:tabs>
          <w:tab w:leader="none" w:pos="1407"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030" w:right="339" w:bottom="1440" w:gutter="0" w:footer="0" w:header="0"/>
        </w:sectPr>
      </w:pPr>
    </w:p>
    <w:bookmarkStart w:id="74" w:name="page75"/>
    <w:bookmarkEnd w:id="74"/>
    <w:p>
      <w:pPr>
        <w:ind w:right="20"/>
        <w:spacing w:after="0" w:line="235" w:lineRule="auto"/>
        <w:rPr>
          <w:sz w:val="20"/>
          <w:szCs w:val="20"/>
          <w:color w:val="auto"/>
        </w:rPr>
      </w:pPr>
      <w:r>
        <w:rPr>
          <w:rFonts w:ascii="Times New Roman" w:cs="Times New Roman" w:eastAsia="Times New Roman" w:hAnsi="Times New Roman"/>
          <w:sz w:val="22"/>
          <w:szCs w:val="22"/>
          <w:color w:val="auto"/>
        </w:rPr>
        <w:t>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78" w:lineRule="exact"/>
        <w:rPr>
          <w:sz w:val="20"/>
          <w:szCs w:val="20"/>
          <w:color w:val="auto"/>
        </w:rPr>
      </w:pPr>
    </w:p>
    <w:p>
      <w:pPr>
        <w:jc w:val="both"/>
        <w:ind w:firstLine="656"/>
        <w:spacing w:after="0" w:line="235" w:lineRule="auto"/>
        <w:tabs>
          <w:tab w:leader="none" w:pos="1467"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Warrants</w:t>
      </w:r>
      <w:r>
        <w:rPr>
          <w:rFonts w:ascii="Times New Roman" w:cs="Times New Roman" w:eastAsia="Times New Roman" w:hAnsi="Times New Roman"/>
          <w:sz w:val="22"/>
          <w:szCs w:val="22"/>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maintain the Issuance Date of this Warrant and shall be identical with this Warrant except as to the number of Warrant Shares issuable pursuant thereto.</w:t>
      </w:r>
    </w:p>
    <w:p>
      <w:pPr>
        <w:spacing w:after="0" w:line="183" w:lineRule="exact"/>
        <w:rPr>
          <w:rFonts w:ascii="Times New Roman" w:cs="Times New Roman" w:eastAsia="Times New Roman" w:hAnsi="Times New Roman"/>
          <w:sz w:val="22"/>
          <w:szCs w:val="22"/>
          <w:color w:val="auto"/>
        </w:rPr>
      </w:pPr>
    </w:p>
    <w:p>
      <w:pPr>
        <w:jc w:val="both"/>
        <w:ind w:firstLine="656"/>
        <w:spacing w:after="0" w:line="239" w:lineRule="auto"/>
        <w:tabs>
          <w:tab w:leader="none" w:pos="123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Warrant Register</w:t>
      </w:r>
      <w:r>
        <w:rPr>
          <w:rFonts w:ascii="Times New Roman" w:cs="Times New Roman" w:eastAsia="Times New Roman" w:hAnsi="Times New Roman"/>
          <w:sz w:val="22"/>
          <w:szCs w:val="22"/>
          <w:color w:val="auto"/>
        </w:rPr>
        <w:t>. The Company shall register this Warrant, upon records to be maintained by the Company for that purpose (the “</w:t>
      </w:r>
      <w:r>
        <w:rPr>
          <w:rFonts w:ascii="Times New Roman" w:cs="Times New Roman" w:eastAsia="Times New Roman" w:hAnsi="Times New Roman"/>
          <w:sz w:val="22"/>
          <w:szCs w:val="22"/>
          <w:u w:val="single" w:color="auto"/>
          <w:color w:val="auto"/>
        </w:rPr>
        <w:t>Warrant Register</w:t>
      </w:r>
      <w:r>
        <w:rPr>
          <w:rFonts w:ascii="Times New Roman" w:cs="Times New Roman" w:eastAsia="Times New Roman" w:hAnsi="Times New Roman"/>
          <w:sz w:val="22"/>
          <w:szCs w:val="22"/>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0"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56"/>
        <w:spacing w:after="0" w:line="238" w:lineRule="auto"/>
        <w:tabs>
          <w:tab w:leader="none" w:pos="134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as Stockholder Until Exercise; No Settlement in Cash</w:t>
      </w:r>
      <w:r>
        <w:rPr>
          <w:rFonts w:ascii="Times New Roman" w:cs="Times New Roman" w:eastAsia="Times New Roman" w:hAnsi="Times New Roman"/>
          <w:sz w:val="22"/>
          <w:szCs w:val="22"/>
          <w:color w:val="auto"/>
        </w:rPr>
        <w:t>. This Warrant does not entitle the Holder to any voting rights, dividends or other rights as a stockholder of the Company prior to the exercise hereof as set forth in Section 2(e)(i), except as expressly set forth in Section 3. Without limiting the rights of a Holder to receive Warrant Shares on a “cashless exercise” or an “alternative cashless exercise”, and to receive the cash payments contemplated pursuant to Sections 2(e)(i) and 2(e)(iv), in no event will the Company be required to net cash settle an exercise of this Warrant.</w:t>
      </w:r>
    </w:p>
    <w:p>
      <w:pPr>
        <w:spacing w:after="0" w:line="176" w:lineRule="exact"/>
        <w:rPr>
          <w:rFonts w:ascii="Times New Roman" w:cs="Times New Roman" w:eastAsia="Times New Roman" w:hAnsi="Times New Roman"/>
          <w:sz w:val="22"/>
          <w:szCs w:val="22"/>
          <w:color w:val="auto"/>
        </w:rPr>
      </w:pPr>
    </w:p>
    <w:p>
      <w:pPr>
        <w:jc w:val="both"/>
        <w:ind w:firstLine="656"/>
        <w:spacing w:after="0" w:line="235" w:lineRule="auto"/>
        <w:tabs>
          <w:tab w:leader="none" w:pos="1345"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Loss, Theft, Destruction or Mutilation of Warrant</w:t>
      </w:r>
      <w:r>
        <w:rPr>
          <w:rFonts w:ascii="Times New Roman" w:cs="Times New Roman" w:eastAsia="Times New Roman" w:hAnsi="Times New Roman"/>
          <w:sz w:val="22"/>
          <w:szCs w:val="22"/>
          <w:color w:val="auto"/>
        </w:rPr>
        <w:t>. The Company covenants that upon receipt by the Company of evidence reasonably satisfactory to it of the loss, theft, destruction or mutilation of this Warrant, and in case of loss, theft or destruction, of indemnity or security reasonably satisfactory to it (which shall not include the posting of any bond), and upon surrender and cancellation of such Warrant, if mutilated, the Company will make and deliver a new Warrant of like tenor and dated as of such cancellation, in lieu of such Warrant. The applicant for a new certificate or instrument under such circumstances shall pay any reasonable third-party costs (including customary indemnity) associated with the issuance of such replacement warrant.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75" w:name="page76"/>
    <w:bookmarkEnd w:id="75"/>
    <w:p>
      <w:pPr>
        <w:jc w:val="both"/>
        <w:ind w:firstLine="656"/>
        <w:spacing w:after="0" w:line="244" w:lineRule="auto"/>
        <w:tabs>
          <w:tab w:leader="none" w:pos="1292"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Saturdays, Sundays, Holidays, etc</w:t>
      </w:r>
      <w:r>
        <w:rPr>
          <w:rFonts w:ascii="Times New Roman" w:cs="Times New Roman" w:eastAsia="Times New Roman" w:hAnsi="Times New Roman"/>
          <w:sz w:val="22"/>
          <w:szCs w:val="22"/>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73" w:lineRule="exact"/>
        <w:rPr>
          <w:rFonts w:ascii="Times New Roman" w:cs="Times New Roman" w:eastAsia="Times New Roman" w:hAnsi="Times New Roman"/>
          <w:sz w:val="22"/>
          <w:szCs w:val="22"/>
          <w:color w:val="auto"/>
        </w:rPr>
      </w:pPr>
    </w:p>
    <w:p>
      <w:pPr>
        <w:jc w:val="both"/>
        <w:ind w:firstLine="656"/>
        <w:spacing w:after="0" w:line="242" w:lineRule="auto"/>
        <w:tabs>
          <w:tab w:leader="none" w:pos="1332"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Authorized Shares</w:t>
      </w:r>
      <w:r>
        <w:rPr>
          <w:rFonts w:ascii="Times New Roman" w:cs="Times New Roman" w:eastAsia="Times New Roman" w:hAnsi="Times New Roman"/>
          <w:sz w:val="21"/>
          <w:szCs w:val="21"/>
          <w:color w:val="auto"/>
        </w:rPr>
        <w:t>. The Company covenants that, at all times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that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 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w:t>
      </w:r>
    </w:p>
    <w:p>
      <w:pPr>
        <w:spacing w:after="0" w:line="14" w:lineRule="exact"/>
        <w:rPr>
          <w:rFonts w:ascii="Times New Roman" w:cs="Times New Roman" w:eastAsia="Times New Roman" w:hAnsi="Times New Roman"/>
          <w:sz w:val="21"/>
          <w:szCs w:val="21"/>
          <w:color w:val="auto"/>
        </w:rPr>
      </w:pPr>
    </w:p>
    <w:p>
      <w:pPr>
        <w:ind w:firstLine="8"/>
        <w:spacing w:after="0" w:line="237" w:lineRule="auto"/>
        <w:tabs>
          <w:tab w:leader="none" w:pos="40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7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3" w:lineRule="exact"/>
        <w:rPr>
          <w:sz w:val="20"/>
          <w:szCs w:val="20"/>
          <w:color w:val="auto"/>
        </w:rPr>
      </w:pPr>
    </w:p>
    <w:p>
      <w:pPr>
        <w:ind w:firstLine="656"/>
        <w:spacing w:after="0" w:line="258" w:lineRule="auto"/>
        <w:tabs>
          <w:tab w:leader="none" w:pos="145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Jurisdiction</w:t>
      </w:r>
      <w:r>
        <w:rPr>
          <w:rFonts w:ascii="Times New Roman" w:cs="Times New Roman" w:eastAsia="Times New Roman" w:hAnsi="Times New Roman"/>
          <w:sz w:val="22"/>
          <w:szCs w:val="22"/>
          <w:color w:val="auto"/>
        </w:rPr>
        <w:t>. All questions concerning the construction, validity, enforcement and interpretation of this Warrant shall be determined in accordance with the provisions of the Purchase Agreement.</w:t>
      </w:r>
    </w:p>
    <w:p>
      <w:pPr>
        <w:spacing w:after="0" w:line="158" w:lineRule="exact"/>
        <w:rPr>
          <w:rFonts w:ascii="Times New Roman" w:cs="Times New Roman" w:eastAsia="Times New Roman" w:hAnsi="Times New Roman"/>
          <w:sz w:val="22"/>
          <w:szCs w:val="22"/>
          <w:color w:val="auto"/>
        </w:rPr>
      </w:pPr>
    </w:p>
    <w:p>
      <w:pPr>
        <w:jc w:val="both"/>
        <w:ind w:firstLine="656"/>
        <w:spacing w:after="0" w:line="244" w:lineRule="auto"/>
        <w:tabs>
          <w:tab w:leader="none" w:pos="135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w:t>
      </w:r>
      <w:r>
        <w:rPr>
          <w:rFonts w:ascii="Times New Roman" w:cs="Times New Roman" w:eastAsia="Times New Roman" w:hAnsi="Times New Roman"/>
          <w:sz w:val="22"/>
          <w:szCs w:val="22"/>
          <w:color w:val="auto"/>
        </w:rPr>
        <w:t>. The Holder acknowledges that the Warrant Shares acquired upon the exercise of this Warrant, if not registered, and the Holder does not utilize cashless exercise or alternative cashless exercise, will have restrictions upon resale imposed by state and federal securities laws.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76" w:name="page77"/>
    <w:bookmarkEnd w:id="76"/>
    <w:p>
      <w:pPr>
        <w:jc w:val="both"/>
        <w:ind w:left="-20" w:firstLine="656"/>
        <w:spacing w:after="0" w:line="235" w:lineRule="auto"/>
        <w:tabs>
          <w:tab w:leader="none" w:pos="1312"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Nonwaiver and Expenses</w:t>
      </w:r>
      <w:r>
        <w:rPr>
          <w:rFonts w:ascii="Times New Roman" w:cs="Times New Roman" w:eastAsia="Times New Roman" w:hAnsi="Times New Roman"/>
          <w:sz w:val="22"/>
          <w:szCs w:val="22"/>
          <w:color w:val="auto"/>
        </w:rPr>
        <w:t>. No course of dealing or any delay or failure to exercise any right hereunder on the part of Holder shall operate as a waiver of such right or otherwise prejudice the Holder’s rights, powers or remedies. For the avoidance of doubt, the foregoing shall in no way modify or qualify the right to exercise this Warrant terminating on the Termination Date. Without limiting any other provision of this Warrant, if the Company willfully and knowingly fails to comply with any provision of this Warrant or the Purchase Agreement,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78" w:lineRule="exact"/>
        <w:rPr>
          <w:rFonts w:ascii="Times New Roman" w:cs="Times New Roman" w:eastAsia="Times New Roman" w:hAnsi="Times New Roman"/>
          <w:sz w:val="22"/>
          <w:szCs w:val="22"/>
          <w:color w:val="auto"/>
        </w:rPr>
      </w:pPr>
    </w:p>
    <w:p>
      <w:pPr>
        <w:ind w:left="-20" w:firstLine="656"/>
        <w:spacing w:after="0" w:line="258" w:lineRule="auto"/>
        <w:tabs>
          <w:tab w:leader="none" w:pos="127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request or other document required or permitted to be given or delivered to the Holder by the Company shall be delivered in accordance with the notice provisions of the Purchase Agreement.</w:t>
      </w:r>
    </w:p>
    <w:p>
      <w:pPr>
        <w:spacing w:after="0" w:line="158" w:lineRule="exact"/>
        <w:rPr>
          <w:rFonts w:ascii="Times New Roman" w:cs="Times New Roman" w:eastAsia="Times New Roman" w:hAnsi="Times New Roman"/>
          <w:sz w:val="22"/>
          <w:szCs w:val="22"/>
          <w:color w:val="auto"/>
        </w:rPr>
      </w:pPr>
    </w:p>
    <w:p>
      <w:pPr>
        <w:jc w:val="both"/>
        <w:ind w:left="-20" w:right="20" w:firstLine="656"/>
        <w:spacing w:after="0" w:line="239" w:lineRule="auto"/>
        <w:tabs>
          <w:tab w:leader="none" w:pos="1254"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shares of Common Stock or as a stockholder of the Company, whether such liability is asserted by the Company or by creditors of the Company.</w:t>
      </w:r>
    </w:p>
    <w:p>
      <w:pPr>
        <w:spacing w:after="0" w:line="180" w:lineRule="exact"/>
        <w:rPr>
          <w:rFonts w:ascii="Times New Roman" w:cs="Times New Roman" w:eastAsia="Times New Roman" w:hAnsi="Times New Roman"/>
          <w:sz w:val="22"/>
          <w:szCs w:val="22"/>
          <w:color w:val="auto"/>
        </w:rPr>
      </w:pPr>
    </w:p>
    <w:p>
      <w:pPr>
        <w:jc w:val="both"/>
        <w:ind w:left="-20" w:firstLine="656"/>
        <w:spacing w:after="0" w:line="238" w:lineRule="auto"/>
        <w:tabs>
          <w:tab w:leader="none" w:pos="143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6" w:lineRule="exact"/>
        <w:rPr>
          <w:rFonts w:ascii="Times New Roman" w:cs="Times New Roman" w:eastAsia="Times New Roman" w:hAnsi="Times New Roman"/>
          <w:sz w:val="22"/>
          <w:szCs w:val="22"/>
          <w:color w:val="auto"/>
        </w:rPr>
      </w:pPr>
    </w:p>
    <w:p>
      <w:pPr>
        <w:jc w:val="both"/>
        <w:ind w:left="-20" w:firstLine="656"/>
        <w:spacing w:after="0" w:line="239" w:lineRule="auto"/>
        <w:tabs>
          <w:tab w:leader="none" w:pos="167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80" w:lineRule="exact"/>
        <w:rPr>
          <w:rFonts w:ascii="Times New Roman" w:cs="Times New Roman" w:eastAsia="Times New Roman" w:hAnsi="Times New Roman"/>
          <w:sz w:val="22"/>
          <w:szCs w:val="22"/>
          <w:color w:val="auto"/>
        </w:rPr>
      </w:pPr>
    </w:p>
    <w:p>
      <w:pPr>
        <w:ind w:left="-20" w:firstLine="656"/>
        <w:spacing w:after="0" w:line="258" w:lineRule="auto"/>
        <w:tabs>
          <w:tab w:leader="none" w:pos="1295"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Warrant may be modified or amended or the provisions hereof waived with the written consent of the Company, on the one hand, and the Holder of this Warrant, on the other hand.</w:t>
      </w:r>
    </w:p>
    <w:p>
      <w:pPr>
        <w:spacing w:after="0" w:line="158" w:lineRule="exact"/>
        <w:rPr>
          <w:rFonts w:ascii="Times New Roman" w:cs="Times New Roman" w:eastAsia="Times New Roman" w:hAnsi="Times New Roman"/>
          <w:sz w:val="22"/>
          <w:szCs w:val="22"/>
          <w:color w:val="auto"/>
        </w:rPr>
      </w:pPr>
    </w:p>
    <w:p>
      <w:pPr>
        <w:jc w:val="both"/>
        <w:ind w:left="-20" w:firstLine="656"/>
        <w:spacing w:after="0" w:line="239" w:lineRule="auto"/>
        <w:tabs>
          <w:tab w:leader="none" w:pos="1525"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030" w:right="339" w:bottom="1440" w:gutter="0" w:footer="0" w:header="0"/>
        </w:sectPr>
      </w:pPr>
    </w:p>
    <w:bookmarkStart w:id="77" w:name="page78"/>
    <w:bookmarkEnd w:id="77"/>
    <w:p>
      <w:pPr>
        <w:ind w:left="-20" w:firstLine="656"/>
        <w:spacing w:after="0" w:line="258" w:lineRule="auto"/>
        <w:tabs>
          <w:tab w:leader="none" w:pos="150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used in this Warrant are for the convenience of reference only and shall not, for any purpose, be deemed a part of this Warrant.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030" w:right="339" w:bottom="1440" w:gutter="0" w:footer="0" w:header="0"/>
        </w:sectPr>
      </w:pPr>
    </w:p>
    <w:bookmarkStart w:id="78" w:name="page79"/>
    <w:bookmarkEnd w:id="78"/>
    <w:p>
      <w:pPr>
        <w:ind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Company has caused this Warrant to be executed by its officer thereunto duly authorized as of the date first above indicated.</w:t>
      </w:r>
    </w:p>
    <w:p>
      <w:pPr>
        <w:spacing w:after="0" w:line="39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BAKKT HOLDINGS, INC.</w:t>
      </w:r>
    </w:p>
    <w:p>
      <w:pPr>
        <w:spacing w:after="0" w:line="237" w:lineRule="exact"/>
        <w:rPr>
          <w:sz w:val="20"/>
          <w:szCs w:val="20"/>
          <w:color w:val="auto"/>
        </w:rPr>
      </w:pPr>
    </w:p>
    <w:p>
      <w:pPr>
        <w:ind w:left="5080"/>
        <w:spacing w:after="0"/>
        <w:tabs>
          <w:tab w:leader="none" w:pos="57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10795</wp:posOffset>
            </wp:positionV>
            <wp:extent cx="32061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5740"/>
        <w:spacing w:after="0"/>
        <w:rPr>
          <w:sz w:val="20"/>
          <w:szCs w:val="20"/>
          <w:color w:val="auto"/>
        </w:rPr>
      </w:pPr>
      <w:r>
        <w:rPr>
          <w:rFonts w:ascii="Times New Roman" w:cs="Times New Roman" w:eastAsia="Times New Roman" w:hAnsi="Times New Roman"/>
          <w:sz w:val="22"/>
          <w:szCs w:val="22"/>
          <w:color w:val="auto"/>
        </w:rPr>
        <w:t>Name: Marc D’Annunzio</w:t>
      </w:r>
    </w:p>
    <w:p>
      <w:pPr>
        <w:ind w:left="5740"/>
        <w:spacing w:after="0"/>
        <w:rPr>
          <w:sz w:val="20"/>
          <w:szCs w:val="20"/>
          <w:color w:val="auto"/>
        </w:rPr>
      </w:pPr>
      <w:r>
        <w:rPr>
          <w:rFonts w:ascii="Times New Roman" w:cs="Times New Roman" w:eastAsia="Times New Roman" w:hAnsi="Times New Roman"/>
          <w:sz w:val="22"/>
          <w:szCs w:val="22"/>
          <w:color w:val="auto"/>
        </w:rPr>
        <w:t>Title: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Common Stock Purchase Warrant (Class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NOTICE OF EXERCISE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TO: </w:t>
      </w:r>
      <w:r>
        <w:rPr>
          <w:rFonts w:ascii="Times New Roman" w:cs="Times New Roman" w:eastAsia="Times New Roman" w:hAnsi="Times New Roman"/>
          <w:sz w:val="22"/>
          <w:szCs w:val="22"/>
          <w:b w:val="1"/>
          <w:bCs w:val="1"/>
          <w:color w:val="auto"/>
        </w:rPr>
        <w:t>BAKKT HOLDINGS, INC.</w:t>
      </w:r>
    </w:p>
    <w:p>
      <w:pPr>
        <w:spacing w:after="0" w:line="210" w:lineRule="exact"/>
        <w:rPr>
          <w:sz w:val="20"/>
          <w:szCs w:val="20"/>
          <w:color w:val="auto"/>
        </w:rPr>
      </w:pPr>
    </w:p>
    <w:p>
      <w:pPr>
        <w:jc w:val="both"/>
        <w:ind w:firstLine="656"/>
        <w:spacing w:after="0" w:line="244" w:lineRule="auto"/>
        <w:tabs>
          <w:tab w:leader="none" w:pos="1313"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hereby elects to purchase _____________ Warrant Shares of the Company pursuant to the terms of the attached Warrant (only if exercised in full), and tenders herewith payment of the exercise price in full, together with all applicable transfer taxes, if any.</w:t>
      </w:r>
    </w:p>
    <w:p>
      <w:pPr>
        <w:spacing w:after="0" w:line="173" w:lineRule="exact"/>
        <w:rPr>
          <w:rFonts w:ascii="Times New Roman" w:cs="Times New Roman" w:eastAsia="Times New Roman" w:hAnsi="Times New Roman"/>
          <w:sz w:val="22"/>
          <w:szCs w:val="22"/>
          <w:color w:val="auto"/>
        </w:rPr>
      </w:pPr>
    </w:p>
    <w:p>
      <w:pPr>
        <w:ind w:left="1300" w:right="5220" w:hanging="644"/>
        <w:spacing w:after="0" w:line="435" w:lineRule="auto"/>
        <w:tabs>
          <w:tab w:leader="none" w:pos="1282"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shall take the form of (check applicable box): [ ] in lawful money of the United States;</w:t>
      </w:r>
    </w:p>
    <w:p>
      <w:pPr>
        <w:spacing w:after="0" w:line="1" w:lineRule="exact"/>
        <w:rPr>
          <w:sz w:val="20"/>
          <w:szCs w:val="20"/>
          <w:color w:val="auto"/>
        </w:rPr>
      </w:pPr>
    </w:p>
    <w:p>
      <w:pPr>
        <w:jc w:val="both"/>
        <w:ind w:left="660" w:firstLine="644"/>
        <w:spacing w:after="0" w:line="244" w:lineRule="auto"/>
        <w:tabs>
          <w:tab w:leader="none" w:pos="144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if permitted the cancellation of such number of Warrant Shares as is necessary, in accordance with the formula set forth in Section 2(c), to exercise this Warrant with respect to the maximum number of Warrant Shares purchasable pursuant to the cashless exercise procedure set forth in Section 2(c); or</w:t>
      </w:r>
    </w:p>
    <w:p>
      <w:pPr>
        <w:spacing w:after="0" w:line="173" w:lineRule="exact"/>
        <w:rPr>
          <w:sz w:val="20"/>
          <w:szCs w:val="20"/>
          <w:color w:val="auto"/>
        </w:rPr>
      </w:pPr>
    </w:p>
    <w:p>
      <w:pPr>
        <w:jc w:val="both"/>
        <w:ind w:left="660" w:firstLine="644"/>
        <w:spacing w:after="0" w:line="244" w:lineRule="auto"/>
        <w:tabs>
          <w:tab w:leader="none" w:pos="1441"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if permitted the cancellation of such number of Warrant Shares as is necessary, in accordance with the formula set forth in Section 2(d), to exercise this Warrant with respect to the maximum number of Warrant Shares purchasable pursuant to the alternative cashless exercise procedure set forth in Section 2(d).</w:t>
      </w:r>
    </w:p>
    <w:p>
      <w:pPr>
        <w:spacing w:after="0" w:line="173" w:lineRule="exact"/>
        <w:rPr>
          <w:rFonts w:ascii="Times New Roman" w:cs="Times New Roman" w:eastAsia="Times New Roman" w:hAnsi="Times New Roman"/>
          <w:sz w:val="22"/>
          <w:szCs w:val="22"/>
          <w:color w:val="auto"/>
        </w:rPr>
      </w:pPr>
    </w:p>
    <w:p>
      <w:pPr>
        <w:ind w:left="1280" w:hanging="624"/>
        <w:spacing w:after="0"/>
        <w:tabs>
          <w:tab w:leader="none" w:pos="128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issue said Warrant Shares in the name of the undersigned or in such other name as is specified below: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2854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54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561340</wp:posOffset>
            </wp:positionV>
            <wp:extent cx="28543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543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964565</wp:posOffset>
            </wp:positionV>
            <wp:extent cx="2854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OF HOLDER]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2854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Signature of Authorized Signatory of Investing Entity</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2854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2854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2854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ASSIGNMENT FORM</w:t>
      </w:r>
    </w:p>
    <w:p>
      <w:pPr>
        <w:spacing w:after="0" w:line="20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i w:val="1"/>
          <w:iCs w:val="1"/>
          <w:color w:val="auto"/>
        </w:rPr>
        <w:t>(To assign the foregoing Warrant, execute this form and supply required information. Do not use this form to exercise the Warrant to purchase shares.)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VALUE RECEIVED, the foregoing Warrant and all rights evidenced thereby are hereby assigned to</w:t>
      </w:r>
    </w:p>
    <w:p>
      <w:pPr>
        <w:spacing w:after="0" w:line="2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-22860</wp:posOffset>
            </wp:positionV>
            <wp:extent cx="30175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ind w:left="6400"/>
        <w:spacing w:after="0"/>
        <w:rPr>
          <w:sz w:val="20"/>
          <w:szCs w:val="20"/>
          <w:color w:val="auto"/>
        </w:rPr>
      </w:pPr>
      <w:r>
        <w:rPr>
          <w:rFonts w:ascii="Times New Roman" w:cs="Times New Roman" w:eastAsia="Times New Roman" w:hAnsi="Times New Roman"/>
          <w:sz w:val="22"/>
          <w:szCs w:val="22"/>
          <w:color w:val="auto"/>
        </w:rPr>
        <w:t>(Please Print)</w:t>
      </w:r>
    </w:p>
    <w:p>
      <w:pPr>
        <w:spacing w:after="0" w:line="20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-22860</wp:posOffset>
            </wp:positionV>
            <wp:extent cx="30175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ind w:left="6400"/>
        <w:spacing w:after="0"/>
        <w:rPr>
          <w:sz w:val="20"/>
          <w:szCs w:val="20"/>
          <w:color w:val="auto"/>
        </w:rPr>
      </w:pPr>
      <w:r>
        <w:rPr>
          <w:rFonts w:ascii="Times New Roman" w:cs="Times New Roman" w:eastAsia="Times New Roman" w:hAnsi="Times New Roman"/>
          <w:sz w:val="22"/>
          <w:szCs w:val="22"/>
          <w:color w:val="auto"/>
        </w:rPr>
        <w:t>(Please Print)</w:t>
      </w:r>
    </w:p>
    <w:p>
      <w:pPr>
        <w:spacing w:after="0" w:line="20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-22860</wp:posOffset>
            </wp:positionV>
            <wp:extent cx="30175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22"/>
          <w:szCs w:val="22"/>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-31750</wp:posOffset>
            </wp:positionV>
            <wp:extent cx="30175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ind w:left="100"/>
        <w:spacing w:after="0" w:line="230" w:lineRule="auto"/>
        <w:rPr>
          <w:sz w:val="20"/>
          <w:szCs w:val="20"/>
          <w:color w:val="auto"/>
        </w:rPr>
      </w:pPr>
      <w:r>
        <w:rPr>
          <w:rFonts w:ascii="Times New Roman" w:cs="Times New Roman" w:eastAsia="Times New Roman" w:hAnsi="Times New Roman"/>
          <w:sz w:val="22"/>
          <w:szCs w:val="22"/>
          <w:color w:val="auto"/>
        </w:rPr>
        <w:t>Dated: ______________</w:t>
      </w:r>
    </w:p>
    <w:p>
      <w:pPr>
        <w:ind w:left="100"/>
        <w:spacing w:after="0" w:line="231" w:lineRule="auto"/>
        <w:rPr>
          <w:sz w:val="20"/>
          <w:szCs w:val="20"/>
          <w:color w:val="auto"/>
        </w:rPr>
      </w:pPr>
      <w:r>
        <w:rPr>
          <w:rFonts w:ascii="Times New Roman" w:cs="Times New Roman" w:eastAsia="Times New Roman" w:hAnsi="Times New Roman"/>
          <w:sz w:val="22"/>
          <w:szCs w:val="22"/>
          <w:color w:val="auto"/>
        </w:rPr>
        <w:t>Holder’s Signature:</w:t>
      </w:r>
    </w:p>
    <w:p>
      <w:pPr>
        <w:ind w:left="100"/>
        <w:spacing w:after="0"/>
        <w:rPr>
          <w:sz w:val="20"/>
          <w:szCs w:val="20"/>
          <w:color w:val="auto"/>
        </w:rPr>
      </w:pPr>
      <w:r>
        <w:rPr>
          <w:rFonts w:ascii="Times New Roman" w:cs="Times New Roman" w:eastAsia="Times New Roman" w:hAnsi="Times New Roman"/>
          <w:sz w:val="22"/>
          <w:szCs w:val="22"/>
          <w:color w:val="auto"/>
        </w:rPr>
        <w:t>Holder’s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FFF902"/>
    <w:multiLevelType w:val="hybridMultilevel"/>
    <w:lvl w:ilvl="0">
      <w:lvlJc w:val="left"/>
      <w:lvlText w:val="2"/>
      <w:numFmt w:val="bullet"/>
      <w:start w:val="1"/>
    </w:lvl>
  </w:abstractNum>
  <w:abstractNum w:abstractNumId="1">
    <w:nsid w:val="684A481A"/>
    <w:multiLevelType w:val="hybridMultilevel"/>
    <w:lvl w:ilvl="0">
      <w:lvlJc w:val="left"/>
      <w:lvlText w:val="3"/>
      <w:numFmt w:val="bullet"/>
      <w:start w:val="1"/>
    </w:lvl>
  </w:abstractNum>
  <w:abstractNum w:abstractNumId="2">
    <w:nsid w:val="579478FE"/>
    <w:multiLevelType w:val="hybridMultilevel"/>
    <w:lvl w:ilvl="0">
      <w:lvlJc w:val="left"/>
      <w:lvlText w:val="2"/>
      <w:numFmt w:val="bullet"/>
      <w:start w:val="1"/>
    </w:lvl>
  </w:abstractNum>
  <w:abstractNum w:abstractNumId="3">
    <w:nsid w:val="749ABB43"/>
    <w:multiLevelType w:val="hybridMultilevel"/>
    <w:lvl w:ilvl="0">
      <w:lvlJc w:val="left"/>
      <w:lvlText w:val="3"/>
      <w:numFmt w:val="bullet"/>
      <w:start w:val="1"/>
    </w:lvl>
  </w:abstractNum>
  <w:abstractNum w:abstractNumId="4">
    <w:nsid w:val="3DC240FB"/>
    <w:multiLevelType w:val="hybridMultilevel"/>
    <w:lvl w:ilvl="0">
      <w:lvlJc w:val="left"/>
      <w:lvlText w:val="(%1)"/>
      <w:numFmt w:val="lowerLetter"/>
      <w:start w:val="1"/>
    </w:lvl>
  </w:abstractNum>
  <w:abstractNum w:abstractNumId="5">
    <w:nsid w:val="1BA026FA"/>
    <w:multiLevelType w:val="hybridMultilevel"/>
    <w:lvl w:ilvl="0">
      <w:lvlJc w:val="left"/>
      <w:lvlText w:val="%1"/>
      <w:numFmt w:val="lowerRoman"/>
      <w:start w:val="1"/>
    </w:lvl>
    <w:lvl w:ilvl="1">
      <w:lvlJc w:val="left"/>
      <w:lvlText w:val="%2."/>
      <w:numFmt w:val="lowerLetter"/>
      <w:start w:val="1"/>
    </w:lvl>
  </w:abstractNum>
  <w:abstractNum w:abstractNumId="6">
    <w:nsid w:val="79A1DEAA"/>
    <w:multiLevelType w:val="hybridMultilevel"/>
    <w:lvl w:ilvl="0">
      <w:lvlJc w:val="left"/>
      <w:lvlText w:val="(%1)"/>
      <w:numFmt w:val="lowerRoman"/>
      <w:start w:val="2"/>
    </w:lvl>
    <w:lvl w:ilvl="1">
      <w:lvlJc w:val="left"/>
      <w:lvlText w:val="%2"/>
      <w:numFmt w:val="lowerLetter"/>
      <w:start w:val="1"/>
    </w:lvl>
  </w:abstractNum>
  <w:abstractNum w:abstractNumId="7">
    <w:nsid w:val="75C6C33A"/>
    <w:multiLevelType w:val="hybridMultilevel"/>
    <w:lvl w:ilvl="0">
      <w:lvlJc w:val="left"/>
      <w:lvlText w:val="%1."/>
      <w:numFmt w:val="lowerLetter"/>
      <w:start w:val="2"/>
    </w:lvl>
    <w:lvl w:ilvl="1">
      <w:lvlJc w:val="left"/>
      <w:lvlText w:val="(%2)"/>
      <w:numFmt w:val="upperLetter"/>
      <w:start w:val="1"/>
    </w:lvl>
  </w:abstractNum>
  <w:abstractNum w:abstractNumId="8">
    <w:nsid w:val="12E685FB"/>
    <w:multiLevelType w:val="hybridMultilevel"/>
    <w:lvl w:ilvl="0">
      <w:lvlJc w:val="left"/>
      <w:lvlText w:val="(%1)"/>
      <w:numFmt w:val="upperLetter"/>
      <w:start w:val="24"/>
    </w:lvl>
  </w:abstractNum>
  <w:abstractNum w:abstractNumId="9">
    <w:nsid w:val="70C6A529"/>
    <w:multiLevelType w:val="hybridMultilevel"/>
    <w:lvl w:ilvl="0">
      <w:lvlJc w:val="left"/>
      <w:lvlText w:val="%1."/>
      <w:numFmt w:val="lowerLetter"/>
      <w:start w:val="4"/>
    </w:lvl>
  </w:abstractNum>
  <w:abstractNum w:abstractNumId="10">
    <w:nsid w:val="520EEDD1"/>
    <w:multiLevelType w:val="hybridMultilevel"/>
    <w:lvl w:ilvl="0">
      <w:lvlJc w:val="left"/>
      <w:lvlText w:val="%1."/>
      <w:numFmt w:val="lowerLetter"/>
      <w:start w:val="5"/>
    </w:lvl>
    <w:lvl w:ilvl="1">
      <w:lvlJc w:val="left"/>
      <w:lvlText w:val="%2."/>
      <w:numFmt w:val="lowerRoman"/>
      <w:start w:val="1"/>
    </w:lvl>
  </w:abstractNum>
  <w:abstractNum w:abstractNumId="11">
    <w:nsid w:val="374A3FE6"/>
    <w:multiLevelType w:val="hybridMultilevel"/>
    <w:lvl w:ilvl="0">
      <w:lvlJc w:val="left"/>
      <w:lvlText w:val="(%1)"/>
      <w:numFmt w:val="upperLetter"/>
      <w:start w:val="1"/>
    </w:lvl>
    <w:lvl w:ilvl="1">
      <w:lvlJc w:val="left"/>
      <w:lvlText w:val="%2."/>
      <w:numFmt w:val="lowerRoman"/>
      <w:start w:val="5"/>
    </w:lvl>
  </w:abstractNum>
  <w:abstractNum w:abstractNumId="12">
    <w:nsid w:val="4F4EF005"/>
    <w:multiLevelType w:val="hybridMultilevel"/>
    <w:lvl w:ilvl="0">
      <w:lvlJc w:val="left"/>
      <w:lvlText w:val="%1"/>
      <w:numFmt w:val="lowerLetter"/>
      <w:start w:val="1"/>
    </w:lvl>
    <w:lvl w:ilvl="1">
      <w:lvlJc w:val="left"/>
      <w:lvlText w:val="%2."/>
      <w:numFmt w:val="lowerRoman"/>
      <w:start w:val="7"/>
    </w:lvl>
  </w:abstractNum>
  <w:abstractNum w:abstractNumId="13">
    <w:nsid w:val="23F9C13C"/>
    <w:multiLevelType w:val="hybridMultilevel"/>
    <w:lvl w:ilvl="0">
      <w:lvlJc w:val="left"/>
      <w:lvlText w:val="%1."/>
      <w:numFmt w:val="lowerLetter"/>
      <w:start w:val="6"/>
    </w:lvl>
    <w:lvl w:ilvl="1">
      <w:lvlJc w:val="left"/>
      <w:lvlText w:val="%2"/>
      <w:numFmt w:val="lowerRoman"/>
      <w:start w:val="1"/>
    </w:lvl>
  </w:abstractNum>
  <w:abstractNum w:abstractNumId="14">
    <w:nsid w:val="649BB77C"/>
    <w:multiLevelType w:val="hybridMultilevel"/>
    <w:lvl w:ilvl="0">
      <w:lvlJc w:val="left"/>
      <w:lvlText w:val="(%1)"/>
      <w:numFmt w:val="upperLetter"/>
      <w:start w:val="2"/>
    </w:lvl>
  </w:abstractNum>
  <w:abstractNum w:abstractNumId="15">
    <w:nsid w:val="275AC794"/>
    <w:multiLevelType w:val="hybridMultilevel"/>
    <w:lvl w:ilvl="0">
      <w:lvlJc w:val="left"/>
      <w:lvlText w:val="%1."/>
      <w:numFmt w:val="lowerLetter"/>
      <w:start w:val="1"/>
    </w:lvl>
  </w:abstractNum>
  <w:abstractNum w:abstractNumId="16">
    <w:nsid w:val="39386575"/>
    <w:multiLevelType w:val="hybridMultilevel"/>
    <w:lvl w:ilvl="0">
      <w:lvlJc w:val="left"/>
      <w:lvlText w:val="%1."/>
      <w:numFmt w:val="lowerLetter"/>
      <w:start w:val="2"/>
    </w:lvl>
  </w:abstractNum>
  <w:abstractNum w:abstractNumId="17">
    <w:nsid w:val="1CF10FD8"/>
    <w:multiLevelType w:val="hybridMultilevel"/>
    <w:lvl w:ilvl="0">
      <w:lvlJc w:val="left"/>
      <w:lvlText w:val="%1."/>
      <w:numFmt w:val="lowerLetter"/>
      <w:start w:val="4"/>
    </w:lvl>
  </w:abstractNum>
  <w:abstractNum w:abstractNumId="18">
    <w:nsid w:val="180115BE"/>
    <w:multiLevelType w:val="hybridMultilevel"/>
    <w:lvl w:ilvl="0">
      <w:lvlJc w:val="left"/>
      <w:lvlText w:val="%1."/>
      <w:numFmt w:val="lowerLetter"/>
      <w:start w:val="5"/>
    </w:lvl>
    <w:lvl w:ilvl="1">
      <w:lvlJc w:val="left"/>
      <w:lvlText w:val="%2."/>
      <w:numFmt w:val="lowerRoman"/>
      <w:start w:val="1"/>
    </w:lvl>
  </w:abstractNum>
  <w:abstractNum w:abstractNumId="19">
    <w:nsid w:val="235BA861"/>
    <w:multiLevelType w:val="hybridMultilevel"/>
    <w:lvl w:ilvl="0">
      <w:lvlJc w:val="left"/>
      <w:lvlText w:val="(%1)"/>
      <w:numFmt w:val="upperLetter"/>
      <w:start w:val="5"/>
    </w:lvl>
    <w:lvl w:ilvl="1">
      <w:lvlJc w:val="left"/>
      <w:lvlText w:val="%2."/>
      <w:numFmt w:val="lowerLetter"/>
      <w:start w:val="8"/>
    </w:lvl>
  </w:abstractNum>
  <w:abstractNum w:abstractNumId="20">
    <w:nsid w:val="47398C89"/>
    <w:multiLevelType w:val="hybridMultilevel"/>
    <w:lvl w:ilvl="0">
      <w:lvlJc w:val="left"/>
      <w:lvlText w:val="%1."/>
      <w:numFmt w:val="lowerLetter"/>
      <w:start w:val="1"/>
    </w:lvl>
  </w:abstractNum>
  <w:abstractNum w:abstractNumId="21">
    <w:nsid w:val="354FE9F9"/>
    <w:multiLevelType w:val="hybridMultilevel"/>
    <w:lvl w:ilvl="0">
      <w:lvlJc w:val="left"/>
      <w:lvlText w:val="%1."/>
      <w:numFmt w:val="lowerLetter"/>
      <w:start w:val="3"/>
    </w:lvl>
  </w:abstractNum>
  <w:abstractNum w:abstractNumId="22">
    <w:nsid w:val="15B5AF5C"/>
    <w:multiLevelType w:val="hybridMultilevel"/>
    <w:lvl w:ilvl="0">
      <w:lvlJc w:val="left"/>
      <w:lvlText w:val="%1."/>
      <w:numFmt w:val="lowerLetter"/>
      <w:start w:val="1"/>
    </w:lvl>
  </w:abstractNum>
  <w:abstractNum w:abstractNumId="23">
    <w:nsid w:val="741226BB"/>
    <w:multiLevelType w:val="hybridMultilevel"/>
    <w:lvl w:ilvl="0">
      <w:lvlJc w:val="left"/>
      <w:lvlText w:val="%1."/>
      <w:numFmt w:val="lowerLetter"/>
      <w:start w:val="5"/>
    </w:lvl>
  </w:abstractNum>
  <w:abstractNum w:abstractNumId="24">
    <w:nsid w:val="D34B6A8"/>
    <w:multiLevelType w:val="hybridMultilevel"/>
    <w:lvl w:ilvl="0">
      <w:lvlJc w:val="left"/>
      <w:lvlText w:val="%1."/>
      <w:numFmt w:val="lowerLetter"/>
      <w:start w:val="8"/>
    </w:lvl>
  </w:abstractNum>
  <w:abstractNum w:abstractNumId="25">
    <w:nsid w:val="10233C99"/>
    <w:multiLevelType w:val="hybridMultilevel"/>
    <w:lvl w:ilvl="0">
      <w:lvlJc w:val="left"/>
      <w:lvlText w:val="(%1)"/>
      <w:numFmt w:val="decimal"/>
      <w:start w:val="1"/>
    </w:lvl>
  </w:abstractNum>
  <w:abstractNum w:abstractNumId="26">
    <w:nsid w:val="3F6AB60F"/>
    <w:multiLevelType w:val="hybridMultilevel"/>
    <w:lvl w:ilvl="0">
      <w:lvlJc w:val="left"/>
      <w:lvlText w:val="(%1)"/>
      <w:numFmt w:val="decimal"/>
      <w:start w:val="2"/>
    </w:lvl>
    <w:lvl w:ilvl="1">
      <w:lvlJc w:val="left"/>
      <w:lvlText w:val="["/>
      <w:numFmt w:val="bullet"/>
      <w:start w:val="1"/>
    </w:lvl>
  </w:abstractNum>
  <w:abstractNum w:abstractNumId="27">
    <w:nsid w:val="61574095"/>
    <w:multiLevelType w:val="hybridMultilevel"/>
    <w:lvl w:ilvl="0">
      <w:lvlJc w:val="left"/>
      <w:lvlText w:val="%1"/>
      <w:numFmt w:val="lowerRoman"/>
      <w:start w:val="1"/>
    </w:lvl>
    <w:lvl w:ilvl="1">
      <w:lvlJc w:val="left"/>
      <w:lvlText w:val="%2."/>
      <w:numFmt w:val="lowerLetter"/>
      <w:start w:val="1"/>
    </w:lvl>
  </w:abstractNum>
  <w:abstractNum w:abstractNumId="28">
    <w:nsid w:val="7E0C57B1"/>
    <w:multiLevelType w:val="hybridMultilevel"/>
    <w:lvl w:ilvl="0">
      <w:lvlJc w:val="left"/>
      <w:lvlText w:val="(%1)"/>
      <w:numFmt w:val="lowerRoman"/>
      <w:start w:val="2"/>
    </w:lvl>
    <w:lvl w:ilvl="1">
      <w:lvlJc w:val="left"/>
      <w:lvlText w:val="%2"/>
      <w:numFmt w:val="lowerLetter"/>
      <w:start w:val="1"/>
    </w:lvl>
  </w:abstractNum>
  <w:abstractNum w:abstractNumId="29">
    <w:nsid w:val="77AE35EB"/>
    <w:multiLevelType w:val="hybridMultilevel"/>
    <w:lvl w:ilvl="0">
      <w:lvlJc w:val="left"/>
      <w:lvlText w:val="%1."/>
      <w:numFmt w:val="lowerLetter"/>
      <w:start w:val="2"/>
    </w:lvl>
    <w:lvl w:ilvl="1">
      <w:lvlJc w:val="left"/>
      <w:lvlText w:val="(%2)"/>
      <w:numFmt w:val="upperLetter"/>
      <w:start w:val="1"/>
    </w:lvl>
  </w:abstractNum>
  <w:abstractNum w:abstractNumId="30">
    <w:nsid w:val="579BE4F1"/>
    <w:multiLevelType w:val="hybridMultilevel"/>
    <w:lvl w:ilvl="0">
      <w:lvlJc w:val="left"/>
      <w:lvlText w:val="(%1)"/>
      <w:numFmt w:val="upperLetter"/>
      <w:start w:val="24"/>
    </w:lvl>
  </w:abstractNum>
  <w:abstractNum w:abstractNumId="31">
    <w:nsid w:val="310C50B3"/>
    <w:multiLevelType w:val="hybridMultilevel"/>
    <w:lvl w:ilvl="0">
      <w:lvlJc w:val="left"/>
      <w:lvlText w:val="%1."/>
      <w:numFmt w:val="lowerLetter"/>
      <w:start w:val="4"/>
    </w:lvl>
  </w:abstractNum>
  <w:abstractNum w:abstractNumId="32">
    <w:nsid w:val="5FF87E05"/>
    <w:multiLevelType w:val="hybridMultilevel"/>
    <w:lvl w:ilvl="0">
      <w:lvlJc w:val="left"/>
      <w:lvlText w:val="%1."/>
      <w:numFmt w:val="lowerLetter"/>
      <w:start w:val="5"/>
    </w:lvl>
    <w:lvl w:ilvl="1">
      <w:lvlJc w:val="left"/>
      <w:lvlText w:val="%2"/>
      <w:numFmt w:val="lowerLetter"/>
      <w:start w:val="1"/>
    </w:lvl>
  </w:abstractNum>
  <w:abstractNum w:abstractNumId="33">
    <w:nsid w:val="2F305DEF"/>
    <w:multiLevelType w:val="hybridMultilevel"/>
    <w:lvl w:ilvl="0">
      <w:lvlJc w:val="left"/>
      <w:lvlText w:val="%1."/>
      <w:numFmt w:val="lowerRoman"/>
      <w:start w:val="2"/>
    </w:lvl>
  </w:abstractNum>
  <w:abstractNum w:abstractNumId="34">
    <w:nsid w:val="25A70BF7"/>
    <w:multiLevelType w:val="hybridMultilevel"/>
    <w:lvl w:ilvl="0">
      <w:lvlJc w:val="left"/>
      <w:lvlText w:val="%1"/>
      <w:numFmt w:val="lowerLetter"/>
      <w:start w:val="1"/>
    </w:lvl>
    <w:lvl w:ilvl="1">
      <w:lvlJc w:val="left"/>
      <w:lvlText w:val="%2."/>
      <w:numFmt w:val="lowerRoman"/>
      <w:start w:val="6"/>
    </w:lvl>
  </w:abstractNum>
  <w:abstractNum w:abstractNumId="35">
    <w:nsid w:val="1DBABF00"/>
    <w:multiLevelType w:val="hybridMultilevel"/>
    <w:lvl w:ilvl="0">
      <w:lvlJc w:val="left"/>
      <w:lvlText w:val="%1."/>
      <w:numFmt w:val="lowerLetter"/>
      <w:start w:val="6"/>
    </w:lvl>
    <w:lvl w:ilvl="1">
      <w:lvlJc w:val="left"/>
      <w:lvlText w:val="%2"/>
      <w:numFmt w:val="lowerRoman"/>
      <w:start w:val="1"/>
    </w:lvl>
  </w:abstractNum>
  <w:abstractNum w:abstractNumId="36">
    <w:nsid w:val="4AD084E9"/>
    <w:multiLevelType w:val="hybridMultilevel"/>
    <w:lvl w:ilvl="0">
      <w:lvlJc w:val="left"/>
      <w:lvlText w:val="%1."/>
      <w:numFmt w:val="lowerLetter"/>
      <w:start w:val="1"/>
    </w:lvl>
  </w:abstractNum>
  <w:abstractNum w:abstractNumId="37">
    <w:nsid w:val="1F48EAA1"/>
    <w:multiLevelType w:val="hybridMultilevel"/>
    <w:lvl w:ilvl="0">
      <w:lvlJc w:val="left"/>
      <w:lvlText w:val="%1."/>
      <w:numFmt w:val="lowerLetter"/>
      <w:start w:val="4"/>
    </w:lvl>
  </w:abstractNum>
  <w:abstractNum w:abstractNumId="38">
    <w:nsid w:val="1381823A"/>
    <w:multiLevelType w:val="hybridMultilevel"/>
    <w:lvl w:ilvl="0">
      <w:lvlJc w:val="left"/>
      <w:lvlText w:val="%1."/>
      <w:numFmt w:val="lowerLetter"/>
      <w:start w:val="5"/>
    </w:lvl>
  </w:abstractNum>
  <w:abstractNum w:abstractNumId="39">
    <w:nsid w:val="5DB70AE5"/>
    <w:multiLevelType w:val="hybridMultilevel"/>
    <w:lvl w:ilvl="0">
      <w:lvlJc w:val="left"/>
      <w:lvlText w:val="%1."/>
      <w:numFmt w:val="lowerLetter"/>
      <w:start w:val="7"/>
    </w:lvl>
    <w:lvl w:ilvl="1">
      <w:lvlJc w:val="left"/>
      <w:lvlText w:val="%2."/>
      <w:numFmt w:val="lowerRoman"/>
      <w:start w:val="1"/>
    </w:lvl>
  </w:abstractNum>
  <w:abstractNum w:abstractNumId="40">
    <w:nsid w:val="100F8FCA"/>
    <w:multiLevelType w:val="hybridMultilevel"/>
    <w:lvl w:ilvl="0">
      <w:lvlJc w:val="left"/>
      <w:lvlText w:val="%1."/>
      <w:numFmt w:val="lowerLetter"/>
      <w:start w:val="1"/>
    </w:lvl>
  </w:abstractNum>
  <w:abstractNum w:abstractNumId="41">
    <w:nsid w:val="6590700B"/>
    <w:multiLevelType w:val="hybridMultilevel"/>
    <w:lvl w:ilvl="0">
      <w:lvlJc w:val="left"/>
      <w:lvlText w:val="%1."/>
      <w:numFmt w:val="lowerLetter"/>
      <w:start w:val="2"/>
    </w:lvl>
  </w:abstractNum>
  <w:abstractNum w:abstractNumId="42">
    <w:nsid w:val="15014ACB"/>
    <w:multiLevelType w:val="hybridMultilevel"/>
    <w:lvl w:ilvl="0">
      <w:lvlJc w:val="left"/>
      <w:lvlText w:val="%1."/>
      <w:numFmt w:val="lowerLetter"/>
      <w:start w:val="1"/>
    </w:lvl>
  </w:abstractNum>
  <w:abstractNum w:abstractNumId="43">
    <w:nsid w:val="5F5E7FD0"/>
    <w:multiLevelType w:val="hybridMultilevel"/>
    <w:lvl w:ilvl="0">
      <w:lvlJc w:val="left"/>
      <w:lvlText w:val="%1."/>
      <w:numFmt w:val="lowerLetter"/>
      <w:start w:val="3"/>
    </w:lvl>
  </w:abstractNum>
  <w:abstractNum w:abstractNumId="44">
    <w:nsid w:val="98A3148"/>
    <w:multiLevelType w:val="hybridMultilevel"/>
    <w:lvl w:ilvl="0">
      <w:lvlJc w:val="left"/>
      <w:lvlText w:val="%1."/>
      <w:numFmt w:val="lowerLetter"/>
      <w:start w:val="5"/>
    </w:lvl>
  </w:abstractNum>
  <w:abstractNum w:abstractNumId="45">
    <w:nsid w:val="799D0247"/>
    <w:multiLevelType w:val="hybridMultilevel"/>
    <w:lvl w:ilvl="0">
      <w:lvlJc w:val="left"/>
      <w:lvlText w:val="%1."/>
      <w:numFmt w:val="lowerLetter"/>
      <w:start w:val="7"/>
    </w:lvl>
  </w:abstractNum>
  <w:abstractNum w:abstractNumId="46">
    <w:nsid w:val="6B94764"/>
    <w:multiLevelType w:val="hybridMultilevel"/>
    <w:lvl w:ilvl="0">
      <w:lvlJc w:val="left"/>
      <w:lvlText w:val="%1."/>
      <w:numFmt w:val="lowerLetter"/>
      <w:start w:val="14"/>
    </w:lvl>
  </w:abstractNum>
  <w:abstractNum w:abstractNumId="47">
    <w:nsid w:val="42C296BD"/>
    <w:multiLevelType w:val="hybridMultilevel"/>
    <w:lvl w:ilvl="0">
      <w:lvlJc w:val="left"/>
      <w:lvlText w:val="(%1)"/>
      <w:numFmt w:val="decimal"/>
      <w:start w:val="1"/>
    </w:lvl>
  </w:abstractNum>
  <w:abstractNum w:abstractNumId="48">
    <w:nsid w:val="168E121F"/>
    <w:multiLevelType w:val="hybridMultilevel"/>
    <w:lvl w:ilvl="0">
      <w:lvlJc w:val="left"/>
      <w:lvlText w:val="["/>
      <w:numFmt w:val="bullet"/>
      <w:start w:val="1"/>
    </w:lvl>
  </w:abstractNum>
  <w:abstractNum w:abstractNumId="49">
    <w:nsid w:val="1EBA5D23"/>
    <w:multiLevelType w:val="hybridMultilevel"/>
    <w:lvl w:ilvl="0">
      <w:lvlJc w:val="left"/>
      <w:lvlText w:val="(%1)"/>
      <w:numFmt w:val="decimal"/>
      <w:start w:val="2"/>
    </w:lvl>
    <w:lvl w:ilvl="1">
      <w:lvlJc w:val="left"/>
      <w:lvlText w:val="["/>
      <w:numFmt w:val="bullet"/>
      <w:start w:val="1"/>
    </w:lvl>
  </w:abstractNum>
  <w:abstractNum w:abstractNumId="50">
    <w:nsid w:val="661E3F1E"/>
    <w:multiLevelType w:val="hybridMultilevel"/>
    <w:lvl w:ilvl="0">
      <w:lvlJc w:val="left"/>
      <w:lvlText w:val="%1"/>
      <w:numFmt w:val="lowerRoman"/>
      <w:start w:val="1"/>
    </w:lvl>
    <w:lvl w:ilvl="1">
      <w:lvlJc w:val="left"/>
      <w:lvlText w:val="%2."/>
      <w:numFmt w:val="lowerLetter"/>
      <w:start w:val="1"/>
    </w:lvl>
  </w:abstractNum>
  <w:abstractNum w:abstractNumId="51">
    <w:nsid w:val="5DC79EA8"/>
    <w:multiLevelType w:val="hybridMultilevel"/>
    <w:lvl w:ilvl="0">
      <w:lvlJc w:val="left"/>
      <w:lvlText w:val="(%1)"/>
      <w:numFmt w:val="lowerRoman"/>
      <w:start w:val="2"/>
    </w:lvl>
    <w:lvl w:ilvl="1">
      <w:lvlJc w:val="left"/>
      <w:lvlText w:val="%2"/>
      <w:numFmt w:val="lowerLetter"/>
      <w:start w:val="1"/>
    </w:lvl>
  </w:abstractNum>
  <w:abstractNum w:abstractNumId="52">
    <w:nsid w:val="540A471C"/>
    <w:multiLevelType w:val="hybridMultilevel"/>
    <w:lvl w:ilvl="0">
      <w:lvlJc w:val="left"/>
      <w:lvlText w:val="%1."/>
      <w:numFmt w:val="lowerLetter"/>
      <w:start w:val="2"/>
    </w:lvl>
    <w:lvl w:ilvl="1">
      <w:lvlJc w:val="left"/>
      <w:lvlText w:val="(%2)"/>
      <w:numFmt w:val="upperLetter"/>
      <w:start w:val="1"/>
    </w:lvl>
  </w:abstractNum>
  <w:abstractNum w:abstractNumId="53">
    <w:nsid w:val="7BD3EE7B"/>
    <w:multiLevelType w:val="hybridMultilevel"/>
    <w:lvl w:ilvl="0">
      <w:lvlJc w:val="left"/>
      <w:lvlText w:val="(%1)"/>
      <w:numFmt w:val="upperLetter"/>
      <w:start w:val="24"/>
    </w:lvl>
  </w:abstractNum>
  <w:abstractNum w:abstractNumId="54">
    <w:nsid w:val="51D9C564"/>
    <w:multiLevelType w:val="hybridMultilevel"/>
    <w:lvl w:ilvl="0">
      <w:lvlJc w:val="left"/>
      <w:lvlText w:val="%1."/>
      <w:numFmt w:val="lowerLetter"/>
      <w:start w:val="4"/>
    </w:lvl>
  </w:abstractNum>
  <w:abstractNum w:abstractNumId="55">
    <w:nsid w:val="613EFDC5"/>
    <w:multiLevelType w:val="hybridMultilevel"/>
    <w:lvl w:ilvl="0">
      <w:lvlJc w:val="left"/>
      <w:lvlText w:val="%1."/>
      <w:numFmt w:val="lowerLetter"/>
      <w:start w:val="5"/>
    </w:lvl>
    <w:lvl w:ilvl="1">
      <w:lvlJc w:val="left"/>
      <w:lvlText w:val="%2."/>
      <w:numFmt w:val="lowerRoman"/>
      <w:start w:val="1"/>
    </w:lvl>
  </w:abstractNum>
  <w:abstractNum w:abstractNumId="56">
    <w:nsid w:val="BF72B14"/>
    <w:multiLevelType w:val="hybridMultilevel"/>
    <w:lvl w:ilvl="0">
      <w:lvlJc w:val="left"/>
      <w:lvlText w:val="(%1)"/>
      <w:numFmt w:val="upperLetter"/>
      <w:start w:val="1"/>
    </w:lvl>
    <w:lvl w:ilvl="1">
      <w:lvlJc w:val="left"/>
      <w:lvlText w:val="%2."/>
      <w:numFmt w:val="lowerRoman"/>
      <w:start w:val="5"/>
    </w:lvl>
  </w:abstractNum>
  <w:abstractNum w:abstractNumId="57">
    <w:nsid w:val="11447B73"/>
    <w:multiLevelType w:val="hybridMultilevel"/>
    <w:lvl w:ilvl="0">
      <w:lvlJc w:val="left"/>
      <w:lvlText w:val="%1"/>
      <w:numFmt w:val="lowerLetter"/>
      <w:start w:val="1"/>
    </w:lvl>
    <w:lvl w:ilvl="1">
      <w:lvlJc w:val="left"/>
      <w:lvlText w:val="%2."/>
      <w:numFmt w:val="lowerRoman"/>
      <w:start w:val="7"/>
    </w:lvl>
  </w:abstractNum>
  <w:abstractNum w:abstractNumId="58">
    <w:nsid w:val="42963E5A"/>
    <w:multiLevelType w:val="hybridMultilevel"/>
    <w:lvl w:ilvl="0">
      <w:lvlJc w:val="left"/>
      <w:lvlText w:val="%1."/>
      <w:numFmt w:val="lowerLetter"/>
      <w:start w:val="6"/>
    </w:lvl>
    <w:lvl w:ilvl="1">
      <w:lvlJc w:val="left"/>
      <w:lvlText w:val="%2"/>
      <w:numFmt w:val="lowerRoman"/>
      <w:start w:val="1"/>
    </w:lvl>
  </w:abstractNum>
  <w:abstractNum w:abstractNumId="59">
    <w:nsid w:val="A0382C5"/>
    <w:multiLevelType w:val="hybridMultilevel"/>
    <w:lvl w:ilvl="0">
      <w:lvlJc w:val="left"/>
      <w:lvlText w:val="(%1)"/>
      <w:numFmt w:val="upperLetter"/>
      <w:start w:val="2"/>
    </w:lvl>
  </w:abstractNum>
  <w:abstractNum w:abstractNumId="60">
    <w:nsid w:val="8F2B15E"/>
    <w:multiLevelType w:val="hybridMultilevel"/>
    <w:lvl w:ilvl="0">
      <w:lvlJc w:val="left"/>
      <w:lvlText w:val="%1."/>
      <w:numFmt w:val="lowerLetter"/>
      <w:start w:val="1"/>
    </w:lvl>
  </w:abstractNum>
  <w:abstractNum w:abstractNumId="61">
    <w:nsid w:val="1A32234B"/>
    <w:multiLevelType w:val="hybridMultilevel"/>
    <w:lvl w:ilvl="0">
      <w:lvlJc w:val="left"/>
      <w:lvlText w:val="%1."/>
      <w:numFmt w:val="lowerLetter"/>
      <w:start w:val="2"/>
    </w:lvl>
  </w:abstractNum>
  <w:abstractNum w:abstractNumId="62">
    <w:nsid w:val="3B0FD379"/>
    <w:multiLevelType w:val="hybridMultilevel"/>
    <w:lvl w:ilvl="0">
      <w:lvlJc w:val="left"/>
      <w:lvlText w:val="%1."/>
      <w:numFmt w:val="lowerLetter"/>
      <w:start w:val="4"/>
    </w:lvl>
  </w:abstractNum>
  <w:abstractNum w:abstractNumId="63">
    <w:nsid w:val="68EB2F63"/>
    <w:multiLevelType w:val="hybridMultilevel"/>
    <w:lvl w:ilvl="0">
      <w:lvlJc w:val="left"/>
      <w:lvlText w:val="%1."/>
      <w:numFmt w:val="lowerLetter"/>
      <w:start w:val="5"/>
    </w:lvl>
    <w:lvl w:ilvl="1">
      <w:lvlJc w:val="left"/>
      <w:lvlText w:val="%2."/>
      <w:numFmt w:val="lowerRoman"/>
      <w:start w:val="1"/>
    </w:lvl>
  </w:abstractNum>
  <w:abstractNum w:abstractNumId="64">
    <w:nsid w:val="4962813B"/>
    <w:multiLevelType w:val="hybridMultilevel"/>
    <w:lvl w:ilvl="0">
      <w:lvlJc w:val="left"/>
      <w:lvlText w:val="%1."/>
      <w:numFmt w:val="lowerLetter"/>
      <w:start w:val="8"/>
    </w:lvl>
  </w:abstractNum>
  <w:abstractNum w:abstractNumId="65">
    <w:nsid w:val="60B6DF70"/>
    <w:multiLevelType w:val="hybridMultilevel"/>
    <w:lvl w:ilvl="0">
      <w:lvlJc w:val="left"/>
      <w:lvlText w:val="%1."/>
      <w:numFmt w:val="lowerLetter"/>
      <w:start w:val="1"/>
    </w:lvl>
  </w:abstractNum>
  <w:abstractNum w:abstractNumId="66">
    <w:nsid w:val="6A5EE64"/>
    <w:multiLevelType w:val="hybridMultilevel"/>
    <w:lvl w:ilvl="0">
      <w:lvlJc w:val="left"/>
      <w:lvlText w:val="%1."/>
      <w:numFmt w:val="lowerLetter"/>
      <w:start w:val="3"/>
    </w:lvl>
  </w:abstractNum>
  <w:abstractNum w:abstractNumId="67">
    <w:nsid w:val="14330624"/>
    <w:multiLevelType w:val="hybridMultilevel"/>
    <w:lvl w:ilvl="0">
      <w:lvlJc w:val="left"/>
      <w:lvlText w:val="%1."/>
      <w:numFmt w:val="lowerLetter"/>
      <w:start w:val="1"/>
    </w:lvl>
  </w:abstractNum>
  <w:abstractNum w:abstractNumId="68">
    <w:nsid w:val="7FFFCA11"/>
    <w:multiLevelType w:val="hybridMultilevel"/>
    <w:lvl w:ilvl="0">
      <w:lvlJc w:val="left"/>
      <w:lvlText w:val="%1."/>
      <w:numFmt w:val="lowerLetter"/>
      <w:start w:val="5"/>
    </w:lvl>
  </w:abstractNum>
  <w:abstractNum w:abstractNumId="69">
    <w:nsid w:val="1A27709E"/>
    <w:multiLevelType w:val="hybridMultilevel"/>
    <w:lvl w:ilvl="0">
      <w:lvlJc w:val="left"/>
      <w:lvlText w:val="%1."/>
      <w:numFmt w:val="lowerLetter"/>
      <w:start w:val="8"/>
    </w:lvl>
  </w:abstractNum>
  <w:abstractNum w:abstractNumId="70">
    <w:nsid w:val="71EA1109"/>
    <w:multiLevelType w:val="hybridMultilevel"/>
    <w:lvl w:ilvl="0">
      <w:lvlJc w:val="left"/>
      <w:lvlText w:val="(%1)"/>
      <w:numFmt w:val="decimal"/>
      <w:start w:val="1"/>
    </w:lvl>
  </w:abstractNum>
  <w:abstractNum w:abstractNumId="71">
    <w:nsid w:val="100F59DC"/>
    <w:multiLevelType w:val="hybridMultilevel"/>
    <w:lvl w:ilvl="0">
      <w:lvlJc w:val="left"/>
      <w:lvlText w:val="(%1)"/>
      <w:numFmt w:val="decimal"/>
      <w:start w:val="2"/>
    </w:lvl>
    <w:lvl w:ilvl="1">
      <w:lvlJc w:val="left"/>
      <w:lvlText w:val="["/>
      <w:numFmt w:val="bullet"/>
      <w:start w:val="1"/>
    </w:lvl>
  </w:abstractNum>
  <w:abstractNum w:abstractNumId="72">
    <w:nsid w:val="7FB7E0AA"/>
    <w:multiLevelType w:val="hybridMultilevel"/>
    <w:lvl w:ilvl="0">
      <w:lvlJc w:val="left"/>
      <w:lvlText w:val="%1"/>
      <w:numFmt w:val="lowerRoman"/>
      <w:start w:val="1"/>
    </w:lvl>
    <w:lvl w:ilvl="1">
      <w:lvlJc w:val="left"/>
      <w:lvlText w:val="%2."/>
      <w:numFmt w:val="lowerLetter"/>
      <w:start w:val="1"/>
    </w:lvl>
  </w:abstractNum>
  <w:abstractNum w:abstractNumId="73">
    <w:nsid w:val="6EB5BD4"/>
    <w:multiLevelType w:val="hybridMultilevel"/>
    <w:lvl w:ilvl="0">
      <w:lvlJc w:val="left"/>
      <w:lvlText w:val="(%1)"/>
      <w:numFmt w:val="lowerRoman"/>
      <w:start w:val="2"/>
    </w:lvl>
    <w:lvl w:ilvl="1">
      <w:lvlJc w:val="left"/>
      <w:lvlText w:val="%2"/>
      <w:numFmt w:val="lowerLetter"/>
      <w:start w:val="1"/>
    </w:lvl>
  </w:abstractNum>
  <w:abstractNum w:abstractNumId="74">
    <w:nsid w:val="6F6DD9AC"/>
    <w:multiLevelType w:val="hybridMultilevel"/>
    <w:lvl w:ilvl="0">
      <w:lvlJc w:val="left"/>
      <w:lvlText w:val="%1."/>
      <w:numFmt w:val="lowerLetter"/>
      <w:start w:val="2"/>
    </w:lvl>
    <w:lvl w:ilvl="1">
      <w:lvlJc w:val="left"/>
      <w:lvlText w:val="(%2)"/>
      <w:numFmt w:val="upperLetter"/>
      <w:start w:val="1"/>
    </w:lvl>
  </w:abstractNum>
  <w:abstractNum w:abstractNumId="75">
    <w:nsid w:val="94211F2"/>
    <w:multiLevelType w:val="hybridMultilevel"/>
    <w:lvl w:ilvl="0">
      <w:lvlJc w:val="left"/>
      <w:lvlText w:val="(%1)"/>
      <w:numFmt w:val="upperLetter"/>
      <w:start w:val="24"/>
    </w:lvl>
  </w:abstractNum>
  <w:abstractNum w:abstractNumId="76">
    <w:nsid w:val="885E1B"/>
    <w:multiLevelType w:val="hybridMultilevel"/>
    <w:lvl w:ilvl="0">
      <w:lvlJc w:val="left"/>
      <w:lvlText w:val="%1."/>
      <w:numFmt w:val="lowerLetter"/>
      <w:start w:val="4"/>
    </w:lvl>
  </w:abstractNum>
  <w:abstractNum w:abstractNumId="77">
    <w:nsid w:val="76272110"/>
    <w:multiLevelType w:val="hybridMultilevel"/>
    <w:lvl w:ilvl="0">
      <w:lvlJc w:val="left"/>
      <w:lvlText w:val="%1."/>
      <w:numFmt w:val="lowerLetter"/>
      <w:start w:val="5"/>
    </w:lvl>
    <w:lvl w:ilvl="1">
      <w:lvlJc w:val="left"/>
      <w:lvlText w:val="%2"/>
      <w:numFmt w:val="lowerLetter"/>
      <w:start w:val="1"/>
    </w:lvl>
  </w:abstractNum>
  <w:abstractNum w:abstractNumId="78">
    <w:nsid w:val="4C04A8AF"/>
    <w:multiLevelType w:val="hybridMultilevel"/>
    <w:lvl w:ilvl="0">
      <w:lvlJc w:val="left"/>
      <w:lvlText w:val="%1."/>
      <w:numFmt w:val="lowerRoman"/>
      <w:start w:val="2"/>
    </w:lvl>
  </w:abstractNum>
  <w:abstractNum w:abstractNumId="79">
    <w:nsid w:val="1716703B"/>
    <w:multiLevelType w:val="hybridMultilevel"/>
    <w:lvl w:ilvl="0">
      <w:lvlJc w:val="left"/>
      <w:lvlText w:val="%1"/>
      <w:numFmt w:val="lowerLetter"/>
      <w:start w:val="1"/>
    </w:lvl>
    <w:lvl w:ilvl="1">
      <w:lvlJc w:val="left"/>
      <w:lvlText w:val="%2."/>
      <w:numFmt w:val="lowerRoman"/>
      <w:start w:val="6"/>
    </w:lvl>
  </w:abstractNum>
  <w:abstractNum w:abstractNumId="80">
    <w:nsid w:val="14E17E33"/>
    <w:multiLevelType w:val="hybridMultilevel"/>
    <w:lvl w:ilvl="0">
      <w:lvlJc w:val="left"/>
      <w:lvlText w:val="%1."/>
      <w:numFmt w:val="lowerLetter"/>
      <w:start w:val="6"/>
    </w:lvl>
    <w:lvl w:ilvl="1">
      <w:lvlJc w:val="left"/>
      <w:lvlText w:val="%2"/>
      <w:numFmt w:val="lowerRoman"/>
      <w:start w:val="1"/>
    </w:lvl>
  </w:abstractNum>
  <w:abstractNum w:abstractNumId="81">
    <w:nsid w:val="3222E7CD"/>
    <w:multiLevelType w:val="hybridMultilevel"/>
    <w:lvl w:ilvl="0">
      <w:lvlJc w:val="left"/>
      <w:lvlText w:val="%1."/>
      <w:numFmt w:val="lowerLetter"/>
      <w:start w:val="1"/>
    </w:lvl>
  </w:abstractNum>
  <w:abstractNum w:abstractNumId="82">
    <w:nsid w:val="74DE0EE3"/>
    <w:multiLevelType w:val="hybridMultilevel"/>
    <w:lvl w:ilvl="0">
      <w:lvlJc w:val="left"/>
      <w:lvlText w:val="%1."/>
      <w:numFmt w:val="lowerLetter"/>
      <w:start w:val="4"/>
    </w:lvl>
  </w:abstractNum>
  <w:abstractNum w:abstractNumId="83">
    <w:nsid w:val="68EBC550"/>
    <w:multiLevelType w:val="hybridMultilevel"/>
    <w:lvl w:ilvl="0">
      <w:lvlJc w:val="left"/>
      <w:lvlText w:val="%1."/>
      <w:numFmt w:val="lowerLetter"/>
      <w:start w:val="5"/>
    </w:lvl>
  </w:abstractNum>
  <w:abstractNum w:abstractNumId="84">
    <w:nsid w:val="2DF6D648"/>
    <w:multiLevelType w:val="hybridMultilevel"/>
    <w:lvl w:ilvl="0">
      <w:lvlJc w:val="left"/>
      <w:lvlText w:val="%1."/>
      <w:numFmt w:val="lowerLetter"/>
      <w:start w:val="7"/>
    </w:lvl>
    <w:lvl w:ilvl="1">
      <w:lvlJc w:val="left"/>
      <w:lvlText w:val="%2."/>
      <w:numFmt w:val="lowerRoman"/>
      <w:start w:val="1"/>
    </w:lvl>
  </w:abstractNum>
  <w:abstractNum w:abstractNumId="85">
    <w:nsid w:val="46B7D447"/>
    <w:multiLevelType w:val="hybridMultilevel"/>
    <w:lvl w:ilvl="0">
      <w:lvlJc w:val="left"/>
      <w:lvlText w:val="%1."/>
      <w:numFmt w:val="lowerLetter"/>
      <w:start w:val="1"/>
    </w:lvl>
  </w:abstractNum>
  <w:abstractNum w:abstractNumId="86">
    <w:nsid w:val="4A2AC315"/>
    <w:multiLevelType w:val="hybridMultilevel"/>
    <w:lvl w:ilvl="0">
      <w:lvlJc w:val="left"/>
      <w:lvlText w:val="%1."/>
      <w:numFmt w:val="lowerLetter"/>
      <w:start w:val="2"/>
    </w:lvl>
  </w:abstractNum>
  <w:abstractNum w:abstractNumId="87">
    <w:nsid w:val="39EE015C"/>
    <w:multiLevelType w:val="hybridMultilevel"/>
    <w:lvl w:ilvl="0">
      <w:lvlJc w:val="left"/>
      <w:lvlText w:val="%1."/>
      <w:numFmt w:val="lowerLetter"/>
      <w:start w:val="1"/>
    </w:lvl>
  </w:abstractNum>
  <w:abstractNum w:abstractNumId="88">
    <w:nsid w:val="57FC4FBB"/>
    <w:multiLevelType w:val="hybridMultilevel"/>
    <w:lvl w:ilvl="0">
      <w:lvlJc w:val="left"/>
      <w:lvlText w:val="%1"/>
      <w:numFmt w:val="lowerRoman"/>
      <w:start w:val="1"/>
    </w:lvl>
    <w:lvl w:ilvl="1">
      <w:lvlJc w:val="left"/>
      <w:lvlText w:val="%2."/>
      <w:numFmt w:val="lowerLetter"/>
      <w:start w:val="3"/>
    </w:lvl>
  </w:abstractNum>
  <w:abstractNum w:abstractNumId="89">
    <w:nsid w:val="CC1016F"/>
    <w:multiLevelType w:val="hybridMultilevel"/>
    <w:lvl w:ilvl="0">
      <w:lvlJc w:val="left"/>
      <w:lvlText w:val="(%1)"/>
      <w:numFmt w:val="lowerRoman"/>
      <w:start w:val="3"/>
    </w:lvl>
    <w:lvl w:ilvl="1">
      <w:lvlJc w:val="left"/>
      <w:lvlText w:val="%2"/>
      <w:numFmt w:val="lowerLetter"/>
      <w:start w:val="1"/>
    </w:lvl>
  </w:abstractNum>
  <w:abstractNum w:abstractNumId="90">
    <w:nsid w:val="43F18422"/>
    <w:multiLevelType w:val="hybridMultilevel"/>
    <w:lvl w:ilvl="0">
      <w:lvlJc w:val="left"/>
      <w:lvlText w:val="%1."/>
      <w:numFmt w:val="lowerLetter"/>
      <w:start w:val="5"/>
    </w:lvl>
  </w:abstractNum>
  <w:abstractNum w:abstractNumId="91">
    <w:nsid w:val="60EF0119"/>
    <w:multiLevelType w:val="hybridMultilevel"/>
    <w:lvl w:ilvl="0">
      <w:lvlJc w:val="left"/>
      <w:lvlText w:val="%1."/>
      <w:numFmt w:val="lowerLetter"/>
      <w:start w:val="7"/>
    </w:lvl>
  </w:abstractNum>
  <w:abstractNum w:abstractNumId="92">
    <w:nsid w:val="26F324BA"/>
    <w:multiLevelType w:val="hybridMultilevel"/>
    <w:lvl w:ilvl="0">
      <w:lvlJc w:val="left"/>
      <w:lvlText w:val="%1."/>
      <w:numFmt w:val="lowerLetter"/>
      <w:start w:val="14"/>
    </w:lvl>
  </w:abstractNum>
  <w:abstractNum w:abstractNumId="93">
    <w:nsid w:val="7F01579B"/>
    <w:multiLevelType w:val="hybridMultilevel"/>
    <w:lvl w:ilvl="0">
      <w:lvlJc w:val="left"/>
      <w:lvlText w:val="(%1)"/>
      <w:numFmt w:val="decimal"/>
      <w:start w:val="1"/>
    </w:lvl>
  </w:abstractNum>
  <w:abstractNum w:abstractNumId="94">
    <w:nsid w:val="49DA307D"/>
    <w:multiLevelType w:val="hybridMultilevel"/>
    <w:lvl w:ilvl="0">
      <w:lvlJc w:val="left"/>
      <w:lvlText w:val="["/>
      <w:numFmt w:val="bullet"/>
      <w:start w:val="1"/>
    </w:lvl>
  </w:abstractNum>
  <w:abstractNum w:abstractNumId="95">
    <w:nsid w:val="7055A5F5"/>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2025-11-05T20:41:08Z</dcterms:created>
  <dcterms:modified xsi:type="dcterms:W3CDTF">2025-11-05T20:41:08Z</dcterms:modified>
</cp:coreProperties>
</file>