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Baes Nicholas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09/25/2025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810</w:t>
            </w:r>
            <w:r>
              <w:rPr>
                <w:rFonts w:ascii="Times New Roman" w:cs="Times New Roman" w:eastAsia="Times New Roman" w:hAnsi="Times New Roman"/>
                <w:sz w:val="11"/>
                <w:szCs w:val="11"/>
                <w:color w:val="008000"/>
                <w:w w:val="98"/>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20</w:t>
            </w:r>
            <w:r>
              <w:rPr>
                <w:rFonts w:ascii="Times New Roman" w:cs="Times New Roman" w:eastAsia="Times New Roman" w:hAnsi="Times New Roman"/>
                <w:sz w:val="11"/>
                <w:szCs w:val="11"/>
                <w:color w:val="008000"/>
                <w:w w:val="87"/>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105,472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("RSUs") on September 24, 2025, the issuer withheld Class A Common Stock that would otherwise have been issued to the reporting person to satisfy such person's tax withholding obligations. The number of shares withheld was determined based on the closing price per share of Class A Common Stock on September 24,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96,143 shares of Class A Common Stock subject to RSUs that remain subject to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4"/>
          <w:szCs w:val="34"/>
          <w:color w:val="0000FF"/>
          <w:vertAlign w:val="subscript"/>
        </w:rPr>
        <w:t>09/29/2025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Nicholas Baes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5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52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3681"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2025-09-29T16:30:12Z</dcterms:created>
  <dcterms:modified xsi:type="dcterms:W3CDTF">2025-09-29T16:30:12Z</dcterms:modified>
</cp:coreProperties>
</file>