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104775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107950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May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109220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VPC Impact Acquisition Holdings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106045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42" w:lineRule="exact"/>
        <w:rPr>
          <w:sz w:val="24"/>
          <w:szCs w:val="24"/>
          <w:color w:val="auto"/>
        </w:rPr>
      </w:pPr>
    </w:p>
    <w:tbl>
      <w:tblPr>
        <w:tblLayout w:type="fixed"/>
        <w:tblInd w:w="1540" w:type="dxa"/>
        <w:tblCellMar>
          <w:top w:w="0" w:type="dxa"/>
          <w:left w:w="0" w:type="dxa"/>
          <w:bottom w:w="0" w:type="dxa"/>
          <w:right w:w="0" w:type="dxa"/>
        </w:tblCellMar>
      </w:tblPr>
      <w:tr>
        <w:trPr>
          <w:trHeight w:val="142"/>
        </w:trPr>
        <w:tc>
          <w:tcPr>
            <w:tcW w:w="1920" w:type="dxa"/>
            <w:vAlign w:val="bottom"/>
          </w:tcPr>
          <w:p>
            <w:pPr>
              <w:jc w:val="center"/>
              <w:ind w:right="788"/>
              <w:spacing w:after="0"/>
              <w:rPr>
                <w:sz w:val="20"/>
                <w:szCs w:val="20"/>
                <w:color w:val="auto"/>
              </w:rPr>
            </w:pPr>
            <w:r>
              <w:rPr>
                <w:rFonts w:ascii="Arial" w:cs="Arial" w:eastAsia="Arial" w:hAnsi="Arial"/>
                <w:sz w:val="12"/>
                <w:szCs w:val="12"/>
                <w:b w:val="1"/>
                <w:bCs w:val="1"/>
                <w:color w:val="auto"/>
                <w:w w:val="91"/>
              </w:rPr>
              <w:t>Cayman Islands</w:t>
            </w:r>
          </w:p>
        </w:tc>
        <w:tc>
          <w:tcPr>
            <w:tcW w:w="2280" w:type="dxa"/>
            <w:vAlign w:val="bottom"/>
          </w:tcPr>
          <w:p>
            <w:pPr>
              <w:ind w:left="860"/>
              <w:spacing w:after="0"/>
              <w:rPr>
                <w:sz w:val="20"/>
                <w:szCs w:val="20"/>
                <w:color w:val="auto"/>
              </w:rPr>
            </w:pPr>
            <w:r>
              <w:rPr>
                <w:rFonts w:ascii="Arial" w:cs="Arial" w:eastAsia="Arial" w:hAnsi="Arial"/>
                <w:sz w:val="12"/>
                <w:szCs w:val="12"/>
                <w:b w:val="1"/>
                <w:bCs w:val="1"/>
                <w:color w:val="auto"/>
              </w:rPr>
              <w:t>001-39544</w:t>
            </w:r>
          </w:p>
        </w:tc>
        <w:tc>
          <w:tcPr>
            <w:tcW w:w="1640" w:type="dxa"/>
            <w:vAlign w:val="bottom"/>
          </w:tcPr>
          <w:p>
            <w:pPr>
              <w:jc w:val="center"/>
              <w:ind w:left="848"/>
              <w:spacing w:after="0"/>
              <w:rPr>
                <w:sz w:val="20"/>
                <w:szCs w:val="20"/>
                <w:color w:val="auto"/>
              </w:rPr>
            </w:pPr>
            <w:r>
              <w:rPr>
                <w:rFonts w:ascii="Arial" w:cs="Arial" w:eastAsia="Arial" w:hAnsi="Arial"/>
                <w:sz w:val="12"/>
                <w:szCs w:val="12"/>
                <w:b w:val="1"/>
                <w:bCs w:val="1"/>
                <w:color w:val="auto"/>
                <w:w w:val="90"/>
              </w:rPr>
              <w:t>98-1550750</w:t>
            </w:r>
          </w:p>
        </w:tc>
      </w:tr>
      <w:tr>
        <w:trPr>
          <w:trHeight w:val="99"/>
        </w:trPr>
        <w:tc>
          <w:tcPr>
            <w:tcW w:w="1920" w:type="dxa"/>
            <w:vAlign w:val="bottom"/>
          </w:tcPr>
          <w:p>
            <w:pPr>
              <w:jc w:val="center"/>
              <w:ind w:right="788"/>
              <w:spacing w:after="0" w:line="99" w:lineRule="exact"/>
              <w:rPr>
                <w:sz w:val="20"/>
                <w:szCs w:val="20"/>
                <w:color w:val="auto"/>
              </w:rPr>
            </w:pPr>
            <w:r>
              <w:rPr>
                <w:rFonts w:ascii="Arial" w:cs="Arial" w:eastAsia="Arial" w:hAnsi="Arial"/>
                <w:sz w:val="10"/>
                <w:szCs w:val="10"/>
                <w:b w:val="1"/>
                <w:bCs w:val="1"/>
                <w:color w:val="auto"/>
                <w:w w:val="86"/>
              </w:rPr>
              <w:t>(State or other jurisdiction</w:t>
            </w:r>
          </w:p>
        </w:tc>
        <w:tc>
          <w:tcPr>
            <w:tcW w:w="2280" w:type="dxa"/>
            <w:vAlign w:val="bottom"/>
          </w:tcPr>
          <w:p>
            <w:pPr>
              <w:ind w:left="860"/>
              <w:spacing w:after="0" w:line="99"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8"/>
              <w:spacing w:after="0" w:line="99" w:lineRule="exact"/>
              <w:rPr>
                <w:sz w:val="20"/>
                <w:szCs w:val="20"/>
                <w:color w:val="auto"/>
              </w:rPr>
            </w:pPr>
            <w:r>
              <w:rPr>
                <w:rFonts w:ascii="Arial" w:cs="Arial" w:eastAsia="Arial" w:hAnsi="Arial"/>
                <w:sz w:val="10"/>
                <w:szCs w:val="10"/>
                <w:b w:val="1"/>
                <w:bCs w:val="1"/>
                <w:color w:val="auto"/>
                <w:w w:val="88"/>
              </w:rPr>
              <w:t>(I.R.S. Employer</w:t>
            </w:r>
          </w:p>
        </w:tc>
      </w:tr>
      <w:tr>
        <w:trPr>
          <w:trHeight w:val="123"/>
        </w:trPr>
        <w:tc>
          <w:tcPr>
            <w:tcW w:w="1920" w:type="dxa"/>
            <w:vAlign w:val="bottom"/>
          </w:tcPr>
          <w:p>
            <w:pPr>
              <w:jc w:val="center"/>
              <w:ind w:right="808"/>
              <w:spacing w:after="0"/>
              <w:rPr>
                <w:sz w:val="20"/>
                <w:szCs w:val="20"/>
                <w:color w:val="auto"/>
              </w:rPr>
            </w:pPr>
            <w:r>
              <w:rPr>
                <w:rFonts w:ascii="Arial" w:cs="Arial" w:eastAsia="Arial" w:hAnsi="Arial"/>
                <w:sz w:val="10"/>
                <w:szCs w:val="10"/>
                <w:b w:val="1"/>
                <w:bCs w:val="1"/>
                <w:color w:val="auto"/>
                <w:w w:val="87"/>
              </w:rPr>
              <w:t>of incorporation)</w:t>
            </w:r>
          </w:p>
        </w:tc>
        <w:tc>
          <w:tcPr>
            <w:tcW w:w="2280" w:type="dxa"/>
            <w:vAlign w:val="bottom"/>
          </w:tcPr>
          <w:p>
            <w:pPr>
              <w:ind w:left="84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8"/>
              <w:spacing w:after="0"/>
              <w:rPr>
                <w:sz w:val="20"/>
                <w:szCs w:val="20"/>
                <w:color w:val="auto"/>
              </w:rPr>
            </w:pPr>
            <w:r>
              <w:rPr>
                <w:rFonts w:ascii="Arial" w:cs="Arial" w:eastAsia="Arial" w:hAnsi="Arial"/>
                <w:sz w:val="10"/>
                <w:szCs w:val="10"/>
                <w:b w:val="1"/>
                <w:bCs w:val="1"/>
                <w:color w:val="auto"/>
                <w:w w:val="89"/>
              </w:rPr>
              <w:t>Identification No.)</w:t>
            </w:r>
          </w:p>
        </w:tc>
      </w:tr>
    </w:tbl>
    <w:p>
      <w:pPr>
        <w:spacing w:after="0" w:line="67" w:lineRule="exact"/>
        <w:rPr>
          <w:sz w:val="24"/>
          <w:szCs w:val="24"/>
          <w:color w:val="auto"/>
        </w:rPr>
      </w:pPr>
    </w:p>
    <w:tbl>
      <w:tblPr>
        <w:tblLayout w:type="fixed"/>
        <w:tblInd w:w="1720" w:type="dxa"/>
        <w:tblCellMar>
          <w:top w:w="0" w:type="dxa"/>
          <w:left w:w="0" w:type="dxa"/>
          <w:bottom w:w="0" w:type="dxa"/>
          <w:right w:w="0" w:type="dxa"/>
        </w:tblCellMar>
      </w:tblPr>
      <w:tr>
        <w:trPr>
          <w:trHeight w:val="144"/>
        </w:trPr>
        <w:tc>
          <w:tcPr>
            <w:tcW w:w="3200" w:type="dxa"/>
            <w:vAlign w:val="bottom"/>
          </w:tcPr>
          <w:p>
            <w:pPr>
              <w:jc w:val="center"/>
              <w:ind w:right="1203"/>
              <w:spacing w:after="0"/>
              <w:rPr>
                <w:sz w:val="20"/>
                <w:szCs w:val="20"/>
                <w:color w:val="auto"/>
              </w:rPr>
            </w:pPr>
            <w:r>
              <w:rPr>
                <w:rFonts w:ascii="Arial" w:cs="Arial" w:eastAsia="Arial" w:hAnsi="Arial"/>
                <w:sz w:val="12"/>
                <w:szCs w:val="12"/>
                <w:b w:val="1"/>
                <w:bCs w:val="1"/>
                <w:color w:val="auto"/>
                <w:w w:val="93"/>
              </w:rPr>
              <w:t>Victory Park Capital Advisors, LLC</w:t>
            </w:r>
          </w:p>
        </w:tc>
        <w:tc>
          <w:tcPr>
            <w:tcW w:w="1700" w:type="dxa"/>
            <w:vAlign w:val="bottom"/>
          </w:tcPr>
          <w:p>
            <w:pPr>
              <w:spacing w:after="0"/>
              <w:rPr>
                <w:sz w:val="12"/>
                <w:szCs w:val="12"/>
                <w:color w:val="auto"/>
              </w:rPr>
            </w:pPr>
          </w:p>
        </w:tc>
      </w:tr>
      <w:tr>
        <w:trPr>
          <w:trHeight w:val="144"/>
        </w:trPr>
        <w:tc>
          <w:tcPr>
            <w:tcW w:w="3200" w:type="dxa"/>
            <w:vAlign w:val="bottom"/>
          </w:tcPr>
          <w:p>
            <w:pPr>
              <w:jc w:val="center"/>
              <w:ind w:right="1203"/>
              <w:spacing w:after="0"/>
              <w:rPr>
                <w:sz w:val="20"/>
                <w:szCs w:val="20"/>
                <w:color w:val="auto"/>
              </w:rPr>
            </w:pPr>
            <w:r>
              <w:rPr>
                <w:rFonts w:ascii="Arial" w:cs="Arial" w:eastAsia="Arial" w:hAnsi="Arial"/>
                <w:sz w:val="12"/>
                <w:szCs w:val="12"/>
                <w:b w:val="1"/>
                <w:bCs w:val="1"/>
                <w:color w:val="auto"/>
                <w:w w:val="91"/>
              </w:rPr>
              <w:t>150 North Riverside Plaza, Suite 5200</w:t>
            </w:r>
          </w:p>
        </w:tc>
        <w:tc>
          <w:tcPr>
            <w:tcW w:w="1700" w:type="dxa"/>
            <w:vAlign w:val="bottom"/>
          </w:tcPr>
          <w:p>
            <w:pPr>
              <w:spacing w:after="0"/>
              <w:rPr>
                <w:sz w:val="12"/>
                <w:szCs w:val="12"/>
                <w:color w:val="auto"/>
              </w:rPr>
            </w:pPr>
          </w:p>
        </w:tc>
      </w:tr>
      <w:tr>
        <w:trPr>
          <w:trHeight w:val="151"/>
        </w:trPr>
        <w:tc>
          <w:tcPr>
            <w:tcW w:w="3200" w:type="dxa"/>
            <w:vAlign w:val="bottom"/>
          </w:tcPr>
          <w:p>
            <w:pPr>
              <w:jc w:val="center"/>
              <w:ind w:right="1223"/>
              <w:spacing w:after="0"/>
              <w:rPr>
                <w:sz w:val="20"/>
                <w:szCs w:val="20"/>
                <w:color w:val="auto"/>
              </w:rPr>
            </w:pPr>
            <w:r>
              <w:rPr>
                <w:rFonts w:ascii="Arial" w:cs="Arial" w:eastAsia="Arial" w:hAnsi="Arial"/>
                <w:sz w:val="12"/>
                <w:szCs w:val="12"/>
                <w:b w:val="1"/>
                <w:bCs w:val="1"/>
                <w:color w:val="auto"/>
                <w:w w:val="92"/>
              </w:rPr>
              <w:t>Chicago, IL</w:t>
            </w:r>
          </w:p>
        </w:tc>
        <w:tc>
          <w:tcPr>
            <w:tcW w:w="1700" w:type="dxa"/>
            <w:vAlign w:val="bottom"/>
          </w:tcPr>
          <w:p>
            <w:pPr>
              <w:jc w:val="right"/>
              <w:ind w:right="26"/>
              <w:spacing w:after="0"/>
              <w:rPr>
                <w:sz w:val="20"/>
                <w:szCs w:val="20"/>
                <w:color w:val="auto"/>
              </w:rPr>
            </w:pPr>
            <w:r>
              <w:rPr>
                <w:rFonts w:ascii="Arial" w:cs="Arial" w:eastAsia="Arial" w:hAnsi="Arial"/>
                <w:sz w:val="12"/>
                <w:szCs w:val="12"/>
                <w:b w:val="1"/>
                <w:bCs w:val="1"/>
                <w:color w:val="auto"/>
              </w:rPr>
              <w:t>60606</w:t>
            </w:r>
          </w:p>
        </w:tc>
      </w:tr>
      <w:tr>
        <w:trPr>
          <w:trHeight w:val="123"/>
        </w:trPr>
        <w:tc>
          <w:tcPr>
            <w:tcW w:w="3200" w:type="dxa"/>
            <w:vAlign w:val="bottom"/>
          </w:tcPr>
          <w:p>
            <w:pPr>
              <w:jc w:val="center"/>
              <w:ind w:right="1203"/>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1700" w:type="dxa"/>
            <w:vAlign w:val="bottom"/>
          </w:tcPr>
          <w:p>
            <w:pPr>
              <w:jc w:val="center"/>
              <w:ind w:left="1206"/>
              <w:spacing w:after="0"/>
              <w:rPr>
                <w:sz w:val="20"/>
                <w:szCs w:val="20"/>
                <w:color w:val="auto"/>
              </w:rPr>
            </w:pPr>
            <w:r>
              <w:rPr>
                <w:rFonts w:ascii="Arial" w:cs="Arial" w:eastAsia="Arial" w:hAnsi="Arial"/>
                <w:sz w:val="10"/>
                <w:szCs w:val="10"/>
                <w:b w:val="1"/>
                <w:bCs w:val="1"/>
                <w:color w:val="auto"/>
                <w:w w:val="88"/>
              </w:rPr>
              <w:t>(Zip Code)</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(312) 701-1777</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96520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4"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840" w:right="2539" w:hanging="8"/>
        <w:spacing w:after="0" w:line="378" w:lineRule="auto"/>
        <w:tabs>
          <w:tab w:leader="none" w:pos="11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840" w:type="dxa"/>
        <w:tblCellMar>
          <w:top w:w="0" w:type="dxa"/>
          <w:left w:w="0" w:type="dxa"/>
          <w:bottom w:w="0" w:type="dxa"/>
          <w:right w:w="0" w:type="dxa"/>
        </w:tblCellMar>
      </w:tblPr>
      <w:tr>
        <w:trPr>
          <w:trHeight w:val="100"/>
        </w:trPr>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2"/>
          </w:tcPr>
          <w:p>
            <w:pPr>
              <w:jc w:val="center"/>
              <w:ind w:right="60"/>
              <w:spacing w:after="0" w:line="100" w:lineRule="exact"/>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88"/>
              </w:rPr>
              <w:t>Units, each consisting of one Class A ordinary</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VIHAU</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4"/>
              </w:rPr>
              <w:t>The Nasdaq Stock Market LLC</w:t>
            </w:r>
          </w:p>
        </w:tc>
      </w:tr>
      <w:tr>
        <w:trPr>
          <w:trHeight w:val="144"/>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share, $0.0001 par value, and one-half of one</w:t>
            </w: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Warrant to purchase one Class A ordinary share</w:t>
            </w: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0"/>
              </w:rPr>
              <w:t>Class A ordinary shares, $0.0001 par value per</w:t>
            </w:r>
          </w:p>
        </w:tc>
        <w:tc>
          <w:tcPr>
            <w:tcW w:w="24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VIH</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r>
        <w:trPr>
          <w:trHeight w:val="144"/>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share</w:t>
            </w:r>
          </w:p>
        </w:tc>
        <w:tc>
          <w:tcPr>
            <w:tcW w:w="2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Warrants to purchase Class A ordinary shares</w:t>
            </w:r>
          </w:p>
        </w:tc>
        <w:tc>
          <w:tcPr>
            <w:tcW w:w="24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VIHAW</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63"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50165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78740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Furnished as Exhibit 99.1 hereto is an analyst day presentation to be used by Bakkt Holdings, LLC (“Bakkt”) at its analyst day on May 19, 2021.</w:t>
      </w:r>
    </w:p>
    <w:p>
      <w:pPr>
        <w:spacing w:after="0" w:line="162" w:lineRule="exact"/>
        <w:rPr>
          <w:sz w:val="20"/>
          <w:szCs w:val="20"/>
          <w:color w:val="auto"/>
        </w:rPr>
      </w:pPr>
    </w:p>
    <w:p>
      <w:pPr>
        <w:ind w:left="840" w:right="879" w:firstLine="294"/>
        <w:spacing w:after="0" w:line="256" w:lineRule="auto"/>
        <w:rPr>
          <w:sz w:val="20"/>
          <w:szCs w:val="20"/>
          <w:color w:val="auto"/>
        </w:rPr>
      </w:pPr>
      <w:r>
        <w:rPr>
          <w:rFonts w:ascii="Arial" w:cs="Arial" w:eastAsia="Arial" w:hAnsi="Arial"/>
          <w:sz w:val="12"/>
          <w:szCs w:val="12"/>
          <w:color w:val="auto"/>
        </w:rPr>
        <w:t>The information in this Item 7.01, including Exhibit 99.1, is furnished and shall not be deemed “filed” for purposes of Section 18 of the Securities Exchange Act of 1934, as amended (the “</w:t>
      </w:r>
      <w:r>
        <w:rPr>
          <w:rFonts w:ascii="Arial" w:cs="Arial" w:eastAsia="Arial" w:hAnsi="Arial"/>
          <w:sz w:val="12"/>
          <w:szCs w:val="12"/>
          <w:u w:val="single" w:color="auto"/>
          <w:color w:val="auto"/>
        </w:rPr>
        <w:t>Exchange Act</w:t>
      </w:r>
      <w:r>
        <w:rPr>
          <w:rFonts w:ascii="Arial" w:cs="Arial" w:eastAsia="Arial" w:hAnsi="Arial"/>
          <w:sz w:val="12"/>
          <w:szCs w:val="12"/>
          <w:color w:val="auto"/>
        </w:rPr>
        <w:t>”), or otherwise subject to liabilities under that section, and shall not be deemed to be incorporated by reference into the filings of VPC Impact Acquisition Holdings (“VIH”)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Additional Information and Where to Find It</w:t>
      </w:r>
    </w:p>
    <w:p>
      <w:pPr>
        <w:spacing w:after="0" w:line="82" w:lineRule="exact"/>
        <w:rPr>
          <w:sz w:val="20"/>
          <w:szCs w:val="20"/>
          <w:color w:val="auto"/>
        </w:rPr>
      </w:pPr>
    </w:p>
    <w:p>
      <w:pPr>
        <w:ind w:left="840" w:right="839"/>
        <w:spacing w:after="0" w:line="278" w:lineRule="auto"/>
        <w:rPr>
          <w:sz w:val="20"/>
          <w:szCs w:val="20"/>
          <w:color w:val="auto"/>
        </w:rPr>
      </w:pPr>
      <w:r>
        <w:rPr>
          <w:rFonts w:ascii="Arial" w:cs="Arial" w:eastAsia="Arial" w:hAnsi="Arial"/>
          <w:sz w:val="11"/>
          <w:szCs w:val="11"/>
          <w:color w:val="auto"/>
        </w:rPr>
        <w:t>In connection with the proposed transaction between Bakkt and VIH (the “Proposed Transaction”), VIH has filed a registration statement on Form S-4 that includes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19" w:lineRule="exact"/>
        <w:rPr>
          <w:sz w:val="20"/>
          <w:szCs w:val="20"/>
          <w:color w:val="auto"/>
        </w:rPr>
      </w:pPr>
    </w:p>
    <w:p>
      <w:pPr>
        <w:ind w:left="840" w:right="1139"/>
        <w:spacing w:after="0" w:line="256" w:lineRule="auto"/>
        <w:rPr>
          <w:sz w:val="20"/>
          <w:szCs w:val="20"/>
          <w:color w:val="auto"/>
        </w:rPr>
      </w:pPr>
      <w:r>
        <w:rPr>
          <w:rFonts w:ascii="Arial" w:cs="Arial" w:eastAsia="Arial" w:hAnsi="Arial"/>
          <w:sz w:val="12"/>
          <w:szCs w:val="12"/>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ectPr>
          <w:pgSz w:w="11900" w:h="16838" w:orient="portrait"/>
          <w:cols w:equalWidth="0" w:num="1">
            <w:col w:w="9019"/>
          </w:cols>
          <w:pgMar w:left="1440" w:top="226" w:right="1440" w:bottom="1440" w:gutter="0" w:footer="0" w:header="0"/>
        </w:sectPr>
      </w:pPr>
    </w:p>
    <w:bookmarkStart w:id="2" w:name="page3"/>
    <w:bookmarkEnd w:id="2"/>
    <w:p>
      <w:pPr>
        <w:ind w:left="840" w:right="919"/>
        <w:spacing w:after="0" w:line="255"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t>
      </w:r>
      <w:r>
        <w:rPr>
          <w:rFonts w:ascii="Arial" w:cs="Arial" w:eastAsia="Arial" w:hAnsi="Arial"/>
          <w:sz w:val="12"/>
          <w:szCs w:val="12"/>
          <w:u w:val="single" w:color="auto"/>
          <w:color w:val="auto"/>
        </w:rPr>
        <w:t>www.sec.gov</w:t>
      </w:r>
      <w:r>
        <w:rPr>
          <w:rFonts w:ascii="Arial" w:cs="Arial" w:eastAsia="Arial" w:hAnsi="Arial"/>
          <w:sz w:val="12"/>
          <w:szCs w:val="12"/>
          <w:color w:val="auto"/>
        </w:rPr>
        <w:t xml:space="preserve">. These documents (when they are available) can also be obtained free of charge from VIH upon written request to VIH by emailing </w:t>
      </w:r>
      <w:r>
        <w:rPr>
          <w:rFonts w:ascii="Arial" w:cs="Arial" w:eastAsia="Arial" w:hAnsi="Arial"/>
          <w:sz w:val="12"/>
          <w:szCs w:val="12"/>
          <w:u w:val="single" w:color="auto"/>
          <w:color w:val="auto"/>
        </w:rPr>
        <w:t>vihinfo@victoryparkcapital.com</w:t>
      </w:r>
      <w:r>
        <w:rPr>
          <w:rFonts w:ascii="Arial" w:cs="Arial" w:eastAsia="Arial" w:hAnsi="Arial"/>
          <w:sz w:val="12"/>
          <w:szCs w:val="12"/>
          <w:color w:val="auto"/>
        </w:rPr>
        <w:t xml:space="preserve"> or by directing a request to VIH’s secretary at c/o Victory Park Capital Advisors, LLC, 150 North Riverside Plaza, Suite 5200, Chicago, IL 60606.</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No Offer or Solicitation</w:t>
      </w:r>
    </w:p>
    <w:p>
      <w:pPr>
        <w:spacing w:after="0" w:line="82" w:lineRule="exact"/>
        <w:rPr>
          <w:sz w:val="20"/>
          <w:szCs w:val="20"/>
          <w:color w:val="auto"/>
        </w:rPr>
      </w:pPr>
    </w:p>
    <w:p>
      <w:pPr>
        <w:ind w:left="840" w:right="879"/>
        <w:spacing w:after="0" w:line="285" w:lineRule="auto"/>
        <w:rPr>
          <w:sz w:val="20"/>
          <w:szCs w:val="20"/>
          <w:color w:val="auto"/>
        </w:rPr>
      </w:pPr>
      <w:r>
        <w:rPr>
          <w:rFonts w:ascii="Arial" w:cs="Arial" w:eastAsia="Arial" w:hAnsi="Arial"/>
          <w:sz w:val="11"/>
          <w:szCs w:val="11"/>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Participants in Solicitation</w:t>
      </w:r>
    </w:p>
    <w:p>
      <w:pPr>
        <w:spacing w:after="0" w:line="82" w:lineRule="exact"/>
        <w:rPr>
          <w:sz w:val="20"/>
          <w:szCs w:val="20"/>
          <w:color w:val="auto"/>
        </w:rPr>
      </w:pPr>
    </w:p>
    <w:p>
      <w:pPr>
        <w:ind w:left="840" w:right="859"/>
        <w:spacing w:after="0" w:line="283" w:lineRule="auto"/>
        <w:rPr>
          <w:sz w:val="20"/>
          <w:szCs w:val="20"/>
          <w:color w:val="auto"/>
        </w:rPr>
      </w:pPr>
      <w:r>
        <w:rPr>
          <w:rFonts w:ascii="Arial" w:cs="Arial" w:eastAsia="Arial" w:hAnsi="Arial"/>
          <w:sz w:val="11"/>
          <w:szCs w:val="11"/>
          <w:color w:val="auto"/>
        </w:rPr>
        <w:t>This communication is not a solicitation of a proxy from any investor or securityholder. However, VIH, Bakkt, Intercontinental Exchange Holdings, Inc.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82" w:lineRule="exact"/>
        <w:rPr>
          <w:sz w:val="20"/>
          <w:szCs w:val="20"/>
          <w:color w:val="auto"/>
        </w:rPr>
      </w:pPr>
    </w:p>
    <w:p>
      <w:pPr>
        <w:ind w:left="840" w:right="879"/>
        <w:spacing w:after="0" w:line="278" w:lineRule="auto"/>
        <w:rPr>
          <w:sz w:val="20"/>
          <w:szCs w:val="20"/>
          <w:color w:val="auto"/>
        </w:rPr>
      </w:pPr>
      <w:r>
        <w:rPr>
          <w:rFonts w:ascii="Arial" w:cs="Arial" w:eastAsia="Arial" w:hAnsi="Arial"/>
          <w:sz w:val="11"/>
          <w:szCs w:val="11"/>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19" w:lineRule="exact"/>
        <w:rPr>
          <w:sz w:val="20"/>
          <w:szCs w:val="20"/>
          <w:color w:val="auto"/>
        </w:rPr>
      </w:pPr>
    </w:p>
    <w:p>
      <w:pPr>
        <w:ind w:left="840" w:right="859"/>
        <w:spacing w:after="0" w:line="280" w:lineRule="auto"/>
        <w:rPr>
          <w:sz w:val="20"/>
          <w:szCs w:val="20"/>
          <w:color w:val="auto"/>
        </w:rPr>
      </w:pPr>
      <w:r>
        <w:rPr>
          <w:rFonts w:ascii="Arial" w:cs="Arial" w:eastAsia="Arial" w:hAnsi="Arial"/>
          <w:sz w:val="11"/>
          <w:szCs w:val="11"/>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w:t>
      </w:r>
    </w:p>
    <w:p>
      <w:pPr>
        <w:sectPr>
          <w:pgSz w:w="11900" w:h="16838" w:orient="portrait"/>
          <w:cols w:equalWidth="0" w:num="1">
            <w:col w:w="9019"/>
          </w:cols>
          <w:pgMar w:left="1440" w:top="230" w:right="1440" w:bottom="1440" w:gutter="0" w:footer="0" w:header="0"/>
        </w:sectPr>
      </w:pPr>
    </w:p>
    <w:bookmarkStart w:id="3" w:name="page4"/>
    <w:bookmarkEnd w:id="3"/>
    <w:p>
      <w:pPr>
        <w:jc w:val="both"/>
        <w:ind w:left="840" w:right="859"/>
        <w:spacing w:after="0" w:line="30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w:t>
      </w:r>
    </w:p>
    <w:p>
      <w:pPr>
        <w:spacing w:after="0" w:line="1" w:lineRule="exact"/>
        <w:rPr>
          <w:sz w:val="20"/>
          <w:szCs w:val="20"/>
          <w:color w:val="auto"/>
        </w:rPr>
      </w:pPr>
    </w:p>
    <w:p>
      <w:pPr>
        <w:ind w:left="840" w:right="899" w:hanging="8"/>
        <w:spacing w:after="0" w:line="281" w:lineRule="auto"/>
        <w:tabs>
          <w:tab w:leader="none" w:pos="1043" w:val="left"/>
        </w:tabs>
        <w:numPr>
          <w:ilvl w:val="0"/>
          <w:numId w:val="2"/>
        </w:numPr>
        <w:rPr>
          <w:rFonts w:ascii="Arial" w:cs="Arial" w:eastAsia="Arial" w:hAnsi="Arial"/>
          <w:sz w:val="11"/>
          <w:szCs w:val="11"/>
          <w:color w:val="auto"/>
        </w:rPr>
      </w:pPr>
      <w:r>
        <w:rPr>
          <w:rFonts w:ascii="Arial" w:cs="Arial" w:eastAsia="Arial" w:hAnsi="Arial"/>
          <w:sz w:val="11"/>
          <w:szCs w:val="11"/>
          <w:color w:val="auto"/>
        </w:rPr>
        <w:t>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15" w:lineRule="exact"/>
        <w:rPr>
          <w:sz w:val="20"/>
          <w:szCs w:val="20"/>
          <w:color w:val="auto"/>
        </w:rPr>
      </w:pPr>
    </w:p>
    <w:p>
      <w:pPr>
        <w:ind w:left="840" w:right="879"/>
        <w:spacing w:after="0" w:line="278" w:lineRule="auto"/>
        <w:rPr>
          <w:sz w:val="20"/>
          <w:szCs w:val="20"/>
          <w:color w:val="auto"/>
        </w:rPr>
      </w:pPr>
      <w:r>
        <w:rPr>
          <w:rFonts w:ascii="Arial" w:cs="Arial" w:eastAsia="Arial" w:hAnsi="Arial"/>
          <w:sz w:val="11"/>
          <w:szCs w:val="11"/>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14"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6"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Exhibit</w:t>
      </w:r>
    </w:p>
    <w:p>
      <w:pPr>
        <w:ind w:left="940"/>
        <w:spacing w:after="0" w:line="236" w:lineRule="auto"/>
        <w:tabs>
          <w:tab w:leader="none" w:pos="15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-5715</wp:posOffset>
            </wp:positionV>
            <wp:extent cx="2171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170"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5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6">
        <w:r>
          <w:rPr>
            <w:rFonts w:ascii="Arial" w:cs="Arial" w:eastAsia="Arial" w:hAnsi="Arial"/>
            <w:sz w:val="10"/>
            <w:szCs w:val="10"/>
            <w:u w:val="single" w:color="auto"/>
            <w:color w:val="0000EE"/>
          </w:rPr>
          <w:t>Analyst Day Presentation, dated May 19, 2021.</w:t>
        </w:r>
      </w:hyperlink>
    </w:p>
    <w:p>
      <w:pPr>
        <w:sectPr>
          <w:pgSz w:w="11900" w:h="16838" w:orient="portrait"/>
          <w:cols w:equalWidth="0" w:num="1">
            <w:col w:w="9019"/>
          </w:cols>
          <w:pgMar w:left="1440" w:top="230"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w:t>
      </w:r>
    </w:p>
    <w:p>
      <w:pPr>
        <w:spacing w:after="0" w:line="150"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tbl>
      <w:tblPr>
        <w:tblLayout w:type="fixed"/>
        <w:tblInd w:w="840" w:type="dxa"/>
        <w:tblCellMar>
          <w:top w:w="0" w:type="dxa"/>
          <w:left w:w="0" w:type="dxa"/>
          <w:bottom w:w="0" w:type="dxa"/>
          <w:right w:w="0" w:type="dxa"/>
        </w:tblCellMar>
      </w:tblPr>
      <w:tr>
        <w:trPr>
          <w:trHeight w:val="153"/>
        </w:trPr>
        <w:tc>
          <w:tcPr>
            <w:tcW w:w="7340" w:type="dxa"/>
            <w:vAlign w:val="bottom"/>
            <w:gridSpan w:val="2"/>
          </w:tcPr>
          <w:p>
            <w:pPr>
              <w:ind w:left="3680"/>
              <w:spacing w:after="0"/>
              <w:rPr>
                <w:sz w:val="20"/>
                <w:szCs w:val="20"/>
                <w:color w:val="auto"/>
              </w:rPr>
            </w:pPr>
            <w:r>
              <w:rPr>
                <w:rFonts w:ascii="Arial" w:cs="Arial" w:eastAsia="Arial" w:hAnsi="Arial"/>
                <w:sz w:val="12"/>
                <w:szCs w:val="12"/>
                <w:color w:val="auto"/>
              </w:rPr>
              <w:t>VPC Impact Acquisition Holdings</w:t>
            </w:r>
          </w:p>
        </w:tc>
      </w:tr>
      <w:tr>
        <w:trPr>
          <w:trHeight w:val="288"/>
        </w:trPr>
        <w:tc>
          <w:tcPr>
            <w:tcW w:w="4100" w:type="dxa"/>
            <w:vAlign w:val="bottom"/>
          </w:tcPr>
          <w:p>
            <w:pPr>
              <w:spacing w:after="0"/>
              <w:rPr>
                <w:sz w:val="20"/>
                <w:szCs w:val="20"/>
                <w:color w:val="auto"/>
              </w:rPr>
            </w:pPr>
            <w:r>
              <w:rPr>
                <w:rFonts w:ascii="Arial" w:cs="Arial" w:eastAsia="Arial" w:hAnsi="Arial"/>
                <w:sz w:val="12"/>
                <w:szCs w:val="12"/>
                <w:color w:val="auto"/>
              </w:rPr>
              <w:t>Date: May 19, 2021</w:t>
            </w:r>
          </w:p>
        </w:tc>
        <w:tc>
          <w:tcPr>
            <w:tcW w:w="3240" w:type="dxa"/>
            <w:vAlign w:val="bottom"/>
          </w:tcPr>
          <w:p>
            <w:pPr>
              <w:spacing w:after="0"/>
              <w:rPr>
                <w:sz w:val="24"/>
                <w:szCs w:val="24"/>
                <w:color w:val="auto"/>
              </w:rPr>
            </w:pPr>
          </w:p>
        </w:tc>
      </w:tr>
      <w:tr>
        <w:trPr>
          <w:trHeight w:val="288"/>
        </w:trPr>
        <w:tc>
          <w:tcPr>
            <w:tcW w:w="4100" w:type="dxa"/>
            <w:vAlign w:val="bottom"/>
          </w:tcPr>
          <w:p>
            <w:pPr>
              <w:ind w:left="3680"/>
              <w:spacing w:after="0"/>
              <w:rPr>
                <w:sz w:val="20"/>
                <w:szCs w:val="20"/>
                <w:color w:val="auto"/>
              </w:rPr>
            </w:pPr>
            <w:r>
              <w:rPr>
                <w:rFonts w:ascii="Arial" w:cs="Arial" w:eastAsia="Arial" w:hAnsi="Arial"/>
                <w:sz w:val="12"/>
                <w:szCs w:val="12"/>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John Martin</w:t>
            </w:r>
          </w:p>
        </w:tc>
      </w:tr>
      <w:tr>
        <w:trPr>
          <w:trHeight w:val="133"/>
        </w:trPr>
        <w:tc>
          <w:tcPr>
            <w:tcW w:w="4100" w:type="dxa"/>
            <w:vAlign w:val="bottom"/>
          </w:tcPr>
          <w:p>
            <w:pPr>
              <w:ind w:left="3680"/>
              <w:spacing w:after="0" w:line="133" w:lineRule="exact"/>
              <w:rPr>
                <w:sz w:val="20"/>
                <w:szCs w:val="20"/>
                <w:color w:val="auto"/>
              </w:rPr>
            </w:pPr>
            <w:r>
              <w:rPr>
                <w:rFonts w:ascii="Arial" w:cs="Arial" w:eastAsia="Arial" w:hAnsi="Arial"/>
                <w:sz w:val="12"/>
                <w:szCs w:val="12"/>
                <w:color w:val="auto"/>
              </w:rPr>
              <w:t>Name:</w:t>
            </w:r>
          </w:p>
        </w:tc>
        <w:tc>
          <w:tcPr>
            <w:tcW w:w="3240" w:type="dxa"/>
            <w:vAlign w:val="bottom"/>
          </w:tcPr>
          <w:p>
            <w:pPr>
              <w:spacing w:after="0" w:line="133" w:lineRule="exact"/>
              <w:rPr>
                <w:sz w:val="20"/>
                <w:szCs w:val="20"/>
                <w:color w:val="auto"/>
              </w:rPr>
            </w:pPr>
            <w:r>
              <w:rPr>
                <w:rFonts w:ascii="Arial" w:cs="Arial" w:eastAsia="Arial" w:hAnsi="Arial"/>
                <w:sz w:val="12"/>
                <w:szCs w:val="12"/>
                <w:color w:val="auto"/>
              </w:rPr>
              <w:t>John Martin</w:t>
            </w:r>
          </w:p>
        </w:tc>
      </w:tr>
      <w:tr>
        <w:trPr>
          <w:trHeight w:val="153"/>
        </w:trPr>
        <w:tc>
          <w:tcPr>
            <w:tcW w:w="4100" w:type="dxa"/>
            <w:vAlign w:val="bottom"/>
          </w:tcPr>
          <w:p>
            <w:pPr>
              <w:ind w:left="3680"/>
              <w:spacing w:after="0"/>
              <w:rPr>
                <w:sz w:val="20"/>
                <w:szCs w:val="20"/>
                <w:color w:val="auto"/>
              </w:rPr>
            </w:pPr>
            <w:r>
              <w:rPr>
                <w:rFonts w:ascii="Arial" w:cs="Arial" w:eastAsia="Arial" w:hAnsi="Arial"/>
                <w:sz w:val="12"/>
                <w:szCs w:val="12"/>
                <w:color w:val="auto"/>
              </w:rPr>
              <w:t>Title:</w:t>
            </w:r>
          </w:p>
        </w:tc>
        <w:tc>
          <w:tcPr>
            <w:tcW w:w="3240" w:type="dxa"/>
            <w:vAlign w:val="bottom"/>
          </w:tcPr>
          <w:p>
            <w:pPr>
              <w:spacing w:after="0"/>
              <w:rPr>
                <w:sz w:val="20"/>
                <w:szCs w:val="20"/>
                <w:color w:val="auto"/>
              </w:rPr>
            </w:pPr>
            <w:r>
              <w:rPr>
                <w:rFonts w:ascii="Arial" w:cs="Arial" w:eastAsia="Arial" w:hAnsi="Arial"/>
                <w:sz w:val="12"/>
                <w:szCs w:val="12"/>
                <w:color w:val="auto"/>
              </w:rPr>
              <w:t>Chief Executive Officer and Chairman</w:t>
            </w:r>
          </w:p>
        </w:tc>
      </w:tr>
    </w:tbl>
    <w:p>
      <w:pPr>
        <w:sectPr>
          <w:pgSz w:w="11900" w:h="16838" w:orient="portrait"/>
          <w:cols w:equalWidth="0" w:num="1">
            <w:col w:w="9019"/>
          </w:cols>
          <w:pgMar w:left="1440" w:top="230" w:right="1440"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6172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6172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995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5995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995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5995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995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5995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709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709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709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138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709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138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995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31380" cy="5995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995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31380" cy="5995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4235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31380" cy="5423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57092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31380" cy="5709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62807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31380" cy="62807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2021-05-19T15:52:05Z</dcterms:created>
  <dcterms:modified xsi:type="dcterms:W3CDTF">2021-05-19T15:52:05Z</dcterms:modified>
</cp:coreProperties>
</file>