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10,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333-288392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 TO</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225" w:right="439" w:bottom="109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41-2324812</w:t>
      </w:r>
    </w:p>
    <w:p>
      <w:pPr>
        <w:spacing w:after="0" w:line="12" w:lineRule="exact"/>
        <w:rPr>
          <w:sz w:val="24"/>
          <w:szCs w:val="24"/>
          <w:color w:val="auto"/>
        </w:rPr>
      </w:pPr>
    </w:p>
    <w:p>
      <w:pPr>
        <w:sectPr>
          <w:pgSz w:w="11900" w:h="16838" w:orient="portrait"/>
          <w:cols w:equalWidth="0" w:num="2">
            <w:col w:w="7180" w:space="720"/>
            <w:col w:w="3120"/>
          </w:cols>
          <w:pgMar w:left="440" w:top="225" w:right="439" w:bottom="1094" w:gutter="0" w:footer="0" w:header="0"/>
          <w:type w:val="continuous"/>
        </w:sectPr>
      </w:pPr>
    </w:p>
    <w:p>
      <w:pPr>
        <w:ind w:left="18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88" w:lineRule="exact"/>
        <w:rPr>
          <w:sz w:val="24"/>
          <w:szCs w:val="24"/>
          <w:color w:val="auto"/>
        </w:rPr>
      </w:pPr>
    </w:p>
    <w:p>
      <w:pPr>
        <w:sectPr>
          <w:pgSz w:w="11900" w:h="16838" w:orient="portrait"/>
          <w:cols w:equalWidth="0" w:num="2">
            <w:col w:w="6900" w:space="720"/>
            <w:col w:w="3400"/>
          </w:cols>
          <w:pgMar w:left="440" w:top="225" w:right="439" w:bottom="1094"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Liberty Plaza, One Liberty St., Ste. 305-306,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Bakkt Holdings, Inc. 2021 Omnibus Incentive Plan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Plan)</w:t>
      </w:r>
    </w:p>
    <w:p>
      <w:pPr>
        <w:sectPr>
          <w:pgSz w:w="11900" w:h="16838" w:orient="portrait"/>
          <w:cols w:equalWidth="0" w:num="1">
            <w:col w:w="11020"/>
          </w:cols>
          <w:pgMar w:left="440" w:top="225" w:right="439" w:bottom="1094" w:gutter="0" w:footer="0" w:header="0"/>
          <w:type w:val="continuous"/>
        </w:sectPr>
      </w:pP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Akshay Naheta</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One Liberty Plaza, One Liberty St., Ste. 305-306,</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57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315"/>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Jared M. Fishman</w:t>
            </w:r>
          </w:p>
        </w:tc>
        <w:tc>
          <w:tcPr>
            <w:tcW w:w="57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Marc D’Annunzio</w:t>
            </w:r>
          </w:p>
        </w:tc>
      </w:tr>
      <w:tr>
        <w:trPr>
          <w:trHeight w:val="216"/>
        </w:trPr>
        <w:tc>
          <w:tcPr>
            <w:tcW w:w="27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Matthew Goodman</w:t>
            </w:r>
          </w:p>
        </w:tc>
        <w:tc>
          <w:tcPr>
            <w:tcW w:w="57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General Counsel</w:t>
            </w:r>
          </w:p>
        </w:tc>
      </w:tr>
      <w:tr>
        <w:trPr>
          <w:trHeight w:val="216"/>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Mario Schollmeyer</w:t>
            </w:r>
          </w:p>
        </w:tc>
        <w:tc>
          <w:tcPr>
            <w:tcW w:w="57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One Liberty Plaza, One Liberty St., Ste. 305-306,</w:t>
            </w:r>
          </w:p>
        </w:tc>
      </w:tr>
      <w:tr>
        <w:trPr>
          <w:trHeight w:val="216"/>
        </w:trPr>
        <w:tc>
          <w:tcPr>
            <w:tcW w:w="27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Sullivan &amp; Cromwell LLP</w:t>
            </w:r>
          </w:p>
        </w:tc>
        <w:tc>
          <w:tcPr>
            <w:tcW w:w="57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8"/>
              </w:rPr>
              <w:t>New York, New York 10006</w:t>
            </w:r>
          </w:p>
        </w:tc>
      </w:tr>
      <w:tr>
        <w:trPr>
          <w:trHeight w:val="216"/>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125 Broad Street</w:t>
            </w:r>
          </w:p>
        </w:tc>
        <w:tc>
          <w:tcPr>
            <w:tcW w:w="57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(678) 534-5849</w:t>
            </w:r>
          </w:p>
        </w:tc>
      </w:tr>
      <w:tr>
        <w:trPr>
          <w:trHeight w:val="216"/>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New York, NY 10004</w:t>
            </w:r>
          </w:p>
        </w:tc>
        <w:tc>
          <w:tcPr>
            <w:tcW w:w="5760" w:type="dxa"/>
            <w:vAlign w:val="bottom"/>
          </w:tcPr>
          <w:p>
            <w:pPr>
              <w:spacing w:after="0"/>
              <w:rPr>
                <w:sz w:val="18"/>
                <w:szCs w:val="18"/>
                <w:color w:val="auto"/>
              </w:rPr>
            </w:pPr>
          </w:p>
        </w:tc>
      </w:tr>
      <w:tr>
        <w:trPr>
          <w:trHeight w:val="238"/>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(212) 558-4000</w:t>
            </w:r>
          </w:p>
        </w:tc>
        <w:tc>
          <w:tcPr>
            <w:tcW w:w="5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205105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094"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This Post-Effective Amendment No. 1 (the “Amendment”) is being filed pursuant to Rule 414 under the Securities Act of 1933, as amended (the “Securities Act”), to notify the Securities and Exchange Commission (the “Commission”) that effective as of November 3, 2025, Bakkt Intermediate Holdings, Inc. (formerly “Bakkt Holdings, Inc.”), a Delaware corporation (the “Predecessor Registrant”), merged (the “Merger”) with and into Bakkt Merger Sub 1, Inc., a Delaware corporation (“Merger Sub”) and a direct wholly-owned subsidiary of Bakkt Holdings, Inc. (formerly “Bakkt NewCo Holdings, Inc.”), a Delaware corporation (the “Successor Registrant”), pursuant to which the Predecessor Registrant became a direct wholly-owned subsidiary of the Successor Registrant, in accordance with the Agreement and Plan of Merger, dated November 3, 2025, among the Predecessor Registrant, the Successor Registrant and Merger Sub. For the purposes of this Amendment and the Registration Statement (as defined below), (i) as of any time prior to the effective time of the Merger, references to the “Company,” “we,” “us,” “our” and similar terms mean the Predecessor Registrant and references to “Class A Common Stock” mean the Class A Common Stock, par value $0.0001 per share, of the Predecessor Registrant and (ii) as of the effective time of the Merger and thereafter, references to the “Company,” “we,” “us,” “our” and similar terms mean the Successor Registrant and references to “Class A Common Stock” mean the Class A Common Stock, par value $0.0001 per share, of the Successor Registrant. This Amendment does not reflect any increase in the number of shares issuable pursuant to the Company’s equity compensation plans.</w:t>
      </w:r>
    </w:p>
    <w:p>
      <w:pPr>
        <w:spacing w:after="0" w:line="190" w:lineRule="exact"/>
        <w:rPr>
          <w:sz w:val="20"/>
          <w:szCs w:val="20"/>
          <w:color w:val="auto"/>
        </w:rPr>
      </w:pPr>
    </w:p>
    <w:p>
      <w:pPr>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relates to the Registration Statement (the “Registration Statement”) of the Predecessor Registrant on Form S-8 (</w:t>
      </w:r>
      <w:hyperlink r:id="rId19">
        <w:r>
          <w:rPr>
            <w:rFonts w:ascii="Times New Roman" w:cs="Times New Roman" w:eastAsia="Times New Roman" w:hAnsi="Times New Roman"/>
            <w:sz w:val="18"/>
            <w:szCs w:val="18"/>
            <w:u w:val="single" w:color="auto"/>
            <w:color w:val="0000EE"/>
          </w:rPr>
          <w:t>File No. 333-288392</w:t>
        </w:r>
      </w:hyperlink>
      <w:r>
        <w:rPr>
          <w:rFonts w:ascii="Times New Roman" w:cs="Times New Roman" w:eastAsia="Times New Roman" w:hAnsi="Times New Roman"/>
          <w:sz w:val="18"/>
          <w:szCs w:val="18"/>
          <w:color w:val="auto"/>
        </w:rPr>
        <w:t>), filed with the Commission on June 27, 2025, registering 979,201 shares of Class A Common Stock issuable under the Bakkt Holdings, Inc. 2021 Omnibus Incentive Plan (the “Plan”).</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Merger, all of the outstanding capital stock of the Predecessor Registrant (including any options or other rights to acquire the same) was converted automatically, on a share-for-share basis, into equivalent capital stock of the Successor Registrant (and rights to acquire the same). As a result of the Merger, each stockholder of the Predecessor Registrant became a stockholder of the Successor Registrant. In connection with the Merger, the Successor Registrant assumed the Predecessor Registrant’s existing obligations in connection with awards granted under the Plan.</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accordance with Rule 414 under the Securities Act, the Successor Registrant hereby expressly adopts the Registration Statement as its own registration statement except as amended by this Amendment, for all purposes of the Securities Act and under the Securities Exchange Act of 1934, as amended (the “Exchange Act”). All registration fees were paid at the time of filing of the original Registration Statement.</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incorporates by reference the following documents that the Company has previously filed with the Commission:</w:t>
      </w:r>
    </w:p>
    <w:p>
      <w:pPr>
        <w:spacing w:after="0" w:line="131" w:lineRule="exact"/>
        <w:rPr>
          <w:sz w:val="20"/>
          <w:szCs w:val="20"/>
          <w:color w:val="auto"/>
        </w:rPr>
      </w:pPr>
    </w:p>
    <w:p>
      <w:pPr>
        <w:ind w:left="96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2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Commission on March 20, 2025 (the “Annual Report”);</w:t>
      </w:r>
    </w:p>
    <w:p>
      <w:pPr>
        <w:spacing w:after="0" w:line="67" w:lineRule="exact"/>
        <w:rPr>
          <w:rFonts w:ascii="Times New Roman" w:cs="Times New Roman" w:eastAsia="Times New Roman" w:hAnsi="Times New Roman"/>
          <w:sz w:val="18"/>
          <w:szCs w:val="18"/>
          <w:color w:val="auto"/>
        </w:rPr>
      </w:pPr>
    </w:p>
    <w:p>
      <w:pPr>
        <w:ind w:left="960" w:right="18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the Company’s Definitive Proxy Statement on </w:t>
      </w:r>
      <w:hyperlink r:id="rId21">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that are incorporated by reference into the Annual Report, filed with the Commission on April 28, 2025;</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Reports on Form 10-Q for the quarters ended March 31, 2025, filed with the Commission on </w:t>
      </w:r>
      <w:hyperlink r:id="rId22">
        <w:r>
          <w:rPr>
            <w:rFonts w:ascii="Times New Roman" w:cs="Times New Roman" w:eastAsia="Times New Roman" w:hAnsi="Times New Roman"/>
            <w:sz w:val="18"/>
            <w:szCs w:val="18"/>
            <w:u w:val="single" w:color="auto"/>
            <w:color w:val="0000EE"/>
          </w:rPr>
          <w:t>May 12, 2025</w:t>
        </w:r>
      </w:hyperlink>
      <w:r>
        <w:rPr>
          <w:rFonts w:ascii="Times New Roman" w:cs="Times New Roman" w:eastAsia="Times New Roman" w:hAnsi="Times New Roman"/>
          <w:sz w:val="18"/>
          <w:szCs w:val="18"/>
          <w:color w:val="auto"/>
        </w:rPr>
        <w:t xml:space="preserve">, and June 30, 2025, filed with the Commission on </w:t>
      </w:r>
      <w:hyperlink r:id="rId23">
        <w:r>
          <w:rPr>
            <w:rFonts w:ascii="Times New Roman" w:cs="Times New Roman" w:eastAsia="Times New Roman" w:hAnsi="Times New Roman"/>
            <w:sz w:val="18"/>
            <w:szCs w:val="18"/>
            <w:u w:val="single" w:color="auto"/>
            <w:color w:val="0000EE"/>
          </w:rPr>
          <w:t>August 11, 2025</w:t>
        </w:r>
      </w:hyperlink>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66" w:right="499" w:bottom="1440" w:gutter="0" w:footer="0" w:header="0"/>
        </w:sectPr>
      </w:pPr>
    </w:p>
    <w:bookmarkStart w:id="2" w:name="page3"/>
    <w:bookmarkEnd w:id="2"/>
    <w:p>
      <w:pPr>
        <w:ind w:left="960" w:right="20" w:hanging="532"/>
        <w:spacing w:after="0" w:line="254" w:lineRule="auto"/>
        <w:tabs>
          <w:tab w:leader="none" w:pos="960" w:val="left"/>
        </w:tabs>
        <w:numPr>
          <w:ilvl w:val="0"/>
          <w:numId w:val="2"/>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r:id="rId25">
        <w:r>
          <w:rPr>
            <w:rFonts w:ascii="Times New Roman" w:cs="Times New Roman" w:eastAsia="Times New Roman" w:hAnsi="Times New Roman"/>
            <w:sz w:val="18"/>
            <w:szCs w:val="18"/>
            <w:color w:val="auto"/>
          </w:rPr>
          <w:t xml:space="preserve">The Company’s Current Reports on Form 8-K filed with the Commission on </w:t>
        </w:r>
        <w:r>
          <w:rPr>
            <w:rFonts w:ascii="Times New Roman" w:cs="Times New Roman" w:eastAsia="Times New Roman" w:hAnsi="Times New Roman"/>
            <w:sz w:val="18"/>
            <w:szCs w:val="18"/>
            <w:u w:val="single" w:color="auto"/>
            <w:color w:val="0000EE"/>
          </w:rPr>
          <w:t>March 17,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22, 2025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6">
        <w:r>
          <w:rPr>
            <w:rFonts w:ascii="Times New Roman" w:cs="Times New Roman" w:eastAsia="Times New Roman" w:hAnsi="Times New Roman"/>
            <w:sz w:val="18"/>
            <w:szCs w:val="18"/>
            <w:u w:val="single" w:color="auto"/>
            <w:color w:val="0000EE"/>
          </w:rPr>
          <w:t xml:space="preserve">June 10, 2025 </w:t>
        </w:r>
      </w:hyperlink>
      <w:hyperlink r:id="rId25">
        <w:r>
          <w:rPr>
            <w:rFonts w:ascii="Times New Roman" w:cs="Times New Roman" w:eastAsia="Times New Roman" w:hAnsi="Times New Roman"/>
            <w:sz w:val="18"/>
            <w:szCs w:val="18"/>
            <w:color w:val="000000"/>
          </w:rPr>
          <w:t>(other than information furnished rather than filed),</w:t>
        </w:r>
        <w:r>
          <w:rPr>
            <w:rFonts w:ascii="Times New Roman" w:cs="Times New Roman" w:eastAsia="Times New Roman" w:hAnsi="Times New Roman"/>
            <w:sz w:val="18"/>
            <w:szCs w:val="18"/>
            <w:color w:val="0000EE"/>
          </w:rPr>
          <w:t xml:space="preserve"> </w:t>
        </w:r>
      </w:hyperlink>
      <w:hyperlink r:id="rId27">
        <w:r>
          <w:rPr>
            <w:rFonts w:ascii="Times New Roman" w:cs="Times New Roman" w:eastAsia="Times New Roman" w:hAnsi="Times New Roman"/>
            <w:sz w:val="18"/>
            <w:szCs w:val="18"/>
            <w:u w:val="single" w:color="auto"/>
            <w:color w:val="0000EE"/>
          </w:rPr>
          <w:t>June 10, 2025</w:t>
        </w:r>
      </w:hyperlink>
      <w:hyperlink r:id="rId2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8">
        <w:r>
          <w:rPr>
            <w:rFonts w:ascii="Times New Roman" w:cs="Times New Roman" w:eastAsia="Times New Roman" w:hAnsi="Times New Roman"/>
            <w:sz w:val="18"/>
            <w:szCs w:val="18"/>
            <w:u w:val="single" w:color="auto"/>
            <w:color w:val="0000EE"/>
          </w:rPr>
          <w:t>June 13, 2025</w:t>
        </w:r>
      </w:hyperlink>
      <w:hyperlink r:id="rId2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9">
        <w:r>
          <w:rPr>
            <w:rFonts w:ascii="Times New Roman" w:cs="Times New Roman" w:eastAsia="Times New Roman" w:hAnsi="Times New Roman"/>
            <w:sz w:val="18"/>
            <w:szCs w:val="18"/>
            <w:u w:val="single" w:color="auto"/>
            <w:color w:val="0000EE"/>
          </w:rPr>
          <w:t>June 20, 2025</w:t>
        </w:r>
      </w:hyperlink>
      <w:hyperlink r:id="rId2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0">
        <w:r>
          <w:rPr>
            <w:rFonts w:ascii="Times New Roman" w:cs="Times New Roman" w:eastAsia="Times New Roman" w:hAnsi="Times New Roman"/>
            <w:sz w:val="18"/>
            <w:szCs w:val="18"/>
            <w:u w:val="single" w:color="auto"/>
            <w:color w:val="0000EE"/>
          </w:rPr>
          <w:t>July 28, 2025</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(other than information furnished rather than filed), </w:t>
      </w:r>
      <w:hyperlink r:id="rId31">
        <w:r>
          <w:rPr>
            <w:rFonts w:ascii="Times New Roman" w:cs="Times New Roman" w:eastAsia="Times New Roman" w:hAnsi="Times New Roman"/>
            <w:sz w:val="18"/>
            <w:szCs w:val="18"/>
            <w:u w:val="single" w:color="auto"/>
            <w:color w:val="0000EE"/>
          </w:rPr>
          <w:t>July 30,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(other than information furnished rather than filed), </w:t>
      </w:r>
      <w:hyperlink r:id="rId32">
        <w:r>
          <w:rPr>
            <w:rFonts w:ascii="Times New Roman" w:cs="Times New Roman" w:eastAsia="Times New Roman" w:hAnsi="Times New Roman"/>
            <w:sz w:val="18"/>
            <w:szCs w:val="18"/>
            <w:u w:val="single" w:color="auto"/>
            <w:color w:val="0000EE"/>
          </w:rPr>
          <w:t>August 6, 2025</w:t>
        </w:r>
      </w:hyperlink>
      <w:r>
        <w:rPr>
          <w:rFonts w:ascii="Times New Roman" w:cs="Times New Roman" w:eastAsia="Times New Roman" w:hAnsi="Times New Roman"/>
          <w:sz w:val="18"/>
          <w:szCs w:val="18"/>
          <w:color w:val="000000"/>
        </w:rPr>
        <w:t xml:space="preserve"> </w:t>
      </w:r>
      <w:hyperlink r:id="rId33">
        <w:r>
          <w:rPr>
            <w:rFonts w:ascii="Times New Roman" w:cs="Times New Roman" w:eastAsia="Times New Roman" w:hAnsi="Times New Roman"/>
            <w:sz w:val="18"/>
            <w:szCs w:val="18"/>
            <w:color w:val="000000"/>
          </w:rPr>
          <w:t xml:space="preserve">(other than information furnished rather than filed), </w:t>
        </w:r>
        <w:r>
          <w:rPr>
            <w:rFonts w:ascii="Times New Roman" w:cs="Times New Roman" w:eastAsia="Times New Roman" w:hAnsi="Times New Roman"/>
            <w:sz w:val="18"/>
            <w:szCs w:val="18"/>
            <w:u w:val="single" w:color="auto"/>
            <w:color w:val="0000EE"/>
          </w:rPr>
          <w:t>August 8, 2025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EE"/>
          </w:rPr>
          <w:t>August 12, 2025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EE"/>
          </w:rPr>
          <w:t>August 29, 2025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EE"/>
          </w:rPr>
          <w:t>September 15, 2025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EE"/>
          </w:rPr>
          <w:t>September</w:t>
        </w:r>
      </w:hyperlink>
      <w:r>
        <w:rPr>
          <w:rFonts w:ascii="Times New Roman" w:cs="Times New Roman" w:eastAsia="Times New Roman" w:hAnsi="Times New Roman"/>
          <w:sz w:val="18"/>
          <w:szCs w:val="18"/>
          <w:color w:val="000000"/>
        </w:rPr>
        <w:t xml:space="preserve"> </w:t>
      </w:r>
      <w:hyperlink r:id="rId33">
        <w:r>
          <w:rPr>
            <w:rFonts w:ascii="Times New Roman" w:cs="Times New Roman" w:eastAsia="Times New Roman" w:hAnsi="Times New Roman"/>
            <w:sz w:val="18"/>
            <w:szCs w:val="18"/>
            <w:u w:val="single" w:color="auto"/>
            <w:color w:val="0000EE"/>
          </w:rPr>
          <w:t>22, 2025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4">
        <w:r>
          <w:rPr>
            <w:rFonts w:ascii="Times New Roman" w:cs="Times New Roman" w:eastAsia="Times New Roman" w:hAnsi="Times New Roman"/>
            <w:sz w:val="18"/>
            <w:szCs w:val="18"/>
            <w:u w:val="single" w:color="auto"/>
            <w:color w:val="0000EE"/>
          </w:rPr>
          <w:t xml:space="preserve">October 1, 2025 </w:t>
        </w:r>
      </w:hyperlink>
      <w:hyperlink r:id="rId33">
        <w:r>
          <w:rPr>
            <w:rFonts w:ascii="Times New Roman" w:cs="Times New Roman" w:eastAsia="Times New Roman" w:hAnsi="Times New Roman"/>
            <w:sz w:val="18"/>
            <w:szCs w:val="18"/>
            <w:color w:val="000000"/>
          </w:rPr>
          <w:t>(other than information furnished rather than filed),</w:t>
        </w:r>
        <w:r>
          <w:rPr>
            <w:rFonts w:ascii="Times New Roman" w:cs="Times New Roman" w:eastAsia="Times New Roman" w:hAnsi="Times New Roman"/>
            <w:sz w:val="18"/>
            <w:szCs w:val="18"/>
            <w:color w:val="0000EE"/>
          </w:rPr>
          <w:t xml:space="preserve"> </w:t>
        </w:r>
      </w:hyperlink>
      <w:hyperlink r:id="rId35">
        <w:r>
          <w:rPr>
            <w:rFonts w:ascii="Times New Roman" w:cs="Times New Roman" w:eastAsia="Times New Roman" w:hAnsi="Times New Roman"/>
            <w:sz w:val="18"/>
            <w:szCs w:val="18"/>
            <w:u w:val="single" w:color="auto"/>
            <w:color w:val="0000EE"/>
          </w:rPr>
          <w:t>October 8, 2025</w:t>
        </w:r>
      </w:hyperlink>
      <w:hyperlink r:id="rId3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6">
        <w:r>
          <w:rPr>
            <w:rFonts w:ascii="Times New Roman" w:cs="Times New Roman" w:eastAsia="Times New Roman" w:hAnsi="Times New Roman"/>
            <w:sz w:val="18"/>
            <w:szCs w:val="18"/>
            <w:u w:val="single" w:color="auto"/>
            <w:color w:val="0000EE"/>
          </w:rPr>
          <w:t>October 14, 2025</w:t>
        </w:r>
      </w:hyperlink>
      <w:hyperlink r:id="rId3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7">
        <w:r>
          <w:rPr>
            <w:rFonts w:ascii="Times New Roman" w:cs="Times New Roman" w:eastAsia="Times New Roman" w:hAnsi="Times New Roman"/>
            <w:sz w:val="18"/>
            <w:szCs w:val="18"/>
            <w:u w:val="single" w:color="auto"/>
            <w:color w:val="0000EE"/>
          </w:rPr>
          <w:t>October 20, 2025</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(other than information furnished rather than filed), </w:t>
      </w:r>
      <w:hyperlink r:id="rId38">
        <w:r>
          <w:rPr>
            <w:rFonts w:ascii="Times New Roman" w:cs="Times New Roman" w:eastAsia="Times New Roman" w:hAnsi="Times New Roman"/>
            <w:sz w:val="18"/>
            <w:szCs w:val="18"/>
            <w:u w:val="single" w:color="auto"/>
            <w:color w:val="0000EE"/>
          </w:rPr>
          <w:t>October 21, 2025</w:t>
        </w:r>
      </w:hyperlink>
      <w:r>
        <w:rPr>
          <w:rFonts w:ascii="Times New Roman" w:cs="Times New Roman" w:eastAsia="Times New Roman" w:hAnsi="Times New Roman"/>
          <w:sz w:val="18"/>
          <w:szCs w:val="18"/>
          <w:color w:val="000000"/>
        </w:rPr>
        <w:t xml:space="preserve">, </w:t>
      </w:r>
      <w:hyperlink r:id="rId39">
        <w:r>
          <w:rPr>
            <w:rFonts w:ascii="Times New Roman" w:cs="Times New Roman" w:eastAsia="Times New Roman" w:hAnsi="Times New Roman"/>
            <w:sz w:val="18"/>
            <w:szCs w:val="18"/>
            <w:u w:val="single" w:color="auto"/>
            <w:color w:val="0000EE"/>
          </w:rPr>
          <w:t>October 22, 2025</w:t>
        </w:r>
      </w:hyperlink>
      <w:r>
        <w:rPr>
          <w:rFonts w:ascii="Times New Roman" w:cs="Times New Roman" w:eastAsia="Times New Roman" w:hAnsi="Times New Roman"/>
          <w:sz w:val="18"/>
          <w:szCs w:val="18"/>
          <w:color w:val="000000"/>
        </w:rPr>
        <w:t xml:space="preserve">, </w:t>
      </w:r>
      <w:hyperlink r:id="rId40">
        <w:r>
          <w:rPr>
            <w:rFonts w:ascii="Times New Roman" w:cs="Times New Roman" w:eastAsia="Times New Roman" w:hAnsi="Times New Roman"/>
            <w:sz w:val="18"/>
            <w:szCs w:val="18"/>
            <w:u w:val="single" w:color="auto"/>
            <w:color w:val="0000EE"/>
          </w:rPr>
          <w:t>October 31,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(other than information furnished rather than filed), </w:t>
      </w:r>
      <w:hyperlink r:id="rId41">
        <w:r>
          <w:rPr>
            <w:rFonts w:ascii="Times New Roman" w:cs="Times New Roman" w:eastAsia="Times New Roman" w:hAnsi="Times New Roman"/>
            <w:sz w:val="18"/>
            <w:szCs w:val="18"/>
            <w:u w:val="single" w:color="auto"/>
            <w:color w:val="0000EE"/>
          </w:rPr>
          <w:t>November 3,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and </w:t>
      </w:r>
      <w:hyperlink r:id="rId42">
        <w:r>
          <w:rPr>
            <w:rFonts w:ascii="Times New Roman" w:cs="Times New Roman" w:eastAsia="Times New Roman" w:hAnsi="Times New Roman"/>
            <w:sz w:val="18"/>
            <w:szCs w:val="18"/>
            <w:u w:val="single" w:color="auto"/>
            <w:color w:val="0000EE"/>
          </w:rPr>
          <w:t>November 3,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and the Company’s Current Report on Form 8-K/A filed with the Commission on </w:t>
      </w:r>
      <w:hyperlink r:id="rId43">
        <w:r>
          <w:rPr>
            <w:rFonts w:ascii="Times New Roman" w:cs="Times New Roman" w:eastAsia="Times New Roman" w:hAnsi="Times New Roman"/>
            <w:sz w:val="18"/>
            <w:szCs w:val="18"/>
            <w:u w:val="single" w:color="auto"/>
            <w:color w:val="0000EE"/>
          </w:rPr>
          <w:t>November 7, 2025</w:t>
        </w:r>
      </w:hyperlink>
      <w:r>
        <w:rPr>
          <w:rFonts w:ascii="Times New Roman" w:cs="Times New Roman" w:eastAsia="Times New Roman" w:hAnsi="Times New Roman"/>
          <w:sz w:val="18"/>
          <w:szCs w:val="18"/>
          <w:color w:val="000000"/>
        </w:rPr>
        <w:t>; and</w:t>
      </w:r>
    </w:p>
    <w:p>
      <w:pPr>
        <w:spacing w:after="0" w:line="97" w:lineRule="exact"/>
        <w:rPr>
          <w:rFonts w:ascii="Times New Roman" w:cs="Times New Roman" w:eastAsia="Times New Roman" w:hAnsi="Times New Roman"/>
          <w:sz w:val="18"/>
          <w:szCs w:val="18"/>
          <w:color w:val="000000"/>
        </w:rPr>
      </w:pPr>
    </w:p>
    <w:p>
      <w:pPr>
        <w:ind w:left="960" w:right="80" w:hanging="532"/>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contained in </w:t>
      </w:r>
      <w:hyperlink r:id="rId44">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Company’s Current Report on Form 8-K filed on November 3, 2025, which updates the description of the Company’s Class A Common Stock contained in the Company’s Registration Statement on </w:t>
      </w:r>
      <w:hyperlink r:id="rId4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001-39544) filed with the Commission on October 15, 2021, pursuant to Section 12(b) of the Exchange Act, including any amendment or report filed for the purpose of updating such description, including </w:t>
      </w:r>
      <w:hyperlink r:id="rId46">
        <w:r>
          <w:rPr>
            <w:rFonts w:ascii="Times New Roman" w:cs="Times New Roman" w:eastAsia="Times New Roman" w:hAnsi="Times New Roman"/>
            <w:sz w:val="18"/>
            <w:szCs w:val="18"/>
            <w:u w:val="single" w:color="auto"/>
            <w:color w:val="0000EE"/>
          </w:rPr>
          <w:t>Exhibit 4.9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Annual Report.</w:t>
      </w:r>
    </w:p>
    <w:p>
      <w:pPr>
        <w:spacing w:after="0" w:line="180" w:lineRule="exact"/>
        <w:rPr>
          <w:rFonts w:ascii="Times New Roman" w:cs="Times New Roman" w:eastAsia="Times New Roman" w:hAnsi="Times New Roman"/>
          <w:sz w:val="18"/>
          <w:szCs w:val="18"/>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All documents filed by the Company with the Commission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(including, without limitation, information furnished under Item 2.02 or Item 7.01 of Current Reports on Form 8-K and the exhibits related to such items furnished under Item 9.01) shall not be deemed incorporated by reference into this Registration Statement.</w:t>
      </w:r>
    </w:p>
    <w:p>
      <w:pPr>
        <w:spacing w:after="0" w:line="189" w:lineRule="exact"/>
        <w:rPr>
          <w:rFonts w:ascii="Times New Roman" w:cs="Times New Roman" w:eastAsia="Times New Roman" w:hAnsi="Times New Roman"/>
          <w:sz w:val="18"/>
          <w:szCs w:val="18"/>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Any statement contained in this Registration Statement, or in a document incorporated or deemed to be incorporated by reference herein, shall be deemed to be modified or superseded for purposes of this Registration Statement to the extent that a statement contained herein or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80" w:lineRule="exact"/>
        <w:rPr>
          <w:rFonts w:ascii="Times New Roman" w:cs="Times New Roman" w:eastAsia="Times New Roman" w:hAnsi="Times New Roman"/>
          <w:sz w:val="18"/>
          <w:szCs w:val="18"/>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the extent that any information contained in any Current Report on Form 8-K, or any exhibit thereto, is or was furnished to, rather than filed with, the Commission, such information or exhibit is specifically not incorporated by reference.</w:t>
      </w:r>
    </w:p>
    <w:p>
      <w:pPr>
        <w:spacing w:after="0" w:line="26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rFonts w:ascii="Times New Roman" w:cs="Times New Roman" w:eastAsia="Times New Roman" w:hAnsi="Times New Roman"/>
          <w:sz w:val="18"/>
          <w:szCs w:val="18"/>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Corporate Law (“DGCL”) authorizes a corporation’s board of directors to grant, and authorizes a court to award, indemnity to officers, directors and other corporate agents.</w:t>
      </w:r>
    </w:p>
    <w:p>
      <w:pPr>
        <w:spacing w:after="0" w:line="162" w:lineRule="exact"/>
        <w:rPr>
          <w:rFonts w:ascii="Times New Roman" w:cs="Times New Roman" w:eastAsia="Times New Roman" w:hAnsi="Times New Roman"/>
          <w:sz w:val="18"/>
          <w:szCs w:val="18"/>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Company’s Amended and Restated Certificate of Incorporation (“Certificate of Incorporation”) contains provisions that limit the liability of the Company’s directors for monetary damages to the fullest extent permitted by the DGCL. Consequently, the Company’s directors will not be personally liable to the Company or its stockholders for monetary damages for any breach of fiduciary duties as directors, except liability for the following:</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the Company or its stockholders;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jc w:val="center"/>
        <w:ind w:left="5460" w:right="1160" w:hanging="4924"/>
        <w:spacing w:after="0" w:line="454" w:lineRule="auto"/>
        <w:tabs>
          <w:tab w:leader="none" w:pos="9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 2</w:t>
      </w:r>
    </w:p>
    <w:p>
      <w:pPr>
        <w:sectPr>
          <w:pgSz w:w="11900" w:h="16838" w:orient="portrait"/>
          <w:cols w:equalWidth="0" w:num="1">
            <w:col w:w="10980"/>
          </w:cols>
          <w:pgMar w:left="440" w:top="270" w:right="479" w:bottom="1440" w:gutter="0" w:footer="0" w:header="0"/>
        </w:sectPr>
      </w:pPr>
    </w:p>
    <w:bookmarkStart w:id="3" w:name="page4"/>
    <w:bookmarkEnd w:id="3"/>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transaction from which they derived an improper personal benefit.</w:t>
      </w:r>
    </w:p>
    <w:p>
      <w:pPr>
        <w:spacing w:after="0" w:line="225"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the Company’s directors will be further limited to the greatest extent permitted by the DGCL.</w:t>
      </w:r>
    </w:p>
    <w:p>
      <w:pPr>
        <w:spacing w:after="0" w:line="180"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In addition, the Company’s Amended and Restated Bylaws (“By-Laws”) provide that the Company will indemnify its directors and officers, and may indemnify its employees, agents and any other persons, to the fullest extent permitted by the DGCL. The Company’s By-Laws also provide that the Company must advance expenses incurred by or on behalf of a director or officer in advance of the final disposition of any action or proceeding, subject to limited exceptions.</w:t>
      </w:r>
    </w:p>
    <w:p>
      <w:pPr>
        <w:spacing w:after="0" w:line="180"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Further, the Company has entered into or will enter into indemnification agreements with each of its directors and executive officers that may be broader than the specific indemnification provisions contained in the DGCL. These indemnification agreements require the Company, among other things, to indemnify its directors and executive officers against liabilities that may arise by reason of their status or service. These indemnification agreements also require the Company to advance all expenses reasonably and actually incurred by the directors and executive officers in investigating or defending any such action, suit or proceeding. The Company believes that these agreements are necessary to attract and retain qualified individuals to serve as directors and executive officers.</w:t>
      </w:r>
    </w:p>
    <w:p>
      <w:pPr>
        <w:spacing w:after="0" w:line="187" w:lineRule="exact"/>
        <w:rPr>
          <w:sz w:val="20"/>
          <w:szCs w:val="20"/>
          <w:color w:val="auto"/>
        </w:rPr>
      </w:pPr>
    </w:p>
    <w:p>
      <w:pPr>
        <w:ind w:left="4" w:right="140"/>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included in the Company’s Certificate of Incorporation, By-Laws and the indemnification agreements that the Company has entered into or will enter into with its directors and executive officers may discourage stockholders from bringing a lawsuit against the Company’s directors and executive officers for breach of their fiduciary duties. They may also reduce the likelihood of derivative litigation against the Company’s directors and executive officers, even though an action, if successful, might benefit the Company and its stockholders. Further, a stockholder’s investment may be adversely affected to the extent that the Company pays the costs of settlement and damage awards against directors and executive officers as required by these indemnification provisions.</w:t>
      </w:r>
    </w:p>
    <w:p>
      <w:pPr>
        <w:spacing w:after="0" w:line="187"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The Company has obtained insurance policies under which, subject to the limitations of the policies, coverage is provided to the Company’s directors and executive officers against loss arising from claims made by reason of breach of fiduciary duty or other wrongful acts as a director or executive officer, including claims relating to public securities matters, and to the Company with respect to payments that may be made by the Company to these directors and executive officers pursuant to the Company’s indemnification obligations or otherwise as a matter of law.</w:t>
      </w:r>
    </w:p>
    <w:p>
      <w:pPr>
        <w:spacing w:after="0" w:line="180"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Certain of the Company’s non-employee directors may, through their relationships with their employers, be insured and/or indemnified against certain liabilities incurred in their capacity as members of the board of directors.</w:t>
      </w:r>
    </w:p>
    <w:p>
      <w:pPr>
        <w:spacing w:after="0" w:line="162" w:lineRule="exact"/>
        <w:rPr>
          <w:sz w:val="20"/>
          <w:szCs w:val="20"/>
          <w:color w:val="auto"/>
        </w:rPr>
      </w:pPr>
    </w:p>
    <w:p>
      <w:pPr>
        <w:jc w:val="both"/>
        <w:ind w:left="4" w:right="3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Company pursuant to the foregoing provisions, the Company has been informed that, in the opinion of the Commission, such indemnification is against public policy as expressed in the Securities Act and is therefore unenforceable.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14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0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884" w:right="320" w:hanging="884"/>
        <w:spacing w:after="0" w:line="282" w:lineRule="auto"/>
        <w:tabs>
          <w:tab w:leader="none" w:pos="97" w:val="left"/>
        </w:tabs>
        <w:numPr>
          <w:ilvl w:val="0"/>
          <w:numId w:val="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hyperlink r:id="rId48">
        <w:r>
          <w:rPr>
            <w:rFonts w:ascii="Times New Roman" w:cs="Times New Roman" w:eastAsia="Times New Roman" w:hAnsi="Times New Roman"/>
            <w:sz w:val="18"/>
            <w:szCs w:val="18"/>
            <w:u w:val="single" w:color="auto"/>
            <w:color w:val="0000EE"/>
          </w:rPr>
          <w:t>Amended and Restated Certificate of Incorporation of Bakkt Holdings, Inc. (incorporated by reference to Exhibit 3.1 to Bakkt Holdings,</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Inc.’s Current Report on Form 8-K (File No. 001-39544) filed with the SEC on November 3, 2025).</w:t>
        </w:r>
      </w:hyperlink>
    </w:p>
    <w:p>
      <w:pPr>
        <w:spacing w:after="0" w:line="94" w:lineRule="exact"/>
        <w:rPr>
          <w:rFonts w:ascii="Times New Roman" w:cs="Times New Roman" w:eastAsia="Times New Roman" w:hAnsi="Times New Roman"/>
          <w:sz w:val="18"/>
          <w:szCs w:val="18"/>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161"/>
        </w:trPr>
        <w:tc>
          <w:tcPr>
            <w:tcW w:w="302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80" w:type="dxa"/>
            <w:vAlign w:val="bottom"/>
            <w:vMerge w:val="restart"/>
          </w:tcPr>
          <w:p>
            <w:pPr>
              <w:ind w:left="2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302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rPr>
              <w:t>No.</w:t>
            </w:r>
          </w:p>
        </w:tc>
        <w:tc>
          <w:tcPr>
            <w:tcW w:w="3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-10160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3" w:lineRule="exact"/>
        <w:rPr>
          <w:sz w:val="20"/>
          <w:szCs w:val="20"/>
          <w:color w:val="auto"/>
        </w:rPr>
      </w:pPr>
    </w:p>
    <w:p>
      <w:pPr>
        <w:ind w:left="884" w:right="180" w:hanging="884"/>
        <w:spacing w:after="0" w:line="282" w:lineRule="auto"/>
        <w:tabs>
          <w:tab w:leader="none" w:pos="97" w:val="left"/>
        </w:tabs>
        <w:numPr>
          <w:ilvl w:val="0"/>
          <w:numId w:val="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hyperlink r:id="rId51">
        <w:r>
          <w:rPr>
            <w:rFonts w:ascii="Times New Roman" w:cs="Times New Roman" w:eastAsia="Times New Roman" w:hAnsi="Times New Roman"/>
            <w:sz w:val="18"/>
            <w:szCs w:val="18"/>
            <w:u w:val="single" w:color="auto"/>
            <w:color w:val="0000EE"/>
          </w:rPr>
          <w:t>Amended and Restated Bylaws of Bakkt Holdings, Inc. (incorporated by reference to Exhibit 3.2 to Bakkt Holdings, Inc.’s Current Report</w:t>
        </w:r>
      </w:hyperlink>
      <w:r>
        <w:rPr>
          <w:rFonts w:ascii="Times New Roman" w:cs="Times New Roman" w:eastAsia="Times New Roman" w:hAnsi="Times New Roman"/>
          <w:sz w:val="18"/>
          <w:szCs w:val="18"/>
          <w:u w:val="single" w:color="auto"/>
          <w:color w:val="0000EE"/>
        </w:rPr>
        <w:t xml:space="preserve"> </w:t>
      </w:r>
      <w:hyperlink r:id="rId51">
        <w:r>
          <w:rPr>
            <w:rFonts w:ascii="Times New Roman" w:cs="Times New Roman" w:eastAsia="Times New Roman" w:hAnsi="Times New Roman"/>
            <w:sz w:val="18"/>
            <w:szCs w:val="18"/>
            <w:u w:val="single" w:color="auto"/>
            <w:color w:val="0000EE"/>
          </w:rPr>
          <w:t>on Form 8-K (File No. 001-39544) filed with the SEC on November 3, 2025).</w:t>
        </w:r>
      </w:hyperlink>
    </w:p>
    <w:p>
      <w:pPr>
        <w:spacing w:after="0" w:line="40" w:lineRule="exact"/>
        <w:rPr>
          <w:rFonts w:ascii="Times New Roman" w:cs="Times New Roman" w:eastAsia="Times New Roman" w:hAnsi="Times New Roman"/>
          <w:sz w:val="18"/>
          <w:szCs w:val="18"/>
          <w:color w:val="auto"/>
        </w:rPr>
      </w:pPr>
    </w:p>
    <w:tbl>
      <w:tblPr>
        <w:tblLayout w:type="fixed"/>
        <w:tblInd w:w="4"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99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Specimen Class A Common Stock Certificate of the Company (incorporated by reference to Exhibit 4.1 to the Company’s Form 8-K filed</w:t>
              </w:r>
            </w:hyperlink>
          </w:p>
        </w:tc>
      </w:tr>
      <w:tr>
        <w:trPr>
          <w:trHeight w:val="196"/>
        </w:trPr>
        <w:tc>
          <w:tcPr>
            <w:tcW w:w="880" w:type="dxa"/>
            <w:vAlign w:val="bottom"/>
          </w:tcPr>
          <w:p>
            <w:pPr>
              <w:spacing w:after="0"/>
              <w:rPr>
                <w:sz w:val="17"/>
                <w:szCs w:val="17"/>
                <w:color w:val="auto"/>
              </w:rPr>
            </w:pPr>
          </w:p>
        </w:tc>
        <w:tc>
          <w:tcPr>
            <w:tcW w:w="9920" w:type="dxa"/>
            <w:vAlign w:val="bottom"/>
            <w:gridSpan w:val="2"/>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with the Commission on October 21, 2021).</w:t>
              </w:r>
            </w:hyperlink>
          </w:p>
        </w:tc>
      </w:tr>
      <w:tr>
        <w:trPr>
          <w:trHeight w:val="20"/>
        </w:trPr>
        <w:tc>
          <w:tcPr>
            <w:tcW w:w="88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bl>
    <w:p>
      <w:pPr>
        <w:spacing w:after="0" w:line="117" w:lineRule="exact"/>
        <w:rPr>
          <w:sz w:val="20"/>
          <w:szCs w:val="20"/>
          <w:color w:val="auto"/>
        </w:rPr>
      </w:pPr>
    </w:p>
    <w:p>
      <w:pPr>
        <w:ind w:left="884" w:right="280" w:hanging="884"/>
        <w:spacing w:after="0" w:line="282" w:lineRule="auto"/>
        <w:tabs>
          <w:tab w:leader="none" w:pos="97" w:val="left"/>
        </w:tabs>
        <w:numPr>
          <w:ilvl w:val="0"/>
          <w:numId w:val="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hyperlink r:id="rId53">
        <w:r>
          <w:rPr>
            <w:rFonts w:ascii="Times New Roman" w:cs="Times New Roman" w:eastAsia="Times New Roman" w:hAnsi="Times New Roman"/>
            <w:sz w:val="18"/>
            <w:szCs w:val="18"/>
            <w:u w:val="single" w:color="auto"/>
            <w:color w:val="0000EE"/>
          </w:rPr>
          <w:t>Bakkt Holdings, Inc. 2021 Omnibus Incentive Plan (incorporated by reference to Exhibit 10.9 to the Company’s Form 8-K filed with the</w:t>
        </w:r>
      </w:hyperlink>
      <w:r>
        <w:rPr>
          <w:rFonts w:ascii="Times New Roman" w:cs="Times New Roman" w:eastAsia="Times New Roman" w:hAnsi="Times New Roman"/>
          <w:sz w:val="18"/>
          <w:szCs w:val="18"/>
          <w:u w:val="single" w:color="auto"/>
          <w:color w:val="0000EE"/>
        </w:rPr>
        <w:t xml:space="preserve"> </w:t>
      </w:r>
      <w:hyperlink r:id="rId53">
        <w:r>
          <w:rPr>
            <w:rFonts w:ascii="Times New Roman" w:cs="Times New Roman" w:eastAsia="Times New Roman" w:hAnsi="Times New Roman"/>
            <w:sz w:val="18"/>
            <w:szCs w:val="18"/>
            <w:u w:val="single" w:color="auto"/>
            <w:color w:val="0000EE"/>
          </w:rPr>
          <w:t>Commission on October 21, 2021).</w:t>
        </w:r>
      </w:hyperlink>
    </w:p>
    <w:p>
      <w:pPr>
        <w:spacing w:after="0" w:line="53" w:lineRule="exact"/>
        <w:rPr>
          <w:rFonts w:ascii="Times New Roman" w:cs="Times New Roman" w:eastAsia="Times New Roman" w:hAnsi="Times New Roman"/>
          <w:sz w:val="18"/>
          <w:szCs w:val="18"/>
          <w:u w:val="single" w:color="auto"/>
          <w:color w:val="0000EE"/>
        </w:rPr>
      </w:pPr>
    </w:p>
    <w:p>
      <w:pPr>
        <w:ind w:left="884" w:right="360" w:hanging="884"/>
        <w:spacing w:after="0" w:line="282" w:lineRule="auto"/>
        <w:tabs>
          <w:tab w:leader="none" w:pos="97" w:val="left"/>
        </w:tabs>
        <w:numPr>
          <w:ilvl w:val="0"/>
          <w:numId w:val="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hyperlink r:id="rId54">
        <w:r>
          <w:rPr>
            <w:rFonts w:ascii="Times New Roman" w:cs="Times New Roman" w:eastAsia="Times New Roman" w:hAnsi="Times New Roman"/>
            <w:sz w:val="18"/>
            <w:szCs w:val="18"/>
            <w:u w:val="single" w:color="auto"/>
            <w:color w:val="0000EE"/>
          </w:rPr>
          <w:t>Amendment No. 1 to Bakkt Holdings, Inc. 2021 Omnibus Incentive Plan (incorporated by reference to Exhibit 10.11 to the Company’s</w:t>
        </w:r>
      </w:hyperlink>
      <w:r>
        <w:rPr>
          <w:rFonts w:ascii="Times New Roman" w:cs="Times New Roman" w:eastAsia="Times New Roman" w:hAnsi="Times New Roman"/>
          <w:sz w:val="18"/>
          <w:szCs w:val="18"/>
          <w:u w:val="single" w:color="auto"/>
          <w:color w:val="0000EE"/>
        </w:rPr>
        <w:t xml:space="preserve"> </w:t>
      </w:r>
      <w:hyperlink r:id="rId54">
        <w:r>
          <w:rPr>
            <w:rFonts w:ascii="Times New Roman" w:cs="Times New Roman" w:eastAsia="Times New Roman" w:hAnsi="Times New Roman"/>
            <w:sz w:val="18"/>
            <w:szCs w:val="18"/>
            <w:u w:val="single" w:color="auto"/>
            <w:color w:val="0000EE"/>
          </w:rPr>
          <w:t>Form 10-K filed with the Commission on March 20, 2025).</w:t>
        </w:r>
      </w:hyperlink>
    </w:p>
    <w:p>
      <w:pPr>
        <w:spacing w:after="0" w:line="53" w:lineRule="exact"/>
        <w:rPr>
          <w:rFonts w:ascii="Times New Roman" w:cs="Times New Roman" w:eastAsia="Times New Roman" w:hAnsi="Times New Roman"/>
          <w:sz w:val="18"/>
          <w:szCs w:val="18"/>
          <w:u w:val="single" w:color="auto"/>
          <w:color w:val="0000EE"/>
        </w:rPr>
      </w:pPr>
    </w:p>
    <w:p>
      <w:pPr>
        <w:ind w:left="884" w:right="360" w:hanging="884"/>
        <w:spacing w:after="0" w:line="282" w:lineRule="auto"/>
        <w:tabs>
          <w:tab w:leader="none" w:pos="97" w:val="left"/>
        </w:tabs>
        <w:numPr>
          <w:ilvl w:val="0"/>
          <w:numId w:val="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hyperlink r:id="rId55">
        <w:r>
          <w:rPr>
            <w:rFonts w:ascii="Times New Roman" w:cs="Times New Roman" w:eastAsia="Times New Roman" w:hAnsi="Times New Roman"/>
            <w:sz w:val="18"/>
            <w:szCs w:val="18"/>
            <w:u w:val="single" w:color="auto"/>
            <w:color w:val="0000EE"/>
          </w:rPr>
          <w:t>Amendment No. 2 to Bakkt Holdings, Inc. 2021 Omnibus Incentive Plan (incorporated by reference to Exhibit 10.12 to the Company’s</w:t>
        </w:r>
      </w:hyperlink>
      <w:r>
        <w:rPr>
          <w:rFonts w:ascii="Times New Roman" w:cs="Times New Roman" w:eastAsia="Times New Roman" w:hAnsi="Times New Roman"/>
          <w:sz w:val="18"/>
          <w:szCs w:val="18"/>
          <w:u w:val="single" w:color="auto"/>
          <w:color w:val="0000EE"/>
        </w:rPr>
        <w:t xml:space="preserve"> </w:t>
      </w:r>
      <w:hyperlink r:id="rId55">
        <w:r>
          <w:rPr>
            <w:rFonts w:ascii="Times New Roman" w:cs="Times New Roman" w:eastAsia="Times New Roman" w:hAnsi="Times New Roman"/>
            <w:sz w:val="18"/>
            <w:szCs w:val="18"/>
            <w:u w:val="single" w:color="auto"/>
            <w:color w:val="0000EE"/>
          </w:rPr>
          <w:t>Form 10-K filed with the Commission on March 20, 2025).</w:t>
        </w:r>
      </w:hyperlink>
    </w:p>
    <w:p>
      <w:pPr>
        <w:spacing w:after="0" w:line="53" w:lineRule="exact"/>
        <w:rPr>
          <w:rFonts w:ascii="Times New Roman" w:cs="Times New Roman" w:eastAsia="Times New Roman" w:hAnsi="Times New Roman"/>
          <w:sz w:val="18"/>
          <w:szCs w:val="18"/>
          <w:u w:val="single" w:color="auto"/>
          <w:color w:val="0000EE"/>
        </w:rPr>
      </w:pPr>
    </w:p>
    <w:p>
      <w:pPr>
        <w:ind w:left="884" w:right="100" w:hanging="884"/>
        <w:spacing w:after="0" w:line="282" w:lineRule="auto"/>
        <w:tabs>
          <w:tab w:leader="none" w:pos="97" w:val="left"/>
        </w:tabs>
        <w:numPr>
          <w:ilvl w:val="0"/>
          <w:numId w:val="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hyperlink r:id="rId56">
        <w:r>
          <w:rPr>
            <w:rFonts w:ascii="Times New Roman" w:cs="Times New Roman" w:eastAsia="Times New Roman" w:hAnsi="Times New Roman"/>
            <w:sz w:val="18"/>
            <w:szCs w:val="18"/>
            <w:u w:val="single" w:color="auto"/>
            <w:color w:val="0000EE"/>
          </w:rPr>
          <w:t>Amendment No. 3 to Bakkt Holdings, Inc. 2021 Omnibus Incentive Plan (incorporated by reference to Exhibit 4.5 to the Company’s Form</w:t>
        </w:r>
      </w:hyperlink>
      <w:r>
        <w:rPr>
          <w:rFonts w:ascii="Times New Roman" w:cs="Times New Roman" w:eastAsia="Times New Roman" w:hAnsi="Times New Roman"/>
          <w:sz w:val="18"/>
          <w:szCs w:val="18"/>
          <w:u w:val="single" w:color="auto"/>
          <w:color w:val="0000EE"/>
        </w:rPr>
        <w:t xml:space="preserve"> </w:t>
      </w:r>
      <w:hyperlink r:id="rId56">
        <w:r>
          <w:rPr>
            <w:rFonts w:ascii="Times New Roman" w:cs="Times New Roman" w:eastAsia="Times New Roman" w:hAnsi="Times New Roman"/>
            <w:sz w:val="18"/>
            <w:szCs w:val="18"/>
            <w:u w:val="single" w:color="auto"/>
            <w:color w:val="0000EE"/>
          </w:rPr>
          <w:t>S-8 filed with the Commission on June 27, 2025).</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Sullivan &amp; Cromwell LLP.</w:t>
      </w:r>
    </w:p>
    <w:p>
      <w:pPr>
        <w:spacing w:after="0" w:line="129"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Ernst &amp; Young LLP, independent registered public accounting firm of the Company.</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KPMG LLP, independent registered public accounting firm of the Company.</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u w:val="single" w:color="auto"/>
          <w:color w:val="0000EE"/>
        </w:rPr>
        <w:t>Consent of Sullivan &amp; Cromwell LLP (included in Exhibit 5.1).</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on signature page).</w:t>
      </w:r>
    </w:p>
    <w:p>
      <w:pPr>
        <w:spacing w:after="0" w:line="329" w:lineRule="exact"/>
        <w:rPr>
          <w:rFonts w:ascii="Times New Roman" w:cs="Times New Roman" w:eastAsia="Times New Roman" w:hAnsi="Times New Roman"/>
          <w:sz w:val="18"/>
          <w:szCs w:val="18"/>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3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ind w:left="444" w:firstLine="419"/>
        <w:spacing w:after="0" w:line="255" w:lineRule="auto"/>
        <w:tabs>
          <w:tab w:leader="none" w:pos="113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0" w:lineRule="exact"/>
        <w:rPr>
          <w:rFonts w:ascii="Times New Roman" w:cs="Times New Roman" w:eastAsia="Times New Roman" w:hAnsi="Times New Roman"/>
          <w:sz w:val="18"/>
          <w:szCs w:val="18"/>
          <w:color w:val="auto"/>
        </w:rPr>
      </w:pPr>
    </w:p>
    <w:p>
      <w:pPr>
        <w:ind w:left="444" w:right="100" w:firstLine="419"/>
        <w:spacing w:after="0" w:line="256" w:lineRule="auto"/>
        <w:tabs>
          <w:tab w:leader="none" w:pos="118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paragraphs (1)(i), (1)(ii) and (1)(iii) do not apply if the information required to be included in a post-effective amendment by those paragraphs is contained in reports filed with or furnished to 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w:t>
      </w:r>
    </w:p>
    <w:p>
      <w:pPr>
        <w:spacing w:after="0" w:line="92"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964" w:right="400" w:hanging="532"/>
        <w:spacing w:after="0" w:line="282" w:lineRule="auto"/>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ind w:left="444" w:right="240" w:firstLine="419"/>
        <w:spacing w:after="0" w:line="282" w:lineRule="auto"/>
        <w:tabs>
          <w:tab w:leader="none" w:pos="108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w:t>
      </w:r>
    </w:p>
    <w:p>
      <w:pPr>
        <w:spacing w:after="0" w:line="27" w:lineRule="exact"/>
        <w:rPr>
          <w:rFonts w:ascii="Times New Roman" w:cs="Times New Roman" w:eastAsia="Times New Roman" w:hAnsi="Times New Roman"/>
          <w:sz w:val="18"/>
          <w:szCs w:val="18"/>
          <w:color w:val="auto"/>
        </w:rPr>
      </w:pPr>
    </w:p>
    <w:p>
      <w:pPr>
        <w:ind w:left="444"/>
        <w:spacing w:after="0"/>
        <w:rPr>
          <w:sz w:val="20"/>
          <w:szCs w:val="20"/>
          <w:color w:val="auto"/>
        </w:rPr>
      </w:pPr>
      <w:r>
        <w:rPr>
          <w:rFonts w:ascii="Times New Roman" w:cs="Times New Roman" w:eastAsia="Times New Roman" w:hAnsi="Times New Roman"/>
          <w:sz w:val="18"/>
          <w:szCs w:val="18"/>
          <w:color w:val="auto"/>
        </w:rPr>
        <w:t>Rule 430B relating to an offering made pursuant to Rule 415(a)(1)(i), (vii) or (x) for the purpose of providing the information required by</w:t>
      </w:r>
    </w:p>
    <w:p>
      <w:pPr>
        <w:spacing w:after="0" w:line="9" w:lineRule="exact"/>
        <w:rPr>
          <w:rFonts w:ascii="Times New Roman" w:cs="Times New Roman" w:eastAsia="Times New Roman" w:hAnsi="Times New Roman"/>
          <w:sz w:val="18"/>
          <w:szCs w:val="18"/>
          <w:color w:val="auto"/>
        </w:rPr>
      </w:pPr>
    </w:p>
    <w:p>
      <w:pPr>
        <w:ind w:left="444" w:right="20"/>
        <w:spacing w:after="0" w:line="251" w:lineRule="auto"/>
        <w:rPr>
          <w:sz w:val="20"/>
          <w:szCs w:val="20"/>
          <w:color w:val="auto"/>
        </w:rPr>
      </w:pPr>
      <w:r>
        <w:rPr>
          <w:rFonts w:ascii="Times New Roman" w:cs="Times New Roman" w:eastAsia="Times New Roman" w:hAnsi="Times New Roman"/>
          <w:sz w:val="18"/>
          <w:szCs w:val="18"/>
          <w:color w:val="auto"/>
        </w:rPr>
        <w:t xml:space="preserve">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9" w:lineRule="exact"/>
        <w:rPr>
          <w:rFonts w:ascii="Times New Roman" w:cs="Times New Roman" w:eastAsia="Times New Roman" w:hAnsi="Times New Roman"/>
          <w:sz w:val="18"/>
          <w:szCs w:val="18"/>
          <w:color w:val="auto"/>
        </w:rPr>
      </w:pPr>
    </w:p>
    <w:p>
      <w:pPr>
        <w:ind w:left="964" w:hanging="532"/>
        <w:spacing w:after="0" w:line="258" w:lineRule="auto"/>
        <w:tabs>
          <w:tab w:leader="none" w:pos="9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ectPr>
          <w:pgSz w:w="11900" w:h="16838" w:orient="portrait"/>
          <w:cols w:equalWidth="0" w:num="1">
            <w:col w:w="11004"/>
          </w:cols>
          <w:pgMar w:left="436" w:top="251" w:right="459" w:bottom="83" w:gutter="0" w:footer="0" w:header="0"/>
        </w:sectPr>
      </w:pPr>
    </w:p>
    <w:bookmarkStart w:id="5" w:name="page6"/>
    <w:bookmarkEnd w:id="5"/>
    <w:p>
      <w:pPr>
        <w:ind w:left="440" w:right="280" w:firstLine="419"/>
        <w:spacing w:after="0" w:line="282" w:lineRule="auto"/>
        <w:tabs>
          <w:tab w:leader="none" w:pos="11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1" w:lineRule="exact"/>
        <w:rPr>
          <w:sz w:val="20"/>
          <w:szCs w:val="20"/>
          <w:color w:val="auto"/>
        </w:rPr>
      </w:pPr>
    </w:p>
    <w:p>
      <w:pPr>
        <w:ind w:left="960" w:right="40" w:hanging="532"/>
        <w:spacing w:after="0" w:line="258"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9" w:lineRule="exact"/>
        <w:rPr>
          <w:sz w:val="20"/>
          <w:szCs w:val="20"/>
          <w:color w:val="auto"/>
        </w:rPr>
      </w:pPr>
    </w:p>
    <w:p>
      <w:pPr>
        <w:ind w:left="960" w:hanging="532"/>
        <w:spacing w:after="0" w:line="254"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City of New York, State of New York, on November 10,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Akshay Naheta</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KNOW ALL BY THESE PRESENT, that each individual whose signature appears below hereby constitutes and appoints each of Akshay Naheta, Marc D’Annunzio and Karen Alexander, and each or any one of them, as such person’s true and lawful attorney-in-fact and agent with full power of substitution and resubstitution, for such person in such person’s name, place and stead, in any and all capacities, to sign any and all amendments (including any further post-effective amendments) to this Registration Statement on Form S-8,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121" w:right="459" w:bottom="1440" w:gutter="0" w:footer="0" w:header="0"/>
        </w:sectPr>
      </w:pPr>
    </w:p>
    <w:bookmarkStart w:id="6" w:name="page7"/>
    <w:bookmarkEnd w:id="6"/>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the requirements of the Securities Act, this Post-Effective Amendment No. 1 to the Registration Statement has been signed by the following persons in the capacities and on the 10th day of November,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6660" w:type="dxa"/>
            <w:vAlign w:val="bottom"/>
            <w:tcBorders>
              <w:bottom w:val="single" w:sz="8" w:color="auto"/>
            </w:tcBorders>
          </w:tcPr>
          <w:p>
            <w:pPr>
              <w:ind w:left="318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2"/>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Akshay Naheta</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Akshay Naheta</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Karen Alexander</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Karen Alexander</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Henderson</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Joseph Henderson</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Collins</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Sean Collins</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Madelyn Alden Schwartzer</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Madelyn Alden Schwartzer</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Alfred</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Michael Alfred</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Colleen Brown</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Colleen Brown</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360"/>
        </w:trPr>
        <w:tc>
          <w:tcPr>
            <w:tcW w:w="4260" w:type="dxa"/>
            <w:vAlign w:val="bottom"/>
          </w:tcPr>
          <w:p>
            <w:pPr>
              <w:spacing w:after="0"/>
              <w:rPr>
                <w:sz w:val="24"/>
                <w:szCs w:val="24"/>
                <w:color w:val="auto"/>
              </w:rPr>
            </w:pPr>
          </w:p>
        </w:tc>
        <w:tc>
          <w:tcPr>
            <w:tcW w:w="6760" w:type="dxa"/>
            <w:vAlign w:val="bottom"/>
            <w:gridSpan w:val="2"/>
          </w:tcPr>
          <w:p>
            <w:pPr>
              <w:jc w:val="right"/>
              <w:ind w:right="5392"/>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020"/>
          </w:cols>
          <w:pgMar w:left="440" w:top="270" w:right="4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10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w w:val="97"/>
              </w:rPr>
              <w:t>Exhibit 5.1</w:t>
            </w:r>
          </w:p>
        </w:tc>
        <w:tc>
          <w:tcPr>
            <w:tcW w:w="0" w:type="dxa"/>
            <w:vAlign w:val="bottom"/>
          </w:tcPr>
          <w:p>
            <w:pPr>
              <w:spacing w:after="0"/>
              <w:rPr>
                <w:sz w:val="1"/>
                <w:szCs w:val="1"/>
                <w:color w:val="auto"/>
              </w:rPr>
            </w:pPr>
          </w:p>
        </w:tc>
      </w:tr>
      <w:tr>
        <w:trPr>
          <w:trHeight w:val="437"/>
        </w:trPr>
        <w:tc>
          <w:tcPr>
            <w:tcW w:w="5140" w:type="dxa"/>
            <w:vAlign w:val="bottom"/>
          </w:tcPr>
          <w:p>
            <w:pPr>
              <w:spacing w:after="0"/>
              <w:rPr>
                <w:sz w:val="24"/>
                <w:szCs w:val="24"/>
                <w:color w:val="auto"/>
              </w:rPr>
            </w:pPr>
          </w:p>
        </w:tc>
        <w:tc>
          <w:tcPr>
            <w:tcW w:w="58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125 Broad Street</w:t>
            </w:r>
          </w:p>
        </w:tc>
        <w:tc>
          <w:tcPr>
            <w:tcW w:w="0" w:type="dxa"/>
            <w:vAlign w:val="bottom"/>
          </w:tcPr>
          <w:p>
            <w:pPr>
              <w:spacing w:after="0"/>
              <w:rPr>
                <w:sz w:val="1"/>
                <w:szCs w:val="1"/>
                <w:color w:val="auto"/>
              </w:rPr>
            </w:pPr>
          </w:p>
        </w:tc>
      </w:tr>
      <w:tr>
        <w:trPr>
          <w:trHeight w:val="216"/>
        </w:trPr>
        <w:tc>
          <w:tcPr>
            <w:tcW w:w="5140" w:type="dxa"/>
            <w:vAlign w:val="bottom"/>
            <w:vMerge w:val="restart"/>
          </w:tcPr>
          <w:p>
            <w:pPr>
              <w:jc w:val="center"/>
              <w:ind w:left="390"/>
              <w:spacing w:after="0"/>
              <w:rPr>
                <w:sz w:val="20"/>
                <w:szCs w:val="20"/>
                <w:color w:val="auto"/>
              </w:rPr>
            </w:pPr>
            <w:r>
              <w:rPr>
                <w:rFonts w:ascii="Times New Roman" w:cs="Times New Roman" w:eastAsia="Times New Roman" w:hAnsi="Times New Roman"/>
                <w:sz w:val="18"/>
                <w:szCs w:val="18"/>
                <w:color w:val="auto"/>
                <w:w w:val="99"/>
              </w:rPr>
              <w:t>TELEPHONE: 1-212-558-4000</w:t>
            </w:r>
          </w:p>
        </w:tc>
        <w:tc>
          <w:tcPr>
            <w:tcW w:w="58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New York, New York 10004-2498</w:t>
            </w:r>
          </w:p>
        </w:tc>
        <w:tc>
          <w:tcPr>
            <w:tcW w:w="0" w:type="dxa"/>
            <w:vAlign w:val="bottom"/>
          </w:tcPr>
          <w:p>
            <w:pPr>
              <w:spacing w:after="0"/>
              <w:rPr>
                <w:sz w:val="1"/>
                <w:szCs w:val="1"/>
                <w:color w:val="auto"/>
              </w:rPr>
            </w:pPr>
          </w:p>
        </w:tc>
      </w:tr>
      <w:tr>
        <w:trPr>
          <w:trHeight w:val="198"/>
        </w:trPr>
        <w:tc>
          <w:tcPr>
            <w:tcW w:w="5140" w:type="dxa"/>
            <w:vAlign w:val="bottom"/>
            <w:vMerge w:val="continue"/>
          </w:tcPr>
          <w:p>
            <w:pPr>
              <w:spacing w:after="0"/>
              <w:rPr>
                <w:sz w:val="17"/>
                <w:szCs w:val="17"/>
                <w:color w:val="auto"/>
              </w:rPr>
            </w:pPr>
          </w:p>
        </w:tc>
        <w:tc>
          <w:tcPr>
            <w:tcW w:w="2700" w:type="dxa"/>
            <w:vAlign w:val="bottom"/>
          </w:tcPr>
          <w:p>
            <w:pPr>
              <w:spacing w:after="0"/>
              <w:rPr>
                <w:sz w:val="17"/>
                <w:szCs w:val="17"/>
                <w:color w:val="auto"/>
              </w:rPr>
            </w:pPr>
          </w:p>
        </w:tc>
        <w:tc>
          <w:tcPr>
            <w:tcW w:w="108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                </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140" w:type="dxa"/>
            <w:vAlign w:val="bottom"/>
          </w:tcPr>
          <w:p>
            <w:pPr>
              <w:jc w:val="center"/>
              <w:ind w:left="410"/>
              <w:spacing w:after="0" w:line="177" w:lineRule="exact"/>
              <w:rPr>
                <w:sz w:val="20"/>
                <w:szCs w:val="20"/>
                <w:color w:val="auto"/>
              </w:rPr>
            </w:pPr>
            <w:r>
              <w:rPr>
                <w:rFonts w:ascii="Times New Roman" w:cs="Times New Roman" w:eastAsia="Times New Roman" w:hAnsi="Times New Roman"/>
                <w:sz w:val="18"/>
                <w:szCs w:val="18"/>
                <w:color w:val="auto"/>
                <w:w w:val="99"/>
              </w:rPr>
              <w:t>FACSIMILE: 1-212-558-3588</w:t>
            </w:r>
          </w:p>
        </w:tc>
        <w:tc>
          <w:tcPr>
            <w:tcW w:w="5880" w:type="dxa"/>
            <w:vAlign w:val="bottom"/>
            <w:gridSpan w:val="3"/>
            <w:vMerge w:val="restart"/>
          </w:tcPr>
          <w:p>
            <w:pPr>
              <w:jc w:val="center"/>
              <w:ind w:left="490"/>
              <w:spacing w:after="0"/>
              <w:rPr>
                <w:sz w:val="20"/>
                <w:szCs w:val="20"/>
                <w:color w:val="auto"/>
              </w:rPr>
            </w:pPr>
            <w:r>
              <w:rPr>
                <w:rFonts w:ascii="Times New Roman" w:cs="Times New Roman" w:eastAsia="Times New Roman" w:hAnsi="Times New Roman"/>
                <w:sz w:val="18"/>
                <w:szCs w:val="18"/>
                <w:color w:val="auto"/>
                <w:w w:val="98"/>
              </w:rPr>
              <w:t>LOS ANGELES • PALO ALTO • WASHINGTON, D.C.</w:t>
            </w:r>
          </w:p>
        </w:tc>
        <w:tc>
          <w:tcPr>
            <w:tcW w:w="0" w:type="dxa"/>
            <w:vAlign w:val="bottom"/>
          </w:tcPr>
          <w:p>
            <w:pPr>
              <w:spacing w:after="0"/>
              <w:rPr>
                <w:sz w:val="1"/>
                <w:szCs w:val="1"/>
                <w:color w:val="auto"/>
              </w:rPr>
            </w:pPr>
          </w:p>
        </w:tc>
      </w:tr>
      <w:tr>
        <w:trPr>
          <w:trHeight w:val="234"/>
        </w:trPr>
        <w:tc>
          <w:tcPr>
            <w:tcW w:w="5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WWW.SULLCROM.COM</w:t>
            </w:r>
          </w:p>
        </w:tc>
        <w:tc>
          <w:tcPr>
            <w:tcW w:w="58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140" w:type="dxa"/>
            <w:vAlign w:val="bottom"/>
          </w:tcPr>
          <w:p>
            <w:pPr>
              <w:spacing w:after="0"/>
              <w:rPr>
                <w:sz w:val="24"/>
                <w:szCs w:val="24"/>
                <w:color w:val="auto"/>
              </w:rPr>
            </w:pPr>
          </w:p>
        </w:tc>
        <w:tc>
          <w:tcPr>
            <w:tcW w:w="58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BRUSSELS • FRANKFURT • LONDON • PARIS</w:t>
            </w:r>
          </w:p>
        </w:tc>
        <w:tc>
          <w:tcPr>
            <w:tcW w:w="0" w:type="dxa"/>
            <w:vAlign w:val="bottom"/>
          </w:tcPr>
          <w:p>
            <w:pPr>
              <w:spacing w:after="0"/>
              <w:rPr>
                <w:sz w:val="1"/>
                <w:szCs w:val="1"/>
                <w:color w:val="auto"/>
              </w:rPr>
            </w:pPr>
          </w:p>
        </w:tc>
      </w:tr>
      <w:tr>
        <w:trPr>
          <w:trHeight w:val="338"/>
        </w:trPr>
        <w:tc>
          <w:tcPr>
            <w:tcW w:w="5140" w:type="dxa"/>
            <w:vAlign w:val="bottom"/>
          </w:tcPr>
          <w:p>
            <w:pPr>
              <w:spacing w:after="0"/>
              <w:rPr>
                <w:sz w:val="24"/>
                <w:szCs w:val="24"/>
                <w:color w:val="auto"/>
              </w:rPr>
            </w:pPr>
          </w:p>
        </w:tc>
        <w:tc>
          <w:tcPr>
            <w:tcW w:w="58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BEIJING • HONG KONG • TOKYO</w:t>
            </w:r>
          </w:p>
        </w:tc>
        <w:tc>
          <w:tcPr>
            <w:tcW w:w="0" w:type="dxa"/>
            <w:vAlign w:val="bottom"/>
          </w:tcPr>
          <w:p>
            <w:pPr>
              <w:spacing w:after="0"/>
              <w:rPr>
                <w:sz w:val="1"/>
                <w:szCs w:val="1"/>
                <w:color w:val="auto"/>
              </w:rPr>
            </w:pPr>
          </w:p>
        </w:tc>
      </w:tr>
      <w:tr>
        <w:trPr>
          <w:trHeight w:val="338"/>
        </w:trPr>
        <w:tc>
          <w:tcPr>
            <w:tcW w:w="5140" w:type="dxa"/>
            <w:vAlign w:val="bottom"/>
          </w:tcPr>
          <w:p>
            <w:pPr>
              <w:spacing w:after="0"/>
              <w:rPr>
                <w:sz w:val="24"/>
                <w:szCs w:val="24"/>
                <w:color w:val="auto"/>
              </w:rPr>
            </w:pPr>
          </w:p>
        </w:tc>
        <w:tc>
          <w:tcPr>
            <w:tcW w:w="588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MELBOURNE • SYDNEY</w:t>
            </w:r>
          </w:p>
        </w:tc>
        <w:tc>
          <w:tcPr>
            <w:tcW w:w="0" w:type="dxa"/>
            <w:vAlign w:val="bottom"/>
          </w:tcPr>
          <w:p>
            <w:pPr>
              <w:spacing w:after="0"/>
              <w:rPr>
                <w:sz w:val="1"/>
                <w:szCs w:val="1"/>
                <w:color w:val="auto"/>
              </w:rPr>
            </w:pPr>
          </w:p>
        </w:tc>
      </w:tr>
      <w:tr>
        <w:trPr>
          <w:trHeight w:val="445"/>
        </w:trPr>
        <w:tc>
          <w:tcPr>
            <w:tcW w:w="5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November 10, 2025</w:t>
            </w:r>
          </w:p>
        </w:tc>
        <w:tc>
          <w:tcPr>
            <w:tcW w:w="0" w:type="dxa"/>
            <w:vAlign w:val="bottom"/>
          </w:tcPr>
          <w:p>
            <w:pPr>
              <w:spacing w:after="0"/>
              <w:rPr>
                <w:sz w:val="1"/>
                <w:szCs w:val="1"/>
                <w:color w:val="auto"/>
              </w:rPr>
            </w:pPr>
          </w:p>
        </w:tc>
      </w:tr>
      <w:tr>
        <w:trPr>
          <w:trHeight w:val="41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Bakkt Holdings, Inc.,</w:t>
            </w:r>
          </w:p>
        </w:tc>
        <w:tc>
          <w:tcPr>
            <w:tcW w:w="2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One Liberty Plaza,</w:t>
            </w:r>
          </w:p>
        </w:tc>
        <w:tc>
          <w:tcPr>
            <w:tcW w:w="2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One Liberty Street, Suite 305-306,</w:t>
            </w:r>
          </w:p>
        </w:tc>
        <w:tc>
          <w:tcPr>
            <w:tcW w:w="2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New York, New York, 10006.</w:t>
            </w:r>
          </w:p>
        </w:tc>
        <w:tc>
          <w:tcPr>
            <w:tcW w:w="2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-2237105</wp:posOffset>
            </wp:positionV>
            <wp:extent cx="26657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9">
                      <a:extLst>
                        <a:ext uri="{28A0092B-C50C-407E-A947-70E740481C1C}"/>
                      </a:extLst>
                    </a:blip>
                    <a:srcRect/>
                    <a:stretch>
                      <a:fillRect/>
                    </a:stretch>
                  </pic:blipFill>
                  <pic:spPr bwMode="auto">
                    <a:xfrm>
                      <a:off x="0" y="0"/>
                      <a:ext cx="2665730" cy="1714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In connection with the registration under the Securities Act of 1933 (the “Act”) of 979,201 shares of Class A common stock, par value $0.0001 per share (the “Securities”), of Bakkt Holdings, Inc., a Delaware corporation (the “Company”), issuable under the Company’s 2021 Omnibus Incentive Plan (the “Plan”), we, as your counsel, have examined such corporate records, certificates and other documents, and such questions of law, as we have considered necessary or appropriate for the purposes of this opinion.</w:t>
      </w:r>
    </w:p>
    <w:p>
      <w:pPr>
        <w:spacing w:after="0" w:line="180"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Upon the basis of such examination, it is our opinion that when the registration statement relating to the Securities (the “Registration Statement”) has become effective under the Act and the Securities have been duly issued in accordance with the terms of the Plan, the Securities will be validly issued, fully paid and nonassessable.</w:t>
      </w:r>
    </w:p>
    <w:p>
      <w:pPr>
        <w:spacing w:after="0" w:line="17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In rendering the foregoing opinion, we are not passing upon, and assume no responsibility for, any disclosure in any registration statement or any related prospectus or other offering material relating to the offer and sale of the Securities.</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The foregoing opinion is limited to the Federal laws of the United States and the General Corporation Law of the State of Delaware, and we are expressing no opinion as to the effect of the laws of any other jurisdiction.</w:t>
      </w:r>
    </w:p>
    <w:p>
      <w:pPr>
        <w:spacing w:after="0" w:line="162"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We have relied as to certain factual matters on information obtained from public officials, officers of the Company and other sources believed by us to be responsible.</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are in the category of persons whose consent is required under Section 7 of the Act.</w:t>
      </w:r>
    </w:p>
    <w:p>
      <w:pPr>
        <w:sectPr>
          <w:pgSz w:w="11900" w:h="16838" w:orient="portrait"/>
          <w:cols w:equalWidth="0" w:num="1">
            <w:col w:w="11020"/>
          </w:cols>
          <w:pgMar w:left="440" w:top="117" w:right="439" w:bottom="1440" w:gutter="0" w:footer="0" w:header="0"/>
        </w:sectPr>
      </w:pPr>
    </w:p>
    <w:bookmarkStart w:id="8" w:name="page9"/>
    <w:bookmarkEnd w:id="8"/>
    <w:p>
      <w:pPr>
        <w:spacing w:after="0"/>
        <w:tabs>
          <w:tab w:leader="none" w:pos="107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Bakkt Holdings, Inc.</w:t>
      </w:r>
      <w:r>
        <w:rPr>
          <w:sz w:val="20"/>
          <w:szCs w:val="20"/>
          <w:color w:val="auto"/>
        </w:rPr>
        <w:tab/>
      </w: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/s/ SULLIVAN &amp; CROMWELL LLP</w:t>
      </w:r>
    </w:p>
    <w:p>
      <w:pPr>
        <w:sectPr>
          <w:pgSz w:w="11900" w:h="16838" w:orient="portrait"/>
          <w:cols w:equalWidth="0" w:num="1">
            <w:col w:w="11020"/>
          </w:cols>
          <w:pgMar w:left="440" w:top="270" w:right="439" w:bottom="1440" w:gutter="0" w:footer="0" w:header="0"/>
          <w:type w:val="continuous"/>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Post-Effective Amendment No. 1 to the Registration Statement (Form S-8 No. 333-288392) pertaining to the 2021 Omnibus Incentive Plan of Bakkt Holdings, Inc. of our report dated March 25, 2024, except for the effects of Staff Accounting Bulletin 122 Accounting for Obligations to Safeguard Crypto-Assets an Entity Holds for its Platform Users, Accounting Standards Update 2023-07, Segment Reporting (Topic 280): Improvements to Reportable Segment Disclosures, and the Reverse Stock Split completed by the Company on April 29, 2024, all as disclosed in Note 2 as to which the date is March 19, 2025, with respect to the consolidated financial statements of Bakkt Holdings, Inc. for the fiscal year ended December 31, 2023, filed with the Securities and Exchange Commission.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2025</w:t>
      </w:r>
    </w:p>
    <w:p>
      <w:pPr>
        <w:sectPr>
          <w:pgSz w:w="11900" w:h="16838" w:orient="portrait"/>
          <w:cols w:equalWidth="0" w:num="1">
            <w:col w:w="11020"/>
          </w:cols>
          <w:pgMar w:left="440" w:top="117"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We consent to the use of our reports dated March 19, 2025, with respect to the consolidated financial statements of Bakkt Holdings, Inc., and the effectiveness of internal control over financial reporting, appearing in the Company’s Annual Report (Form 10-K) as of and for the year ended December 31, 2024 incorporated herein by reference.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2025</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Letter"/>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
      <w:numFmt w:val="bullet"/>
      <w:start w:val="1"/>
    </w:lvl>
  </w:abstractNum>
  <w:abstractNum w:abstractNumId="5">
    <w:nsid w:val="12200854"/>
    <w:multiLevelType w:val="hybridMultilevel"/>
    <w:lvl w:ilvl="0">
      <w:lvlJc w:val="left"/>
      <w:lvlText w:val=" "/>
      <w:numFmt w:val="bullet"/>
      <w:start w:val="1"/>
    </w:lvl>
  </w:abstractNum>
  <w:abstractNum w:abstractNumId="6">
    <w:nsid w:val="4DB127F8"/>
    <w:multiLevelType w:val="hybridMultilevel"/>
    <w:lvl w:ilvl="0">
      <w:lvlJc w:val="left"/>
      <w:lvlText w:val=" "/>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decimal"/>
      <w:start w:val="1"/>
    </w:lvl>
    <w:lvl w:ilvl="1">
      <w:lvlJc w:val="left"/>
      <w:lvlText w:val="(%2)"/>
      <w:numFmt w:val="lowerRoman"/>
      <w:start w:val="1"/>
    </w:lvl>
  </w:abstractNum>
  <w:abstractNum w:abstractNumId="9">
    <w:nsid w:val="1190CDE7"/>
    <w:multiLevelType w:val="hybridMultilevel"/>
    <w:lvl w:ilvl="0">
      <w:lvlJc w:val="left"/>
      <w:lvlText w:val="(%1)"/>
      <w:numFmt w:val="decimal"/>
      <w:start w:val="5"/>
    </w:lvl>
    <w:lvl w:ilvl="1">
      <w:lvlJc w:val="left"/>
      <w:lvlText w:val="(%2)"/>
      <w:numFmt w:val="lowerRoman"/>
      <w:start w:val="1"/>
    </w:lvl>
  </w:abstractNum>
  <w:abstractNum w:abstractNumId="10">
    <w:nsid w:val="66EF438D"/>
    <w:multiLevelType w:val="hybridMultilevel"/>
    <w:lvl w:ilvl="0">
      <w:lvlJc w:val="left"/>
      <w:lvlText w:val="(%1)"/>
      <w:numFmt w:val="lowerRoman"/>
      <w:start w:val="2"/>
    </w:lvl>
  </w:abstractNum>
  <w:abstractNum w:abstractNumId="11">
    <w:nsid w:val="140E0F76"/>
    <w:multiLevelType w:val="hybridMultilevel"/>
    <w:lvl w:ilvl="0">
      <w:lvlJc w:val="left"/>
      <w:lvlText w:val="(%1)"/>
      <w:numFmt w:val="decimal"/>
      <w:start w:val="6"/>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4" Type="http://schemas.openxmlformats.org/officeDocument/2006/relationships/image" Target="media/image12.png"/><Relationship Id="rId47" Type="http://schemas.openxmlformats.org/officeDocument/2006/relationships/image" Target="media/image13.png"/><Relationship Id="rId49" Type="http://schemas.openxmlformats.org/officeDocument/2006/relationships/image" Target="media/image14.png"/><Relationship Id="rId50" Type="http://schemas.openxmlformats.org/officeDocument/2006/relationships/image" Target="media/image15.png"/><Relationship Id="rId57" Type="http://schemas.openxmlformats.org/officeDocument/2006/relationships/image" Target="media/image16.png"/><Relationship Id="rId58" Type="http://schemas.openxmlformats.org/officeDocument/2006/relationships/image" Target="media/image17.png"/><Relationship Id="rId59" Type="http://schemas.openxmlformats.org/officeDocument/2006/relationships/image" Target="media/image18.jpeg"/><Relationship Id="rId60" Type="http://schemas.openxmlformats.org/officeDocument/2006/relationships/image" Target="media/image19.png"/><Relationship Id="rId19" Type="http://schemas.openxmlformats.org/officeDocument/2006/relationships/hyperlink" Target="http://www.sec.gov/Archives/edgar/data/1820302/000119312525151371/d41678ds8.htm" TargetMode="External"/><Relationship Id="rId20" Type="http://schemas.openxmlformats.org/officeDocument/2006/relationships/hyperlink" Target="http://www.sec.gov/ix?doc=/Archives/edgar/data/1820302/000162828025013959/bakkt-20241231.htm" TargetMode="External"/><Relationship Id="rId21" Type="http://schemas.openxmlformats.org/officeDocument/2006/relationships/hyperlink" Target="http://www.sec.gov/ix?doc=/Archives/edgar/data/1820302/000162828025020274/bakkt-20250428.htm" TargetMode="External"/><Relationship Id="rId22" Type="http://schemas.openxmlformats.org/officeDocument/2006/relationships/hyperlink" Target="http://www.sec.gov/ix?doc=/Archives/edgar/data/1820302/000162828025024743/bakkt-20250331.htm" TargetMode="External"/><Relationship Id="rId23" Type="http://schemas.openxmlformats.org/officeDocument/2006/relationships/hyperlink" Target="http://www.sec.gov/ix?doc=/Archives/edgar/data/1820302/000162828025039625/bakkt-20250630.htm" TargetMode="External"/><Relationship Id="rId25" Type="http://schemas.openxmlformats.org/officeDocument/2006/relationships/hyperlink" Target="http://www.sec.gov/ix?doc=/Archives/edgar/data/1820302/000162828025018854/bakkt-20250421.htm" TargetMode="External"/><Relationship Id="rId26" Type="http://schemas.openxmlformats.org/officeDocument/2006/relationships/hyperlink" Target="http://www.sec.gov/ix?doc=/Archives/edgar/data/1820302/000119312525138191/d76438d8k.htm" TargetMode="External"/><Relationship Id="rId27" Type="http://schemas.openxmlformats.org/officeDocument/2006/relationships/hyperlink" Target="http://www.sec.gov/ix?doc=/Archives/edgar/data/1820302/000162828025030475/bakkt-20250610.htm" TargetMode="External"/><Relationship Id="rId28" Type="http://schemas.openxmlformats.org/officeDocument/2006/relationships/hyperlink" Target="http://www.sec.gov/ix?doc=/Archives/edgar/data/1820302/000162828025031314/bakkt-20250609.htm" TargetMode="External"/><Relationship Id="rId29" Type="http://schemas.openxmlformats.org/officeDocument/2006/relationships/hyperlink" Target="http://www.sec.gov/ix?doc=/Archives/edgar/data/1820302/000119312525142918/d80998d8k.htm" TargetMode="External"/><Relationship Id="rId30" Type="http://schemas.openxmlformats.org/officeDocument/2006/relationships/hyperlink" Target="http://www.sec.gov/ix?doc=/Archives/edgar/data/1820302/000162828025036239/bakkt-20250723.htm" TargetMode="External"/><Relationship Id="rId31" Type="http://schemas.openxmlformats.org/officeDocument/2006/relationships/hyperlink" Target="http://www.sec.gov/ix?doc=/Archives/edgar/data/1820302/000119312525169353/d37228d8k.htm" TargetMode="External"/><Relationship Id="rId32" Type="http://schemas.openxmlformats.org/officeDocument/2006/relationships/hyperlink" Target="http://www.sec.gov/ix?doc=/Archives/edgar/data/1820302/000162828025038417/bakkt-20250806.htm" TargetMode="External"/><Relationship Id="rId33" Type="http://schemas.openxmlformats.org/officeDocument/2006/relationships/hyperlink" Target="http://www.sec.gov/ix?doc=/Archives/edgar/data/1820302/000162828025042251/bakkt-20250917.htm" TargetMode="External"/><Relationship Id="rId34" Type="http://schemas.openxmlformats.org/officeDocument/2006/relationships/hyperlink" Target="http://www.sec.gov/ix?doc=/Archives/edgar/data/1820302/000162828025043317/bakkt-20250930.htm" TargetMode="External"/><Relationship Id="rId35" Type="http://schemas.openxmlformats.org/officeDocument/2006/relationships/hyperlink" Target="http://www.sec.gov/ix?doc=/Archives/edgar/data/1820302/000119312525234538/d87349d8k.htm" TargetMode="External"/><Relationship Id="rId36" Type="http://schemas.openxmlformats.org/officeDocument/2006/relationships/hyperlink" Target="http://www.sec.gov/ix?doc=/Archives/edgar/data/1820302/000119312525237364/d32118d8k.htm" TargetMode="External"/><Relationship Id="rId37" Type="http://schemas.openxmlformats.org/officeDocument/2006/relationships/hyperlink" Target="http://www.sec.gov/ix?doc=/Archives/edgar/data/1820302/000119312525242750/d74254d8k.htm" TargetMode="External"/><Relationship Id="rId38" Type="http://schemas.openxmlformats.org/officeDocument/2006/relationships/hyperlink" Target="http://www.sec.gov/ix?doc=/Archives/edgar/data/1820302/000162828025045560/bakkt-20251019.htm" TargetMode="External"/><Relationship Id="rId39" Type="http://schemas.openxmlformats.org/officeDocument/2006/relationships/hyperlink" Target="http://www.sec.gov/ix?doc=/Archives/edgar/data/1820302/000119312525245822/d36779d8k.htm" TargetMode="External"/><Relationship Id="rId40" Type="http://schemas.openxmlformats.org/officeDocument/2006/relationships/hyperlink" Target="http://www.sec.gov/ix?doc=/Archives/edgar/data/1820302/000162828025047840/bakkt-20251031.htm" TargetMode="External"/><Relationship Id="rId41" Type="http://schemas.openxmlformats.org/officeDocument/2006/relationships/hyperlink" Target="http://www.sec.gov/ix?doc=/Archives/edgar/data/0001820302/000119312525262474/d98917d8k.htm" TargetMode="External"/><Relationship Id="rId42" Type="http://schemas.openxmlformats.org/officeDocument/2006/relationships/hyperlink" Target="http://www.sec.gov/ix?doc=/Archives/edgar/data/0001820302/000119312525262732/d83327d8k12b.htm" TargetMode="External"/><Relationship Id="rId43" Type="http://schemas.openxmlformats.org/officeDocument/2006/relationships/hyperlink" Target="http://www.sec.gov/ix?doc=/Archives/edgar/data/0001820302/000119312525272524/d70742d8ka.htm" TargetMode="External"/><Relationship Id="rId44" Type="http://schemas.openxmlformats.org/officeDocument/2006/relationships/hyperlink" Target="http://www.sec.gov/Archives/edgar/data/1820302/000119312525262732/d83327dex991.htm" TargetMode="External"/><Relationship Id="rId45" Type="http://schemas.openxmlformats.org/officeDocument/2006/relationships/hyperlink" Target="http://www.sec.gov/Archives/edgar/data/1820302/000119312521299620/d211377d8a12b.htm" TargetMode="External"/><Relationship Id="rId46" Type="http://schemas.openxmlformats.org/officeDocument/2006/relationships/hyperlink" Target="http://www.sec.gov/Archives/edgar/data/1820302/000182030222000005/a46-descriptionofsecurit.htm" TargetMode="External"/><Relationship Id="rId48" Type="http://schemas.openxmlformats.org/officeDocument/2006/relationships/hyperlink" Target="http://www.sec.gov/Archives/edgar/data/1820302/000119312525262732/d83327dex31.htm" TargetMode="External"/><Relationship Id="rId51" Type="http://schemas.openxmlformats.org/officeDocument/2006/relationships/hyperlink" Target="http://www.sec.gov/Archives/edgar/data/1820302/000119312525262732/d83327dex32.htm" TargetMode="External"/><Relationship Id="rId52" Type="http://schemas.openxmlformats.org/officeDocument/2006/relationships/hyperlink" Target="http://www.sec.gov/Archives/edgar/data/1820302/000119312521303985/d219325dex41.htm" TargetMode="External"/><Relationship Id="rId53" Type="http://schemas.openxmlformats.org/officeDocument/2006/relationships/hyperlink" Target="http://www.sec.gov/Archives/edgar/data/1820302/000119312521303985/d219325dex109.htm" TargetMode="External"/><Relationship Id="rId54" Type="http://schemas.openxmlformats.org/officeDocument/2006/relationships/hyperlink" Target="http://www.sec.gov/Archives/edgar/data/1820302/000182030224000056/ex1011amendno1toequityplan.htm" TargetMode="External"/><Relationship Id="rId55" Type="http://schemas.openxmlformats.org/officeDocument/2006/relationships/hyperlink" Target="http://www.sec.gov/Archives/edgar/data/1820302/000119312524176416/d133420dex46.htm" TargetMode="External"/><Relationship Id="rId56" Type="http://schemas.openxmlformats.org/officeDocument/2006/relationships/hyperlink" Target="http://www.sec.gov/Archives/edgar/data/1820302/000119312525151371/d41678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2025-11-10T13:52:37Z</dcterms:created>
  <dcterms:modified xsi:type="dcterms:W3CDTF">2025-11-10T13:52:37Z</dcterms:modified>
</cp:coreProperties>
</file>