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1520825</wp:posOffset>
            </wp:positionH>
            <wp:positionV relativeFrom="page">
              <wp:posOffset>971550</wp:posOffset>
            </wp:positionV>
            <wp:extent cx="45123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page">
              <wp:posOffset>1520825</wp:posOffset>
            </wp:positionH>
            <wp:positionV relativeFrom="page">
              <wp:posOffset>994410</wp:posOffset>
            </wp:positionV>
            <wp:extent cx="45123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7"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46355</wp:posOffset>
            </wp:positionV>
            <wp:extent cx="2362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2835" cy="762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66675</wp:posOffset>
            </wp:positionV>
            <wp:extent cx="2362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2835" cy="762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CURRENT REPORT</w:t>
      </w:r>
    </w:p>
    <w:p>
      <w:pPr>
        <w:jc w:val="center"/>
        <w:ind w:right="-19"/>
        <w:spacing w:after="0" w:line="210" w:lineRule="auto"/>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December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46355</wp:posOffset>
            </wp:positionV>
            <wp:extent cx="23628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62835" cy="762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47625</wp:posOffset>
            </wp:positionV>
            <wp:extent cx="23628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2835" cy="7620"/>
                    </a:xfrm>
                    <a:prstGeom prst="rect">
                      <a:avLst/>
                    </a:prstGeom>
                    <a:noFill/>
                  </pic:spPr>
                </pic:pic>
              </a:graphicData>
            </a:graphic>
          </wp:anchor>
        </w:drawing>
      </w:r>
    </w:p>
    <w:p>
      <w:pPr>
        <w:spacing w:after="0" w:line="160" w:lineRule="exact"/>
        <w:rPr>
          <w:sz w:val="24"/>
          <w:szCs w:val="24"/>
          <w:color w:val="auto"/>
        </w:rPr>
      </w:pPr>
    </w:p>
    <w:tbl>
      <w:tblPr>
        <w:tblLayout w:type="fixed"/>
        <w:tblInd w:w="960" w:type="dxa"/>
        <w:tblCellMar>
          <w:top w:w="0" w:type="dxa"/>
          <w:left w:w="0" w:type="dxa"/>
          <w:bottom w:w="0" w:type="dxa"/>
          <w:right w:w="0" w:type="dxa"/>
        </w:tblCellMar>
      </w:tblPr>
      <w:tr>
        <w:trPr>
          <w:trHeight w:val="217"/>
        </w:trPr>
        <w:tc>
          <w:tcPr>
            <w:tcW w:w="3460" w:type="dxa"/>
            <w:vAlign w:val="bottom"/>
          </w:tcPr>
          <w:p>
            <w:pPr>
              <w:jc w:val="center"/>
              <w:ind w:right="190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60" w:type="dxa"/>
            <w:vAlign w:val="bottom"/>
          </w:tcPr>
          <w:p>
            <w:pPr>
              <w:jc w:val="center"/>
              <w:ind w:right="450"/>
              <w:spacing w:after="0"/>
              <w:rPr>
                <w:sz w:val="20"/>
                <w:szCs w:val="20"/>
                <w:color w:val="auto"/>
              </w:rPr>
            </w:pPr>
            <w:r>
              <w:rPr>
                <w:rFonts w:ascii="Times New Roman" w:cs="Times New Roman" w:eastAsia="Times New Roman" w:hAnsi="Times New Roman"/>
                <w:sz w:val="16"/>
                <w:szCs w:val="16"/>
                <w:b w:val="1"/>
                <w:bCs w:val="1"/>
                <w:color w:val="auto"/>
                <w:w w:val="95"/>
              </w:rPr>
              <w:t>001-39544</w:t>
            </w:r>
          </w:p>
        </w:tc>
        <w:tc>
          <w:tcPr>
            <w:tcW w:w="2720" w:type="dxa"/>
            <w:vAlign w:val="bottom"/>
          </w:tcPr>
          <w:p>
            <w:pPr>
              <w:jc w:val="center"/>
              <w:ind w:left="1609"/>
              <w:spacing w:after="0"/>
              <w:rPr>
                <w:sz w:val="20"/>
                <w:szCs w:val="20"/>
                <w:color w:val="auto"/>
              </w:rPr>
            </w:pPr>
            <w:r>
              <w:rPr>
                <w:rFonts w:ascii="Times New Roman" w:cs="Times New Roman" w:eastAsia="Times New Roman" w:hAnsi="Times New Roman"/>
                <w:sz w:val="16"/>
                <w:szCs w:val="16"/>
                <w:b w:val="1"/>
                <w:bCs w:val="1"/>
                <w:color w:val="auto"/>
                <w:w w:val="98"/>
              </w:rPr>
              <w:t>41-2324812</w:t>
            </w:r>
          </w:p>
        </w:tc>
      </w:tr>
      <w:tr>
        <w:trPr>
          <w:trHeight w:val="146"/>
        </w:trPr>
        <w:tc>
          <w:tcPr>
            <w:tcW w:w="3460" w:type="dxa"/>
            <w:vAlign w:val="bottom"/>
          </w:tcPr>
          <w:p>
            <w:pPr>
              <w:jc w:val="center"/>
              <w:ind w:right="1887"/>
              <w:spacing w:after="0" w:line="146"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60" w:type="dxa"/>
            <w:vAlign w:val="bottom"/>
          </w:tcPr>
          <w:p>
            <w:pPr>
              <w:jc w:val="center"/>
              <w:ind w:right="450"/>
              <w:spacing w:after="0" w:line="146"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720" w:type="dxa"/>
            <w:vAlign w:val="bottom"/>
          </w:tcPr>
          <w:p>
            <w:pPr>
              <w:jc w:val="center"/>
              <w:ind w:left="1609"/>
              <w:spacing w:after="0" w:line="146" w:lineRule="exact"/>
              <w:rPr>
                <w:sz w:val="20"/>
                <w:szCs w:val="20"/>
                <w:color w:val="auto"/>
              </w:rPr>
            </w:pPr>
            <w:r>
              <w:rPr>
                <w:rFonts w:ascii="Times New Roman" w:cs="Times New Roman" w:eastAsia="Times New Roman" w:hAnsi="Times New Roman"/>
                <w:sz w:val="13"/>
                <w:szCs w:val="13"/>
                <w:b w:val="1"/>
                <w:bCs w:val="1"/>
                <w:color w:val="auto"/>
                <w:w w:val="99"/>
              </w:rPr>
              <w:t>(IRS Employer</w:t>
            </w:r>
          </w:p>
        </w:tc>
      </w:tr>
      <w:tr>
        <w:trPr>
          <w:trHeight w:val="184"/>
        </w:trPr>
        <w:tc>
          <w:tcPr>
            <w:tcW w:w="3460" w:type="dxa"/>
            <w:vAlign w:val="bottom"/>
          </w:tcPr>
          <w:p>
            <w:pPr>
              <w:jc w:val="center"/>
              <w:ind w:right="1907"/>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60" w:type="dxa"/>
            <w:vAlign w:val="bottom"/>
          </w:tcPr>
          <w:p>
            <w:pPr>
              <w:jc w:val="center"/>
              <w:ind w:right="47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720" w:type="dxa"/>
            <w:vAlign w:val="bottom"/>
          </w:tcPr>
          <w:p>
            <w:pPr>
              <w:jc w:val="center"/>
              <w:ind w:left="160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81"/>
        </w:trPr>
        <w:tc>
          <w:tcPr>
            <w:tcW w:w="346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7"/>
              </w:rPr>
              <w:t>One Liberty Plaza</w:t>
            </w:r>
          </w:p>
        </w:tc>
        <w:tc>
          <w:tcPr>
            <w:tcW w:w="22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68"/>
        </w:trPr>
        <w:tc>
          <w:tcPr>
            <w:tcW w:w="3460" w:type="dxa"/>
            <w:vAlign w:val="bottom"/>
          </w:tcPr>
          <w:p>
            <w:pPr>
              <w:jc w:val="center"/>
              <w:ind w:right="87"/>
              <w:spacing w:after="0" w:line="168" w:lineRule="exact"/>
              <w:rPr>
                <w:sz w:val="20"/>
                <w:szCs w:val="20"/>
                <w:color w:val="auto"/>
              </w:rPr>
            </w:pPr>
            <w:r>
              <w:rPr>
                <w:rFonts w:ascii="Times New Roman" w:cs="Times New Roman" w:eastAsia="Times New Roman" w:hAnsi="Times New Roman"/>
                <w:sz w:val="16"/>
                <w:szCs w:val="16"/>
                <w:b w:val="1"/>
                <w:bCs w:val="1"/>
                <w:color w:val="auto"/>
                <w:w w:val="97"/>
              </w:rPr>
              <w:t>1 Liberty Street, Floor 3, Suite 305-306,</w:t>
            </w:r>
          </w:p>
        </w:tc>
        <w:tc>
          <w:tcPr>
            <w:tcW w:w="2260" w:type="dxa"/>
            <w:vAlign w:val="bottom"/>
          </w:tcPr>
          <w:p>
            <w:pPr>
              <w:spacing w:after="0"/>
              <w:rPr>
                <w:sz w:val="14"/>
                <w:szCs w:val="14"/>
                <w:color w:val="auto"/>
              </w:rPr>
            </w:pPr>
          </w:p>
        </w:tc>
        <w:tc>
          <w:tcPr>
            <w:tcW w:w="2720" w:type="dxa"/>
            <w:vAlign w:val="bottom"/>
          </w:tcPr>
          <w:p>
            <w:pPr>
              <w:jc w:val="right"/>
              <w:ind w:right="1129"/>
              <w:spacing w:after="0" w:line="168" w:lineRule="exact"/>
              <w:rPr>
                <w:sz w:val="20"/>
                <w:szCs w:val="20"/>
                <w:color w:val="auto"/>
              </w:rPr>
            </w:pPr>
            <w:r>
              <w:rPr>
                <w:rFonts w:ascii="Times New Roman" w:cs="Times New Roman" w:eastAsia="Times New Roman" w:hAnsi="Times New Roman"/>
                <w:sz w:val="16"/>
                <w:szCs w:val="16"/>
                <w:b w:val="1"/>
                <w:bCs w:val="1"/>
                <w:color w:val="auto"/>
              </w:rPr>
              <w:t>10006</w:t>
            </w:r>
          </w:p>
        </w:tc>
      </w:tr>
      <w:tr>
        <w:trPr>
          <w:trHeight w:val="205"/>
        </w:trPr>
        <w:tc>
          <w:tcPr>
            <w:tcW w:w="346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22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86"/>
        </w:trPr>
        <w:tc>
          <w:tcPr>
            <w:tcW w:w="3460" w:type="dxa"/>
            <w:vAlign w:val="bottom"/>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60" w:type="dxa"/>
            <w:vAlign w:val="bottom"/>
          </w:tcPr>
          <w:p>
            <w:pPr>
              <w:spacing w:after="0"/>
              <w:rPr>
                <w:sz w:val="16"/>
                <w:szCs w:val="16"/>
                <w:color w:val="auto"/>
              </w:rPr>
            </w:pPr>
          </w:p>
        </w:tc>
        <w:tc>
          <w:tcPr>
            <w:tcW w:w="27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304165</wp:posOffset>
            </wp:positionV>
            <wp:extent cx="2362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283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20" w:right="60"/>
        <w:spacing w:after="0" w:line="234"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49" w:lineRule="exact"/>
        <w:rPr>
          <w:sz w:val="24"/>
          <w:szCs w:val="24"/>
          <w:color w:val="auto"/>
        </w:rPr>
      </w:pPr>
    </w:p>
    <w:p>
      <w:pPr>
        <w:ind w:left="620" w:hanging="386"/>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68" w:lineRule="exact"/>
        <w:rPr>
          <w:rFonts w:ascii="MS PGothic" w:cs="MS PGothic" w:eastAsia="MS PGothic" w:hAnsi="MS PGothic"/>
          <w:sz w:val="16"/>
          <w:szCs w:val="16"/>
          <w:color w:val="auto"/>
        </w:rPr>
      </w:pPr>
    </w:p>
    <w:p>
      <w:pPr>
        <w:ind w:left="620" w:hanging="386"/>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68" w:lineRule="exact"/>
        <w:rPr>
          <w:rFonts w:ascii="MS PGothic" w:cs="MS PGothic" w:eastAsia="MS PGothic" w:hAnsi="MS PGothic"/>
          <w:sz w:val="16"/>
          <w:szCs w:val="16"/>
          <w:color w:val="auto"/>
        </w:rPr>
      </w:pPr>
    </w:p>
    <w:p>
      <w:pPr>
        <w:ind w:left="620" w:hanging="386"/>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68" w:lineRule="exact"/>
        <w:rPr>
          <w:rFonts w:ascii="MS PGothic" w:cs="MS PGothic" w:eastAsia="MS PGothic" w:hAnsi="MS PGothic"/>
          <w:sz w:val="16"/>
          <w:szCs w:val="16"/>
          <w:color w:val="auto"/>
        </w:rPr>
      </w:pPr>
    </w:p>
    <w:p>
      <w:pPr>
        <w:ind w:left="620" w:hanging="386"/>
        <w:spacing w:after="0"/>
        <w:tabs>
          <w:tab w:leader="none" w:pos="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000" w:type="dxa"/>
            <w:vAlign w:val="bottom"/>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24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3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44"/>
        </w:trPr>
        <w:tc>
          <w:tcPr>
            <w:tcW w:w="500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jc w:val="center"/>
              <w:ind w:right="68"/>
              <w:spacing w:after="0" w:line="144" w:lineRule="exact"/>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193"/>
        </w:trPr>
        <w:tc>
          <w:tcPr>
            <w:tcW w:w="5000" w:type="dxa"/>
            <w:vAlign w:val="bottom"/>
          </w:tcPr>
          <w:p>
            <w:pPr>
              <w:jc w:val="center"/>
              <w:ind w:left="186"/>
              <w:spacing w:after="0"/>
              <w:rPr>
                <w:sz w:val="20"/>
                <w:szCs w:val="20"/>
                <w:color w:val="auto"/>
              </w:rPr>
            </w:pPr>
            <w:r>
              <w:rPr>
                <w:rFonts w:ascii="Times New Roman" w:cs="Times New Roman" w:eastAsia="Times New Roman" w:hAnsi="Times New Roman"/>
                <w:sz w:val="16"/>
                <w:szCs w:val="16"/>
                <w:b w:val="1"/>
                <w:bCs w:val="1"/>
                <w:color w:val="auto"/>
                <w:w w:val="97"/>
              </w:rPr>
              <w:t>Class A Common Stock, par value $0.0001 per share</w:t>
            </w:r>
          </w:p>
        </w:tc>
        <w:tc>
          <w:tcPr>
            <w:tcW w:w="2240" w:type="dxa"/>
            <w:vAlign w:val="bottom"/>
          </w:tcPr>
          <w:p>
            <w:pPr>
              <w:jc w:val="center"/>
              <w:ind w:left="6"/>
              <w:spacing w:after="0"/>
              <w:rPr>
                <w:sz w:val="20"/>
                <w:szCs w:val="20"/>
                <w:color w:val="auto"/>
              </w:rPr>
            </w:pPr>
            <w:r>
              <w:rPr>
                <w:rFonts w:ascii="Times New Roman" w:cs="Times New Roman" w:eastAsia="Times New Roman" w:hAnsi="Times New Roman"/>
                <w:sz w:val="16"/>
                <w:szCs w:val="16"/>
                <w:b w:val="1"/>
                <w:bCs w:val="1"/>
                <w:color w:val="auto"/>
                <w:w w:val="95"/>
              </w:rPr>
              <w:t>BKKT</w:t>
            </w:r>
          </w:p>
        </w:tc>
        <w:tc>
          <w:tcPr>
            <w:tcW w:w="33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c>
          <w:tcPr>
            <w:tcW w:w="0" w:type="dxa"/>
            <w:vAlign w:val="bottom"/>
          </w:tcPr>
          <w:p>
            <w:pPr>
              <w:spacing w:after="0"/>
              <w:rPr>
                <w:sz w:val="1"/>
                <w:szCs w:val="1"/>
                <w:color w:val="auto"/>
              </w:rPr>
            </w:pPr>
          </w:p>
        </w:tc>
      </w:tr>
      <w:tr>
        <w:trPr>
          <w:trHeight w:val="205"/>
        </w:trPr>
        <w:tc>
          <w:tcPr>
            <w:tcW w:w="5000" w:type="dxa"/>
            <w:vAlign w:val="bottom"/>
          </w:tcPr>
          <w:p>
            <w:pPr>
              <w:jc w:val="center"/>
              <w:ind w:left="166"/>
              <w:spacing w:after="0"/>
              <w:rPr>
                <w:sz w:val="20"/>
                <w:szCs w:val="20"/>
                <w:color w:val="auto"/>
              </w:rPr>
            </w:pPr>
            <w:r>
              <w:rPr>
                <w:rFonts w:ascii="Times New Roman" w:cs="Times New Roman" w:eastAsia="Times New Roman" w:hAnsi="Times New Roman"/>
                <w:sz w:val="16"/>
                <w:szCs w:val="16"/>
                <w:b w:val="1"/>
                <w:bCs w:val="1"/>
                <w:color w:val="auto"/>
                <w:w w:val="97"/>
              </w:rPr>
              <w:t>Warrants to purchase Class A Common Stock</w:t>
            </w:r>
          </w:p>
        </w:tc>
        <w:tc>
          <w:tcPr>
            <w:tcW w:w="2240" w:type="dxa"/>
            <w:vAlign w:val="bottom"/>
          </w:tcPr>
          <w:p>
            <w:pPr>
              <w:jc w:val="center"/>
              <w:ind w:left="6"/>
              <w:spacing w:after="0"/>
              <w:rPr>
                <w:sz w:val="20"/>
                <w:szCs w:val="20"/>
                <w:color w:val="auto"/>
              </w:rPr>
            </w:pPr>
            <w:r>
              <w:rPr>
                <w:rFonts w:ascii="Times New Roman" w:cs="Times New Roman" w:eastAsia="Times New Roman" w:hAnsi="Times New Roman"/>
                <w:sz w:val="16"/>
                <w:szCs w:val="16"/>
                <w:b w:val="1"/>
                <w:bCs w:val="1"/>
                <w:color w:val="auto"/>
                <w:w w:val="95"/>
              </w:rPr>
              <w:t>BKKT WS</w:t>
            </w:r>
          </w:p>
        </w:tc>
        <w:tc>
          <w:tcPr>
            <w:tcW w:w="33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46" w:lineRule="exact"/>
        <w:rPr>
          <w:sz w:val="24"/>
          <w:szCs w:val="24"/>
          <w:color w:val="auto"/>
        </w:rPr>
      </w:pPr>
    </w:p>
    <w:p>
      <w:pPr>
        <w:ind w:right="280"/>
        <w:spacing w:after="0" w:line="19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666750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31750</wp:posOffset>
            </wp:positionV>
            <wp:extent cx="45123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12310" cy="762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54610</wp:posOffset>
            </wp:positionV>
            <wp:extent cx="4512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12310"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26" w:lineRule="exact"/>
        <w:rPr>
          <w:sz w:val="20"/>
          <w:szCs w:val="20"/>
          <w:color w:val="auto"/>
        </w:rPr>
      </w:pPr>
    </w:p>
    <w:p>
      <w:pPr>
        <w:ind w:right="160" w:firstLine="864"/>
        <w:spacing w:after="0" w:line="243" w:lineRule="auto"/>
        <w:rPr>
          <w:sz w:val="20"/>
          <w:szCs w:val="20"/>
          <w:color w:val="auto"/>
        </w:rPr>
      </w:pPr>
      <w:r>
        <w:rPr>
          <w:rFonts w:ascii="Times New Roman" w:cs="Times New Roman" w:eastAsia="Times New Roman" w:hAnsi="Times New Roman"/>
          <w:sz w:val="16"/>
          <w:szCs w:val="16"/>
          <w:color w:val="auto"/>
        </w:rPr>
        <w:t>Bakkt Holdings, Inc., a Delaware corporation (the “Company”), is filing this Current Report on Form 8-K (this “Form 8-K”) to reflect certain changes described below with respect to the financial information contained in the Company’s Annual Report on Form 10-K for the year ended December 31, 2024 (the “2024 Form 10-K”), which was filed with the Securities Exchange Commission (the “SEC”) on March 20, 2025. The information in this Form 8-K, including the information incorporated herein by reference, is not an amendment to or restatement of the 2024 Form 10-K.</w:t>
      </w:r>
    </w:p>
    <w:p>
      <w:pPr>
        <w:spacing w:after="0" w:line="203" w:lineRule="exact"/>
        <w:rPr>
          <w:sz w:val="20"/>
          <w:szCs w:val="20"/>
          <w:color w:val="auto"/>
        </w:rPr>
      </w:pPr>
    </w:p>
    <w:p>
      <w:pPr>
        <w:ind w:right="120" w:firstLine="864"/>
        <w:spacing w:after="0" w:line="284" w:lineRule="auto"/>
        <w:rPr>
          <w:sz w:val="20"/>
          <w:szCs w:val="20"/>
          <w:color w:val="auto"/>
        </w:rPr>
      </w:pPr>
      <w:r>
        <w:rPr>
          <w:rFonts w:ascii="Times New Roman" w:cs="Times New Roman" w:eastAsia="Times New Roman" w:hAnsi="Times New Roman"/>
          <w:sz w:val="14"/>
          <w:szCs w:val="14"/>
          <w:color w:val="auto"/>
        </w:rPr>
        <w:t>As previously reported in the Company’s Current Report on Form 8 -K filed with the SEC on July 28, 2025, 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to Project Labrador Holdco, LLC, a wholly owned subsidiary of Roman DBDR Technology Advisors, Inc. These entities comprised the Company’s loyalty and travel redemption business (the “Loyalty Business”). As previously reported in the Company’s Current Report on Form 8-K filed with the SEC on October 1, 2025, the Company completed the sale of the Loyalty Business on October 1, 2025.</w:t>
      </w:r>
    </w:p>
    <w:p>
      <w:pPr>
        <w:spacing w:after="0" w:line="176" w:lineRule="exact"/>
        <w:rPr>
          <w:sz w:val="20"/>
          <w:szCs w:val="20"/>
          <w:color w:val="auto"/>
        </w:rPr>
      </w:pPr>
    </w:p>
    <w:p>
      <w:pPr>
        <w:ind w:firstLine="864"/>
        <w:spacing w:after="0" w:line="243" w:lineRule="auto"/>
        <w:rPr>
          <w:sz w:val="20"/>
          <w:szCs w:val="20"/>
          <w:color w:val="auto"/>
        </w:rPr>
      </w:pPr>
      <w:r>
        <w:rPr>
          <w:rFonts w:ascii="Times New Roman" w:cs="Times New Roman" w:eastAsia="Times New Roman" w:hAnsi="Times New Roman"/>
          <w:sz w:val="16"/>
          <w:szCs w:val="16"/>
          <w:color w:val="auto"/>
        </w:rPr>
        <w:t>In accordance with generally accepted accounting principles, the Company’s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would result in the elimination of the operations and cash flows of the Loyalty Business from ongoing operations.</w:t>
      </w:r>
    </w:p>
    <w:p>
      <w:pPr>
        <w:spacing w:after="0" w:line="203" w:lineRule="exact"/>
        <w:rPr>
          <w:sz w:val="20"/>
          <w:szCs w:val="20"/>
          <w:color w:val="auto"/>
        </w:rPr>
      </w:pPr>
    </w:p>
    <w:p>
      <w:pPr>
        <w:jc w:val="both"/>
        <w:ind w:right="20" w:firstLine="864"/>
        <w:spacing w:after="0" w:line="247" w:lineRule="auto"/>
        <w:rPr>
          <w:sz w:val="20"/>
          <w:szCs w:val="20"/>
          <w:color w:val="auto"/>
        </w:rPr>
      </w:pPr>
      <w:r>
        <w:rPr>
          <w:rFonts w:ascii="Times New Roman" w:cs="Times New Roman" w:eastAsia="Times New Roman" w:hAnsi="Times New Roman"/>
          <w:sz w:val="16"/>
          <w:szCs w:val="16"/>
          <w:color w:val="auto"/>
        </w:rPr>
        <w:t>Accordingly, the Company is recasting prior period information to remove the results of operations of the disposed Loyalty Business from the results of the Company’s continuing operations. The Company first reported the operations of the Loyalty Business as discontinued in the Company’s Quarterly Report on Form 10-Q for the quarter ended September 30, 2025, filed with the SEC on November 12, 2025.</w:t>
      </w:r>
    </w:p>
    <w:p>
      <w:pPr>
        <w:spacing w:after="0" w:line="200" w:lineRule="exact"/>
        <w:rPr>
          <w:sz w:val="20"/>
          <w:szCs w:val="20"/>
          <w:color w:val="auto"/>
        </w:rPr>
      </w:pPr>
    </w:p>
    <w:p>
      <w:pPr>
        <w:ind w:right="40" w:firstLine="864"/>
        <w:spacing w:after="0" w:line="241" w:lineRule="auto"/>
        <w:rPr>
          <w:sz w:val="20"/>
          <w:szCs w:val="20"/>
          <w:color w:val="auto"/>
        </w:rPr>
      </w:pPr>
      <w:r>
        <w:rPr>
          <w:rFonts w:ascii="Times New Roman" w:cs="Times New Roman" w:eastAsia="Times New Roman" w:hAnsi="Times New Roman"/>
          <w:sz w:val="16"/>
          <w:szCs w:val="16"/>
          <w:color w:val="auto"/>
        </w:rPr>
        <w:t>The Company is recasting the presentation of its financial information for all periods presented in the 2024 Form 10- K to present the operations of the Loyalty Business as discontinued in all material respects and accordingly also is revising certain other disclosures contained in the 2024 Form 10-K to present operations related to the Loyalty Business as discontinued operations. Included within Exhibit 99.1 to this Form 8-K and incorporated by reference herein are the following items from the 2024 Form 10-K, each recast to reflect the impact of the Loyalty Business’s discontinued operations on the Company’s consolidated financial information and certain related disclosures:</w:t>
      </w:r>
    </w:p>
    <w:p>
      <w:pPr>
        <w:spacing w:after="0" w:line="205" w:lineRule="exact"/>
        <w:rPr>
          <w:sz w:val="20"/>
          <w:szCs w:val="20"/>
          <w:color w:val="auto"/>
        </w:rPr>
      </w:pPr>
    </w:p>
    <w:p>
      <w:pPr>
        <w:ind w:left="1440" w:hanging="282"/>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7 – Management’s Discussion and Analysis of Financial Condition and Results of Operations</w:t>
      </w:r>
    </w:p>
    <w:p>
      <w:pPr>
        <w:spacing w:after="0" w:line="14" w:lineRule="exact"/>
        <w:rPr>
          <w:rFonts w:ascii="Times New Roman" w:cs="Times New Roman" w:eastAsia="Times New Roman" w:hAnsi="Times New Roman"/>
          <w:sz w:val="16"/>
          <w:szCs w:val="16"/>
          <w:color w:val="auto"/>
        </w:rPr>
      </w:pPr>
    </w:p>
    <w:p>
      <w:pPr>
        <w:ind w:left="1440" w:hanging="282"/>
        <w:spacing w:after="0"/>
        <w:tabs>
          <w:tab w:leader="none" w:pos="1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8 – Financial Statements and Supplementary Data</w:t>
      </w:r>
    </w:p>
    <w:p>
      <w:pPr>
        <w:spacing w:after="0" w:line="206" w:lineRule="exact"/>
        <w:rPr>
          <w:sz w:val="20"/>
          <w:szCs w:val="20"/>
          <w:color w:val="auto"/>
        </w:rPr>
      </w:pPr>
    </w:p>
    <w:p>
      <w:pPr>
        <w:ind w:right="100" w:firstLine="864"/>
        <w:spacing w:after="0" w:line="243" w:lineRule="auto"/>
        <w:rPr>
          <w:sz w:val="20"/>
          <w:szCs w:val="20"/>
          <w:color w:val="auto"/>
        </w:rPr>
      </w:pPr>
      <w:r>
        <w:rPr>
          <w:rFonts w:ascii="Times New Roman" w:cs="Times New Roman" w:eastAsia="Times New Roman" w:hAnsi="Times New Roman"/>
          <w:sz w:val="16"/>
          <w:szCs w:val="16"/>
          <w:color w:val="auto"/>
        </w:rPr>
        <w:t>Finally, the Company is filing with this Form 8-K the Report of Independent Registered Public Accounting Firm on the Company’s consolidated financial statements for the year ended December 31, 2024, which is unchanged from the 2024 Form 10-K, other than the dual date to reflect the recast of those financial statements to reflect the Loyalty Business’s discontinued operations and to reflect subsequent events which occurred subsequent to the original issuance of the 2024 Form 10-K.</w:t>
      </w:r>
    </w:p>
    <w:p>
      <w:pPr>
        <w:spacing w:after="0" w:line="203" w:lineRule="exact"/>
        <w:rPr>
          <w:sz w:val="20"/>
          <w:szCs w:val="20"/>
          <w:color w:val="auto"/>
        </w:rPr>
      </w:pPr>
    </w:p>
    <w:p>
      <w:pPr>
        <w:ind w:right="120" w:firstLine="864"/>
        <w:spacing w:after="0" w:line="239" w:lineRule="auto"/>
        <w:rPr>
          <w:sz w:val="20"/>
          <w:szCs w:val="20"/>
          <w:color w:val="auto"/>
        </w:rPr>
      </w:pPr>
      <w:r>
        <w:rPr>
          <w:rFonts w:ascii="Times New Roman" w:cs="Times New Roman" w:eastAsia="Times New Roman" w:hAnsi="Times New Roman"/>
          <w:sz w:val="16"/>
          <w:szCs w:val="16"/>
          <w:color w:val="auto"/>
        </w:rPr>
        <w:t>This Form 8-K does not revise or update any section or subsection of the 2024 Form 10-K other than as expressly noted above. Moreover, in order to preserve the nature and character of the disclosures set forth in such items as originally filed in the 2024 Form 10-K, no attempt has been made in this Form 8-K, and it should not be read, to modify or update disclosures as presented in the 2024 Form 10-K to reflect events or occurrences after the date of the filing of the 2024 Form 10-K, except for (i) matters relating specifically to the recasting of the presentation described above and (ii) the information presented in Note 21 Subsequent Events to the Company’s recast financial statements for the year ended December 31, 2024 filed as part of Exhibit 99.1 to this Form 8-K. Without limiting the foregoing disclaimer, this Form 8-K does not purport to update the 2024 Form 10-K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775970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2" w:name="page3"/>
    <w:bookmarkEnd w:id="2"/>
    <w:p>
      <w:pPr>
        <w:spacing w:after="0" w:line="299" w:lineRule="auto"/>
        <w:rPr>
          <w:sz w:val="20"/>
          <w:szCs w:val="20"/>
          <w:color w:val="auto"/>
        </w:rPr>
      </w:pPr>
      <w:r>
        <w:rPr>
          <w:rFonts w:ascii="Times New Roman" w:cs="Times New Roman" w:eastAsia="Times New Roman" w:hAnsi="Times New Roman"/>
          <w:sz w:val="14"/>
          <w:szCs w:val="14"/>
          <w:color w:val="auto"/>
        </w:rPr>
        <w:t>information, uncertainties, transactions, risks, events or trends occurring, or known to management as of the filing of this Form 8 -K. Therefore, this Form 8-K (including Exhibit 99.1) should be read in conjunction with the 2024 Form 10 -K and the Company’s filings made with the SEC subsequent to the filing of the 2024 Form 10-K, including, without limitation, the Company’s Quarterly Reports on Form 10-Q for the quarters ended March 31, 2025, June 30, 2025, and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894080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3" w:right="680" w:bottom="1440" w:gutter="0" w:footer="0" w:header="0"/>
        </w:sectPr>
      </w:pPr>
    </w:p>
    <w:bookmarkStart w:id="3" w:name="page4"/>
    <w:bookmarkEnd w:id="3"/>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0" w:lineRule="exact"/>
        <w:rPr>
          <w:sz w:val="20"/>
          <w:szCs w:val="20"/>
          <w:color w:val="auto"/>
        </w:rPr>
      </w:pPr>
    </w:p>
    <w:p>
      <w:pPr>
        <w:spacing w:after="0" w:line="298" w:lineRule="exact"/>
        <w:rPr>
          <w:sz w:val="20"/>
          <w:szCs w:val="20"/>
          <w:color w:val="auto"/>
        </w:rPr>
      </w:pPr>
    </w:p>
    <w:p>
      <w:pPr>
        <w:ind w:left="200"/>
        <w:spacing w:after="0"/>
        <w:tabs>
          <w:tab w:leader="none" w:pos="54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7075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4" w:lineRule="exact"/>
        <w:rPr>
          <w:sz w:val="20"/>
          <w:szCs w:val="20"/>
          <w:color w:val="auto"/>
        </w:rPr>
      </w:pPr>
    </w:p>
    <w:p>
      <w:pPr>
        <w:ind w:left="440"/>
        <w:spacing w:after="0"/>
        <w:tabs>
          <w:tab w:leader="none" w:pos="1120" w:val="left"/>
        </w:tabs>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6"/>
            <w:szCs w:val="16"/>
            <w:u w:val="single" w:color="auto"/>
            <w:color w:val="0000FF"/>
          </w:rPr>
          <w:t>23.1</w:t>
        </w:r>
      </w:hyperlink>
      <w:r>
        <w:rPr>
          <w:rFonts w:ascii="Times New Roman" w:cs="Times New Roman" w:eastAsia="Times New Roman" w:hAnsi="Times New Roman"/>
          <w:sz w:val="16"/>
          <w:szCs w:val="16"/>
          <w:color w:val="0000FF"/>
        </w:rPr>
        <w:tab/>
      </w:r>
      <w:hyperlink w:anchor="page1">
        <w:r>
          <w:rPr>
            <w:rFonts w:ascii="Times New Roman" w:cs="Times New Roman" w:eastAsia="Times New Roman" w:hAnsi="Times New Roman"/>
            <w:sz w:val="14"/>
            <w:szCs w:val="14"/>
            <w:u w:val="single" w:color="auto"/>
            <w:color w:val="0000FF"/>
          </w:rPr>
          <w:t>Consent of Ernst &amp; Young LLP, independent registered public accounting firm of the Company</w:t>
        </w:r>
      </w:hyperlink>
      <w:r>
        <w:rPr>
          <w:rFonts w:ascii="Times New Roman" w:cs="Times New Roman" w:eastAsia="Times New Roman" w:hAnsi="Times New Roman"/>
          <w:sz w:val="14"/>
          <w:szCs w:val="14"/>
          <w:color w:val="0000FF"/>
        </w:rPr>
        <w:t>.</w:t>
      </w:r>
    </w:p>
    <w:p>
      <w:pPr>
        <w:spacing w:after="0" w:line="20" w:lineRule="exact"/>
        <w:rPr>
          <w:sz w:val="20"/>
          <w:szCs w:val="20"/>
          <w:color w:val="auto"/>
        </w:rPr>
      </w:pPr>
    </w:p>
    <w:p>
      <w:pPr>
        <w:ind w:left="440"/>
        <w:spacing w:after="0"/>
        <w:tabs>
          <w:tab w:leader="none" w:pos="1120" w:val="left"/>
        </w:tabs>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6"/>
            <w:szCs w:val="16"/>
            <w:u w:val="single" w:color="auto"/>
            <w:color w:val="0000FF"/>
          </w:rPr>
          <w:t>23.2</w:t>
        </w:r>
      </w:hyperlink>
      <w:r>
        <w:rPr>
          <w:rFonts w:ascii="Times New Roman" w:cs="Times New Roman" w:eastAsia="Times New Roman" w:hAnsi="Times New Roman"/>
          <w:sz w:val="16"/>
          <w:szCs w:val="16"/>
          <w:color w:val="0000FF"/>
        </w:rPr>
        <w:tab/>
      </w:r>
      <w:hyperlink w:anchor="page1">
        <w:r>
          <w:rPr>
            <w:rFonts w:ascii="Times New Roman" w:cs="Times New Roman" w:eastAsia="Times New Roman" w:hAnsi="Times New Roman"/>
            <w:sz w:val="14"/>
            <w:szCs w:val="14"/>
            <w:u w:val="single" w:color="auto"/>
            <w:color w:val="0000FF"/>
          </w:rPr>
          <w:t>Consent of KPMG LLP, independent registered public accounting firm of the Company</w:t>
        </w:r>
      </w:hyperlink>
      <w:r>
        <w:rPr>
          <w:rFonts w:ascii="Times New Roman" w:cs="Times New Roman" w:eastAsia="Times New Roman" w:hAnsi="Times New Roman"/>
          <w:sz w:val="14"/>
          <w:szCs w:val="14"/>
          <w:color w:val="0000FF"/>
        </w:rPr>
        <w:t>.</w:t>
      </w:r>
    </w:p>
    <w:p>
      <w:pPr>
        <w:spacing w:after="0" w:line="20" w:lineRule="exact"/>
        <w:rPr>
          <w:sz w:val="20"/>
          <w:szCs w:val="20"/>
          <w:color w:val="auto"/>
        </w:rPr>
      </w:pPr>
    </w:p>
    <w:p>
      <w:pPr>
        <w:ind w:left="1140"/>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The following sections of the Company’s Annual Report on Form 10-K for the year ended December 31, 2024 recast to present operations related to</w:t>
        </w:r>
      </w:hyperlink>
    </w:p>
    <w:p>
      <w:pPr>
        <w:spacing w:after="0" w:line="13" w:lineRule="exact"/>
        <w:rPr>
          <w:sz w:val="20"/>
          <w:szCs w:val="20"/>
          <w:color w:val="auto"/>
        </w:rPr>
      </w:pPr>
    </w:p>
    <w:p>
      <w:pPr>
        <w:ind w:left="1140" w:right="480" w:hanging="713"/>
        <w:spacing w:after="0" w:line="222" w:lineRule="auto"/>
        <w:tabs>
          <w:tab w:leader="none" w:pos="1120" w:val="left"/>
        </w:tabs>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99.1</w:t>
        </w:r>
      </w:hyperlink>
      <w:r>
        <w:rPr>
          <w:rFonts w:ascii="Times New Roman" w:cs="Times New Roman" w:eastAsia="Times New Roman" w:hAnsi="Times New Roman"/>
          <w:sz w:val="16"/>
          <w:szCs w:val="16"/>
          <w:u w:val="single" w:color="auto"/>
          <w:color w:val="0000FF"/>
        </w:rPr>
        <w:tab/>
      </w:r>
      <w:hyperlink w:anchor="page1">
        <w:r>
          <w:rPr>
            <w:rFonts w:ascii="Times New Roman" w:cs="Times New Roman" w:eastAsia="Times New Roman" w:hAnsi="Times New Roman"/>
            <w:sz w:val="16"/>
            <w:szCs w:val="16"/>
            <w:u w:val="single" w:color="auto"/>
            <w:color w:val="0000FF"/>
          </w:rPr>
          <w:t>the loyalty business of Bakkt Holdings, Inc. as discontinued operations: [Part II, Item 7 (Management's Discussion and Analysis of Financial</w:t>
        </w:r>
      </w:hyperlink>
      <w:r>
        <w:rPr>
          <w:rFonts w:ascii="Times New Roman" w:cs="Times New Roman" w:eastAsia="Times New Roman" w:hAnsi="Times New Roman"/>
          <w:sz w:val="16"/>
          <w:szCs w:val="16"/>
          <w:u w:val="single" w:color="auto"/>
          <w:color w:val="0000FF"/>
        </w:rPr>
        <w:t xml:space="preserve"> </w:t>
      </w:r>
      <w:hyperlink w:anchor="page1">
        <w:r>
          <w:rPr>
            <w:rFonts w:ascii="Times New Roman" w:cs="Times New Roman" w:eastAsia="Times New Roman" w:hAnsi="Times New Roman"/>
            <w:sz w:val="16"/>
            <w:szCs w:val="16"/>
            <w:u w:val="single" w:color="auto"/>
            <w:color w:val="0000FF"/>
          </w:rPr>
          <w:t>Condition and Results of Operations); and Part II, Item 8 (Financial Statements and Supplementary Data).</w:t>
        </w:r>
      </w:hyperlink>
    </w:p>
    <w:p>
      <w:pPr>
        <w:spacing w:after="0" w:line="74" w:lineRule="exact"/>
        <w:rPr>
          <w:rFonts w:ascii="Times New Roman" w:cs="Times New Roman" w:eastAsia="Times New Roman" w:hAnsi="Times New Roman"/>
          <w:sz w:val="16"/>
          <w:szCs w:val="16"/>
          <w:u w:val="single" w:color="auto"/>
          <w:color w:val="0000FF"/>
        </w:rPr>
      </w:pPr>
    </w:p>
    <w:p>
      <w:pPr>
        <w:ind w:left="460"/>
        <w:spacing w:after="0"/>
        <w:tabs>
          <w:tab w:leader="none" w:pos="11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983615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60" w:top="1440" w:right="820" w:bottom="1440" w:gutter="0" w:footer="0" w:header="0"/>
        </w:sectPr>
      </w:pPr>
    </w:p>
    <w:bookmarkStart w:id="4" w:name="page5"/>
    <w:bookmarkEnd w:id="4"/>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0" w:lineRule="exact"/>
        <w:rPr>
          <w:sz w:val="20"/>
          <w:szCs w:val="20"/>
          <w:color w:val="auto"/>
        </w:rPr>
      </w:pPr>
    </w:p>
    <w:p>
      <w:pPr>
        <w:ind w:firstLine="576"/>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10, 2025</w:t>
      </w:r>
    </w:p>
    <w:p>
      <w:pPr>
        <w:spacing w:after="0" w:line="2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238" w:lineRule="exact"/>
        <w:rPr>
          <w:sz w:val="20"/>
          <w:szCs w:val="20"/>
          <w:color w:val="auto"/>
        </w:rPr>
      </w:pPr>
    </w:p>
    <w:tbl>
      <w:tblPr>
        <w:tblLayout w:type="fixed"/>
        <w:tblInd w:w="514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Marc D'Annunzio</w:t>
            </w:r>
          </w:p>
        </w:tc>
      </w:tr>
      <w:tr>
        <w:trPr>
          <w:trHeight w:val="197"/>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Marc D’Annunzio</w:t>
            </w: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 and Secretary</w:t>
            </w:r>
          </w:p>
        </w:tc>
      </w:tr>
    </w:tbl>
    <w:p>
      <w:pPr>
        <w:sectPr>
          <w:pgSz w:w="11900" w:h="16840" w:orient="portrait"/>
          <w:cols w:equalWidth="0" w:num="1">
            <w:col w:w="10560"/>
          </w:cols>
          <w:pgMar w:left="660" w:top="1440" w:right="68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3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140" w:lineRule="exact"/>
        <w:rPr>
          <w:sz w:val="20"/>
          <w:szCs w:val="20"/>
          <w:color w:val="auto"/>
        </w:rPr>
      </w:pPr>
    </w:p>
    <w:p>
      <w:pPr>
        <w:ind w:left="580" w:right="440" w:hanging="286"/>
        <w:spacing w:after="0" w:line="232" w:lineRule="auto"/>
        <w:tabs>
          <w:tab w:leader="none" w:pos="592"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S-8 No. 333-275869, 333-280724, 333-261768, and 333-288392) pertaining to the 2021 Omnibus Incentive Plan of Bakkt Holdings, Inc.</w:t>
      </w:r>
    </w:p>
    <w:p>
      <w:pPr>
        <w:ind w:left="580" w:right="100" w:hanging="286"/>
        <w:spacing w:after="0" w:line="221" w:lineRule="auto"/>
        <w:tabs>
          <w:tab w:leader="none" w:pos="592"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S-8 No. 333-286645) pertaining to the registration of an aggregate of 1,619,143 shares of Class A Common Stock to be granted in relation to the Inducement Grant of Bakkt Holdings, Inc.</w:t>
      </w:r>
    </w:p>
    <w:p>
      <w:pPr>
        <w:ind w:left="580" w:right="140" w:hanging="286"/>
        <w:spacing w:after="0" w:line="221" w:lineRule="auto"/>
        <w:tabs>
          <w:tab w:leader="none" w:pos="592"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S-8 No. 333-291416) pertaining to the registration of 2,000,000 shares of Class A Common Stock to be issued under the Bakkt Holdings, Inc. Option Award Agreement</w:t>
      </w:r>
    </w:p>
    <w:p>
      <w:pPr>
        <w:ind w:left="600" w:hanging="306"/>
        <w:spacing w:after="0" w:line="214" w:lineRule="auto"/>
        <w:tabs>
          <w:tab w:leader="none" w:pos="6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S-3 No. 333-271438), for the registration of the 46,402,403 shares of Class A common stock</w:t>
      </w:r>
    </w:p>
    <w:p>
      <w:pPr>
        <w:spacing w:after="0" w:line="7" w:lineRule="exact"/>
        <w:rPr>
          <w:rFonts w:ascii="Arial" w:cs="Arial" w:eastAsia="Arial" w:hAnsi="Arial"/>
          <w:sz w:val="18"/>
          <w:szCs w:val="18"/>
          <w:color w:val="auto"/>
        </w:rPr>
      </w:pPr>
    </w:p>
    <w:p>
      <w:pPr>
        <w:ind w:left="600" w:hanging="306"/>
        <w:spacing w:after="0" w:line="214" w:lineRule="auto"/>
        <w:tabs>
          <w:tab w:leader="none" w:pos="6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S-3 No. 333-271362), for the registration of 7,140,808 shares of Class A common stock</w:t>
      </w:r>
    </w:p>
    <w:p>
      <w:pPr>
        <w:spacing w:after="0" w:line="7" w:lineRule="exact"/>
        <w:rPr>
          <w:rFonts w:ascii="Arial" w:cs="Arial" w:eastAsia="Arial" w:hAnsi="Arial"/>
          <w:sz w:val="18"/>
          <w:szCs w:val="18"/>
          <w:color w:val="auto"/>
        </w:rPr>
      </w:pPr>
    </w:p>
    <w:p>
      <w:pPr>
        <w:ind w:left="600" w:hanging="306"/>
        <w:spacing w:after="0" w:line="214" w:lineRule="auto"/>
        <w:tabs>
          <w:tab w:leader="none" w:pos="60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S-3 No. 333-261034), for the registration of 180,511,924 shares of Class A common stock</w:t>
      </w:r>
    </w:p>
    <w:p>
      <w:pPr>
        <w:spacing w:after="0" w:line="7" w:lineRule="exact"/>
        <w:rPr>
          <w:rFonts w:ascii="Arial" w:cs="Arial" w:eastAsia="Arial" w:hAnsi="Arial"/>
          <w:sz w:val="18"/>
          <w:szCs w:val="18"/>
          <w:color w:val="auto"/>
        </w:rPr>
      </w:pPr>
    </w:p>
    <w:p>
      <w:pPr>
        <w:ind w:left="580" w:right="100" w:hanging="286"/>
        <w:spacing w:after="0" w:line="224" w:lineRule="auto"/>
        <w:tabs>
          <w:tab w:leader="none" w:pos="592" w:val="left"/>
        </w:tabs>
        <w:numPr>
          <w:ilvl w:val="0"/>
          <w:numId w:val="3"/>
        </w:numPr>
        <w:rPr>
          <w:rFonts w:ascii="Arial" w:cs="Arial" w:eastAsia="Arial" w:hAnsi="Arial"/>
          <w:sz w:val="18"/>
          <w:szCs w:val="18"/>
          <w:color w:val="auto"/>
        </w:rPr>
      </w:pPr>
      <w:r>
        <w:rPr>
          <w:rFonts w:ascii="Times New Roman" w:cs="Times New Roman" w:eastAsia="Times New Roman" w:hAnsi="Times New Roman"/>
          <w:sz w:val="16"/>
          <w:szCs w:val="16"/>
          <w:color w:val="auto"/>
        </w:rPr>
        <w:t>Registration Statement (Form S-3 No. 333-288361), for the registration of Class A Common Stock, Preferred Stock, Debt Securities, Warrants and Units with an aggregate offering price not to exceed $1,000,000,000</w:t>
      </w:r>
    </w:p>
    <w:p>
      <w:pPr>
        <w:spacing w:after="0" w:line="109" w:lineRule="exact"/>
        <w:rPr>
          <w:sz w:val="20"/>
          <w:szCs w:val="20"/>
          <w:color w:val="auto"/>
        </w:rPr>
      </w:pPr>
    </w:p>
    <w:p>
      <w:pPr>
        <w:ind w:right="80" w:firstLine="36"/>
        <w:spacing w:after="0" w:line="228" w:lineRule="auto"/>
        <w:rPr>
          <w:sz w:val="20"/>
          <w:szCs w:val="20"/>
          <w:color w:val="auto"/>
        </w:rPr>
      </w:pPr>
      <w:r>
        <w:rPr>
          <w:rFonts w:ascii="Times New Roman" w:cs="Times New Roman" w:eastAsia="Times New Roman" w:hAnsi="Times New Roman"/>
          <w:sz w:val="16"/>
          <w:szCs w:val="16"/>
          <w:color w:val="auto"/>
        </w:rPr>
        <w:t>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Holdings, Inc. for the fiscal year ended December 31, 2023, included in this Current Report on Form 8-K of Bakkt Holdings, Inc. dated December 10, 2025.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10, 2025</w:t>
      </w:r>
    </w:p>
    <w:p>
      <w:pPr>
        <w:sectPr>
          <w:pgSz w:w="11900" w:h="16840" w:orient="portrait"/>
          <w:cols w:equalWidth="0" w:num="1">
            <w:col w:w="10560"/>
          </w:cols>
          <w:pgMar w:left="660" w:top="1347" w:right="680" w:bottom="1440" w:gutter="0" w:footer="0" w:header="0"/>
        </w:sectPr>
      </w:pPr>
    </w:p>
    <w:bookmarkStart w:id="6" w:name="page7"/>
    <w:bookmarkEnd w:id="6"/>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0" w:lineRule="exact"/>
        <w:rPr>
          <w:sz w:val="20"/>
          <w:szCs w:val="20"/>
          <w:color w:val="auto"/>
        </w:rPr>
      </w:pPr>
    </w:p>
    <w:p>
      <w:pPr>
        <w:ind w:left="380" w:hanging="230"/>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333-275869, 333-280724, 333-261768, and 333-288392) pertaining to the 2021 Omnibus Incentive Plan of Bakkt Holdings,</w:t>
      </w:r>
    </w:p>
    <w:p>
      <w:pPr>
        <w:spacing w:after="0" w:line="25" w:lineRule="exact"/>
        <w:rPr>
          <w:rFonts w:ascii="Times New Roman" w:cs="Times New Roman" w:eastAsia="Times New Roman" w:hAnsi="Times New Roman"/>
          <w:sz w:val="14"/>
          <w:szCs w:val="14"/>
          <w:color w:val="auto"/>
        </w:rPr>
      </w:pPr>
    </w:p>
    <w:p>
      <w:pPr>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w:t>
      </w:r>
    </w:p>
    <w:p>
      <w:pPr>
        <w:ind w:right="160" w:firstLine="150"/>
        <w:spacing w:after="0" w:line="219" w:lineRule="auto"/>
        <w:tabs>
          <w:tab w:leader="none" w:pos="3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333-286645) pertaining to the registration of an aggregate of 1,619,143 shares of Class A Common Stock to be granted in relation to the Inducement Grant of Bakkt Holdings, Inc.</w:t>
      </w:r>
    </w:p>
    <w:p>
      <w:pPr>
        <w:ind w:right="40" w:firstLine="150"/>
        <w:spacing w:after="0" w:line="230" w:lineRule="auto"/>
        <w:tabs>
          <w:tab w:leader="none" w:pos="36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pertaining to the registration of 2,000,000 shares of Class A Common Stock to be issued under the Bakkt Holdings, Inc. Option Award Agreement</w:t>
      </w:r>
    </w:p>
    <w:p>
      <w:pPr>
        <w:spacing w:after="0" w:line="19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of our report dated March 19, 2025, except for the effects of the discontinued operations as discussed in Notes 3, 13, 18, 20 and 21, as to which the date is December 10, 2025, with respect to the consolidated financial statements of Bakkt Holdings, Inc. as of and for the year ended December 31, 2024, included in the Form 8-K dated December 10, 2025.</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 KPMG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10, 2025</w:t>
      </w:r>
    </w:p>
    <w:p>
      <w:pPr>
        <w:sectPr>
          <w:pgSz w:w="11900" w:h="16840" w:orient="portrait"/>
          <w:cols w:equalWidth="0" w:num="1">
            <w:col w:w="10560"/>
          </w:cols>
          <w:pgMar w:left="660" w:top="1440" w:right="68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26" w:lineRule="exact"/>
        <w:rPr>
          <w:sz w:val="20"/>
          <w:szCs w:val="20"/>
          <w:color w:val="auto"/>
        </w:rPr>
      </w:pPr>
    </w:p>
    <w:p>
      <w:pPr>
        <w:jc w:val="both"/>
        <w:ind w:right="340" w:firstLine="576"/>
        <w:spacing w:after="0" w:line="353" w:lineRule="auto"/>
        <w:rPr>
          <w:sz w:val="20"/>
          <w:szCs w:val="20"/>
          <w:color w:val="auto"/>
        </w:rPr>
      </w:pPr>
      <w:r>
        <w:rPr>
          <w:rFonts w:ascii="Times New Roman" w:cs="Times New Roman" w:eastAsia="Times New Roman" w:hAnsi="Times New Roman"/>
          <w:sz w:val="14"/>
          <w:szCs w:val="14"/>
          <w:color w:val="auto"/>
        </w:rPr>
        <w:t>Bakkt Holdings, Inc. (the “Company”) is filing this Exhibit 99.1 to its Current Report on Form 8-K (including this Exhibit 99.1, the “Form 8-K”) solely to recast certain financial information and related disclosures included in the Company’s Current Report on Form 10-K for the fiscal year ended December 31, 2024, originally filed with the United States (“U.S.”) Securities and Exchange Commission (the “SEC”) on March 20, 2025 (the “2024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Discontinued Operations</w:t>
      </w:r>
    </w:p>
    <w:p>
      <w:pPr>
        <w:spacing w:after="0" w:line="226" w:lineRule="exact"/>
        <w:rPr>
          <w:sz w:val="20"/>
          <w:szCs w:val="20"/>
          <w:color w:val="auto"/>
        </w:rPr>
      </w:pPr>
    </w:p>
    <w:p>
      <w:pPr>
        <w:ind w:right="60" w:firstLine="576"/>
        <w:spacing w:after="0" w:line="290" w:lineRule="auto"/>
        <w:rPr>
          <w:sz w:val="20"/>
          <w:szCs w:val="20"/>
          <w:color w:val="auto"/>
        </w:rPr>
      </w:pPr>
      <w:r>
        <w:rPr>
          <w:rFonts w:ascii="Times New Roman" w:cs="Times New Roman" w:eastAsia="Times New Roman" w:hAnsi="Times New Roman"/>
          <w:sz w:val="16"/>
          <w:szCs w:val="16"/>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to Project Labrador Holdco, LLC, a wholly owned subsidiary of Roman DBDR Technology Advisors, Inc. These entities comprised the Company’s loyalty and travel redemption business (the “Loyalty Business”). On October 1, 2025, the Company completed the sale of the Loyalty Business.</w:t>
      </w:r>
    </w:p>
    <w:p>
      <w:pPr>
        <w:spacing w:after="0" w:line="167" w:lineRule="exact"/>
        <w:rPr>
          <w:sz w:val="20"/>
          <w:szCs w:val="20"/>
          <w:color w:val="auto"/>
        </w:rPr>
      </w:pPr>
    </w:p>
    <w:p>
      <w:pPr>
        <w:ind w:firstLine="576"/>
        <w:spacing w:after="0" w:line="290" w:lineRule="auto"/>
        <w:rPr>
          <w:sz w:val="20"/>
          <w:szCs w:val="20"/>
          <w:color w:val="auto"/>
        </w:rPr>
      </w:pPr>
      <w:r>
        <w:rPr>
          <w:rFonts w:ascii="Times New Roman" w:cs="Times New Roman" w:eastAsia="Times New Roman" w:hAnsi="Times New Roman"/>
          <w:sz w:val="16"/>
          <w:szCs w:val="16"/>
          <w:color w:val="auto"/>
        </w:rPr>
        <w:t xml:space="preserve">Substantially all of the historical results of our previously reported Loyalty Business segment have been reflected as discontinued operations in our recast consolidated financial statements for all periods presented herein, including, as of December 31, 2024 and 2023, the assets and liabilities associated with the discontinued operations being classified as assets and liabilities held for sale in our Consolidated Balance Sheets. Refer to </w:t>
      </w:r>
      <w:r>
        <w:rPr>
          <w:rFonts w:ascii="Times New Roman" w:cs="Times New Roman" w:eastAsia="Times New Roman" w:hAnsi="Times New Roman"/>
          <w:sz w:val="16"/>
          <w:szCs w:val="16"/>
          <w:i w:val="1"/>
          <w:iCs w:val="1"/>
          <w:color w:val="auto"/>
        </w:rPr>
        <w:t>Note 3, “Discontinued Operations”</w:t>
      </w:r>
      <w:r>
        <w:rPr>
          <w:rFonts w:ascii="Times New Roman" w:cs="Times New Roman" w:eastAsia="Times New Roman" w:hAnsi="Times New Roman"/>
          <w:sz w:val="16"/>
          <w:szCs w:val="16"/>
          <w:color w:val="auto"/>
        </w:rPr>
        <w:t xml:space="preserve"> within the Notes to the Consolidated Financial Statements included in Part II, Item 8 in this Current Report on Form 8-K for additional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Disclaimer</w:t>
      </w:r>
    </w:p>
    <w:p>
      <w:pPr>
        <w:spacing w:after="0" w:line="190" w:lineRule="exact"/>
        <w:rPr>
          <w:sz w:val="20"/>
          <w:szCs w:val="20"/>
          <w:color w:val="auto"/>
        </w:rPr>
      </w:pPr>
    </w:p>
    <w:p>
      <w:pPr>
        <w:ind w:firstLine="576"/>
        <w:spacing w:after="0" w:line="329" w:lineRule="auto"/>
        <w:rPr>
          <w:sz w:val="20"/>
          <w:szCs w:val="20"/>
          <w:color w:val="auto"/>
        </w:rPr>
      </w:pPr>
      <w:r>
        <w:rPr>
          <w:rFonts w:ascii="Times New Roman" w:cs="Times New Roman" w:eastAsia="Times New Roman" w:hAnsi="Times New Roman"/>
          <w:sz w:val="14"/>
          <w:szCs w:val="14"/>
          <w:color w:val="auto"/>
        </w:rPr>
        <w:t>This Current Report on Form 8-K does not revise or update any section or subsection of the 2024 Form 10-K other than as expressly noted above. Moreover, in order to preserve the nature and character of the disclosures set forth in such items as originally filed in the 2024 Form 10-K, no attempt has been made in this Current Report on Form 8-K, and it should not be read, to modify or update disclosures as presented in the 2024 Form 10-K to reflect events or occurrences after the date of the filing of the 2024 Form 10-K, except for (i) matters relating specifically to the recasting of the presentation described above and (ii) the information presented in Note 21 Subsequent Events to the Company’s recast financial statements for the year ended December 31, 2024 included as Part II, Item 8 of this Current Report on Form 8-K. Without limiting the foregoing disclaimer, this Current Report on Form 8-K does not purport to update the 2024 Form 10-K for any information, uncertainties, transactions, risks, events or trends occurring, or known to management as of the filing of this Current Report on Form 8-K. Therefore, this Form 8-K (including Exhibit 99.1) should be read in conjunction with the 2024 Form 10-K and the Company’s filings made with the SEC subsequent to the filing of the 2024 Form 10-K, including, without limitation, the Company’s Quarterly Reports on Form 10-Q for the quarters ended March 31, 2025, June 30, 2025, and September 30, 2025.</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02" w:lineRule="exact"/>
        <w:rPr>
          <w:sz w:val="20"/>
          <w:szCs w:val="20"/>
          <w:color w:val="auto"/>
        </w:rPr>
      </w:pPr>
    </w:p>
    <w:p>
      <w:pPr>
        <w:ind w:right="20" w:firstLine="576"/>
        <w:spacing w:after="0" w:line="286"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585470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20"/>
        <w:spacing w:after="0" w:line="306" w:lineRule="auto"/>
        <w:rPr>
          <w:sz w:val="20"/>
          <w:szCs w:val="20"/>
          <w:color w:val="auto"/>
        </w:rPr>
      </w:pPr>
      <w:r>
        <w:rPr>
          <w:rFonts w:ascii="Times New Roman" w:cs="Times New Roman" w:eastAsia="Times New Roman" w:hAnsi="Times New Roman"/>
          <w:sz w:val="16"/>
          <w:szCs w:val="16"/>
          <w:color w:val="auto"/>
        </w:rPr>
        <w:t>are subject to all of the risks and uncertainties, most of which are difficult to predict and many of which are beyond our control, incident to our business. Forward-looking statements in this report may include, for example, statements about:</w:t>
      </w:r>
    </w:p>
    <w:p>
      <w:pPr>
        <w:spacing w:after="0" w:line="107" w:lineRule="exact"/>
        <w:rPr>
          <w:sz w:val="20"/>
          <w:szCs w:val="20"/>
          <w:color w:val="auto"/>
        </w:rPr>
      </w:pPr>
    </w:p>
    <w:p>
      <w:pPr>
        <w:ind w:left="720" w:hanging="282"/>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financial performance, operating results and capital requirements;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changes in the market for our products and services;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 the crypto industry and the evolving regulatory environment for crypto;</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impacts from the adoption of our investment policy (“Investment Policy”) and related digital asset treasury strategy; and</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expansion plans, strategic initiatives and growth opportunities.</w:t>
      </w:r>
    </w:p>
    <w:p>
      <w:pPr>
        <w:spacing w:after="0" w:line="224" w:lineRule="exact"/>
        <w:rPr>
          <w:sz w:val="20"/>
          <w:szCs w:val="20"/>
          <w:color w:val="auto"/>
        </w:rPr>
      </w:pPr>
    </w:p>
    <w:p>
      <w:pPr>
        <w:jc w:val="both"/>
        <w:ind w:right="80" w:firstLine="576"/>
        <w:spacing w:after="0" w:line="290"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hereof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67" w:lineRule="exact"/>
        <w:rPr>
          <w:sz w:val="20"/>
          <w:szCs w:val="20"/>
          <w:color w:val="auto"/>
        </w:rPr>
      </w:pPr>
    </w:p>
    <w:p>
      <w:pPr>
        <w:ind w:right="240" w:firstLine="576"/>
        <w:spacing w:after="0" w:line="294" w:lineRule="auto"/>
        <w:rPr>
          <w:sz w:val="20"/>
          <w:szCs w:val="20"/>
          <w:color w:val="auto"/>
        </w:rPr>
      </w:pPr>
      <w:r>
        <w:rPr>
          <w:rFonts w:ascii="Times New Roman" w:cs="Times New Roman" w:eastAsia="Times New Roman" w:hAnsi="Times New Roman"/>
          <w:sz w:val="16"/>
          <w:szCs w:val="16"/>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16" w:lineRule="exact"/>
        <w:rPr>
          <w:sz w:val="20"/>
          <w:szCs w:val="20"/>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grow and manage growth profitably;</w:t>
      </w:r>
    </w:p>
    <w:p>
      <w:pPr>
        <w:spacing w:after="0" w:line="128" w:lineRule="exact"/>
        <w:rPr>
          <w:rFonts w:ascii="Times New Roman" w:cs="Times New Roman" w:eastAsia="Times New Roman" w:hAnsi="Times New Roman"/>
          <w:sz w:val="16"/>
          <w:szCs w:val="16"/>
          <w:color w:val="auto"/>
        </w:rPr>
      </w:pPr>
    </w:p>
    <w:p>
      <w:pPr>
        <w:ind w:left="720" w:right="420" w:hanging="282"/>
        <w:spacing w:after="0" w:line="306" w:lineRule="auto"/>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be unable to obtain the applicable regulatory approvals to execute on the commercial agreement with Distributed Technologies Research Global Ltd. (“DTR”);</w:t>
      </w:r>
    </w:p>
    <w:p>
      <w:pPr>
        <w:spacing w:after="0" w:line="58" w:lineRule="exact"/>
        <w:rPr>
          <w:rFonts w:ascii="Times New Roman" w:cs="Times New Roman" w:eastAsia="Times New Roman" w:hAnsi="Times New Roman"/>
          <w:sz w:val="16"/>
          <w:szCs w:val="16"/>
          <w:color w:val="auto"/>
        </w:rPr>
      </w:pPr>
    </w:p>
    <w:p>
      <w:pPr>
        <w:ind w:left="720" w:right="160" w:hanging="282"/>
        <w:spacing w:after="0" w:line="306" w:lineRule="auto"/>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Company will be able to successfully integrate its operations with those of DTR, including its infrastructure, and achieve the expected benefits therefrom;</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environment for crypto currencies and digital stablecoin payments;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Company’s business strategy;</w:t>
      </w:r>
    </w:p>
    <w:p>
      <w:pPr>
        <w:spacing w:after="0" w:line="128" w:lineRule="exact"/>
        <w:rPr>
          <w:rFonts w:ascii="Times New Roman" w:cs="Times New Roman" w:eastAsia="Times New Roman" w:hAnsi="Times New Roman"/>
          <w:sz w:val="16"/>
          <w:szCs w:val="16"/>
          <w:color w:val="auto"/>
        </w:rPr>
      </w:pPr>
    </w:p>
    <w:p>
      <w:pPr>
        <w:ind w:left="720" w:hanging="282"/>
        <w:spacing w:after="0" w:line="306" w:lineRule="auto"/>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adoption of its updated Investment Policy (“Investment Policy”) and related treasury strategy, including the Company’s ability to successfully consummate acquisitions, integrate or manage investments in potential acquisition targets and investees;</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digital assets, including Bitcoin;</w:t>
      </w:r>
    </w:p>
    <w:p>
      <w:pPr>
        <w:spacing w:after="0" w:line="128" w:lineRule="exact"/>
        <w:rPr>
          <w:rFonts w:ascii="Times New Roman" w:cs="Times New Roman" w:eastAsia="Times New Roman" w:hAnsi="Times New Roman"/>
          <w:sz w:val="16"/>
          <w:szCs w:val="16"/>
          <w:color w:val="auto"/>
        </w:rPr>
      </w:pPr>
    </w:p>
    <w:p>
      <w:pPr>
        <w:ind w:left="720" w:right="140" w:hanging="282"/>
        <w:spacing w:after="0" w:line="294" w:lineRule="auto"/>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w:t>
      </w:r>
    </w:p>
    <w:p>
      <w:pPr>
        <w:spacing w:after="0" w:line="6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fluctuation of the Company’s operating results, including because the Company may be required to account for its digital assets at fair value;</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time the price of its purchase of digital assets pursuant to its strategy;</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market value of digital assets on the Company’s ability to satisfy its financial obligations, including any debt financings;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fair value gains on its digital asset holdings subjecting the Company to the corporate alternative minimum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526415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720" w:right="480" w:hanging="282"/>
        <w:spacing w:after="0" w:line="294"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w:t>
      </w:r>
    </w:p>
    <w:p>
      <w:pPr>
        <w:spacing w:after="0" w:line="6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by other Bitcoin treasury companies and the availability of spot-traded products for Bitcoin;</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enhanced regulatory oversight as a result of the Company’s Investment Policy and related treasury strategy;</w:t>
      </w:r>
    </w:p>
    <w:p>
      <w:pPr>
        <w:spacing w:after="0" w:line="128" w:lineRule="exact"/>
        <w:rPr>
          <w:rFonts w:ascii="Times New Roman" w:cs="Times New Roman" w:eastAsia="Times New Roman" w:hAnsi="Times New Roman"/>
          <w:sz w:val="16"/>
          <w:szCs w:val="16"/>
          <w:color w:val="auto"/>
        </w:rPr>
      </w:pPr>
    </w:p>
    <w:p>
      <w:pPr>
        <w:jc w:val="both"/>
        <w:ind w:left="720" w:right="180" w:hanging="282"/>
        <w:spacing w:after="0" w:line="294"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6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concentration of the Company’s expected digital asset holdings relative to non-digital assets;</w:t>
      </w:r>
    </w:p>
    <w:p>
      <w:pPr>
        <w:spacing w:after="0" w:line="128" w:lineRule="exact"/>
        <w:rPr>
          <w:rFonts w:ascii="Times New Roman" w:cs="Times New Roman" w:eastAsia="Times New Roman" w:hAnsi="Times New Roman"/>
          <w:sz w:val="16"/>
          <w:szCs w:val="16"/>
          <w:color w:val="auto"/>
        </w:rPr>
      </w:pPr>
    </w:p>
    <w:p>
      <w:pPr>
        <w:ind w:left="720" w:right="22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use the Company’s digital asset holdings as a source of liquidity to the same extent as cash and cash equivalents, due to, for example, risks associated with digital assets and other risks inherent to its entirely electronic, virtual form and decentralized network;</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 third-party service provider experiencing a security breach or cyber-attack where unauthorized parties obtain access to its digital assets;</w:t>
      </w:r>
    </w:p>
    <w:p>
      <w:pPr>
        <w:spacing w:after="0" w:line="151" w:lineRule="exact"/>
        <w:rPr>
          <w:rFonts w:ascii="Times New Roman" w:cs="Times New Roman" w:eastAsia="Times New Roman" w:hAnsi="Times New Roman"/>
          <w:sz w:val="14"/>
          <w:szCs w:val="14"/>
          <w:color w:val="auto"/>
        </w:rPr>
      </w:pPr>
    </w:p>
    <w:p>
      <w:pPr>
        <w:ind w:left="720" w:hanging="282"/>
        <w:spacing w:after="0" w:line="343"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w:t>
      </w:r>
    </w:p>
    <w:p>
      <w:pPr>
        <w:spacing w:after="0" w:line="39" w:lineRule="exact"/>
        <w:rPr>
          <w:rFonts w:ascii="Times New Roman" w:cs="Times New Roman" w:eastAsia="Times New Roman" w:hAnsi="Times New Roman"/>
          <w:sz w:val="14"/>
          <w:szCs w:val="14"/>
          <w:color w:val="auto"/>
        </w:rPr>
      </w:pPr>
    </w:p>
    <w:p>
      <w:pPr>
        <w:ind w:left="720" w:right="10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not being subject to the legal and regulatory protections applicable to investment companies such as mutual funds and exchange-traded funds, or to obligations applicable to investment advisers;</w:t>
      </w:r>
    </w:p>
    <w:p>
      <w:pPr>
        <w:spacing w:after="0" w:line="58" w:lineRule="exact"/>
        <w:rPr>
          <w:rFonts w:ascii="Times New Roman" w:cs="Times New Roman" w:eastAsia="Times New Roman" w:hAnsi="Times New Roman"/>
          <w:sz w:val="16"/>
          <w:szCs w:val="16"/>
          <w:color w:val="auto"/>
        </w:rPr>
      </w:pPr>
    </w:p>
    <w:p>
      <w:pPr>
        <w:ind w:left="720" w:right="20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non-performance, breach of contract or other violations by counterparties assisting the Company in effecting its Investment Policy and related treasury strategy;</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future capital requirements and sources and uses of cash, including funds to satisfy its liquidity needs;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raise capital and investments in us, including by our Chief Executive Officer;</w:t>
      </w:r>
    </w:p>
    <w:p>
      <w:pPr>
        <w:spacing w:after="0" w:line="128" w:lineRule="exact"/>
        <w:rPr>
          <w:rFonts w:ascii="Times New Roman" w:cs="Times New Roman" w:eastAsia="Times New Roman" w:hAnsi="Times New Roman"/>
          <w:sz w:val="16"/>
          <w:szCs w:val="16"/>
          <w:color w:val="auto"/>
        </w:rPr>
      </w:pPr>
    </w:p>
    <w:p>
      <w:pPr>
        <w:ind w:left="720" w:right="20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in which the Company competes, including with respect to its competitive landscape, technology evolution or changes in applicable laws or regulations;</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markets that the Company targets;</w:t>
      </w:r>
    </w:p>
    <w:p>
      <w:pPr>
        <w:spacing w:after="0" w:line="128" w:lineRule="exact"/>
        <w:rPr>
          <w:rFonts w:ascii="Times New Roman" w:cs="Times New Roman" w:eastAsia="Times New Roman" w:hAnsi="Times New Roman"/>
          <w:sz w:val="16"/>
          <w:szCs w:val="16"/>
          <w:color w:val="auto"/>
        </w:rPr>
      </w:pPr>
    </w:p>
    <w:p>
      <w:pPr>
        <w:ind w:left="720" w:right="24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be adversely affected by other macroeconomic, geopolitical, business, and/or competitive factors;</w:t>
      </w:r>
    </w:p>
    <w:p>
      <w:pPr>
        <w:spacing w:after="0" w:line="128" w:lineRule="exact"/>
        <w:rPr>
          <w:rFonts w:ascii="Times New Roman" w:cs="Times New Roman" w:eastAsia="Times New Roman" w:hAnsi="Times New Roman"/>
          <w:sz w:val="16"/>
          <w:szCs w:val="16"/>
          <w:color w:val="auto"/>
        </w:rPr>
      </w:pPr>
    </w:p>
    <w:p>
      <w:pPr>
        <w:ind w:left="720" w:right="18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launch new services and products, including with its expected commercial partners, or to profitably expand into new markets and services;</w:t>
      </w:r>
    </w:p>
    <w:p>
      <w:pPr>
        <w:spacing w:after="0" w:line="58" w:lineRule="exact"/>
        <w:rPr>
          <w:rFonts w:ascii="Times New Roman" w:cs="Times New Roman" w:eastAsia="Times New Roman" w:hAnsi="Times New Roman"/>
          <w:sz w:val="16"/>
          <w:szCs w:val="16"/>
          <w:color w:val="auto"/>
        </w:rPr>
      </w:pPr>
    </w:p>
    <w:p>
      <w:pPr>
        <w:ind w:left="720" w:right="40" w:hanging="282"/>
        <w:spacing w:after="0" w:line="306" w:lineRule="auto"/>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execute its growth strategies, including identifying and executing acquisitions and divestitures and the Company’s initiatives to add new clients;</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reach definitive agreements with its expected commercial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526415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20" w:hanging="282"/>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failure to comply with extensive government regulations, oversight, licensure and appraisals;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and evolving regulatory regime governing blockchain technologies, stablecoins, digital payments and crypto;</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establish and maintain effective internal controls and procedures;</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exposure to any liability, protracted and costly litigation or reputational damage relating to the Company’s data security;</w:t>
      </w:r>
    </w:p>
    <w:p>
      <w:pPr>
        <w:spacing w:after="0" w:line="12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goodwill or other intangible assets impairments on the Company’s operating results;</w:t>
      </w:r>
    </w:p>
    <w:p>
      <w:pPr>
        <w:spacing w:after="0" w:line="128" w:lineRule="exact"/>
        <w:rPr>
          <w:rFonts w:ascii="Times New Roman" w:cs="Times New Roman" w:eastAsia="Times New Roman" w:hAnsi="Times New Roman"/>
          <w:sz w:val="16"/>
          <w:szCs w:val="16"/>
          <w:color w:val="auto"/>
        </w:rPr>
      </w:pPr>
    </w:p>
    <w:p>
      <w:pPr>
        <w:ind w:left="720" w:hanging="282"/>
        <w:spacing w:after="0" w:line="306" w:lineRule="auto"/>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as a result of the Company’s lack of control over DTR, that DTR will not continue to make available, support or develop technology currently licensed pursuant to the existing commercial agreement with DTR;</w:t>
      </w:r>
    </w:p>
    <w:p>
      <w:pPr>
        <w:spacing w:after="0" w:line="58" w:lineRule="exact"/>
        <w:rPr>
          <w:rFonts w:ascii="Times New Roman" w:cs="Times New Roman" w:eastAsia="Times New Roman" w:hAnsi="Times New Roman"/>
          <w:sz w:val="16"/>
          <w:szCs w:val="16"/>
          <w:color w:val="auto"/>
        </w:rPr>
      </w:pPr>
    </w:p>
    <w:p>
      <w:pPr>
        <w:ind w:left="720" w:hanging="282"/>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maintain the listing of its securities on the New York Stock Exchange;</w:t>
      </w:r>
    </w:p>
    <w:p>
      <w:pPr>
        <w:spacing w:after="0" w:line="128" w:lineRule="exact"/>
        <w:rPr>
          <w:rFonts w:ascii="Times New Roman" w:cs="Times New Roman" w:eastAsia="Times New Roman" w:hAnsi="Times New Roman"/>
          <w:sz w:val="16"/>
          <w:szCs w:val="16"/>
          <w:color w:val="auto"/>
        </w:rPr>
      </w:pPr>
    </w:p>
    <w:p>
      <w:pPr>
        <w:ind w:left="720" w:right="80" w:hanging="282"/>
        <w:spacing w:after="0" w:line="290" w:lineRule="auto"/>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other risks and uncertainties indicated in the Company’s filings with the SEC, including its most recent Annual Report on Form 10-K for the year ended December 31, 2024, its quarterly reports on Form 10-Q for the quarter ended March 31, 2025, the quarter ended June 30, 2025 and the quarter ended September 30, 2025, and the risks regarding the Company’s adoption of its Investment Policy set forth in Exhibit 99.1 to the Company’s Current Report on Form 8-K, filed with the U.S. Securities and Exchange Commission on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490220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i w:val="1"/>
          <w:iCs w:val="1"/>
          <w:color w:val="231F20"/>
        </w:rPr>
        <w:t>The following discussion and analysis of financial condition and results of operations should be read together with our audited consolidated financial statements and the related notes included under Item 8 of this Form 10-K (this “Report”). References in this section to “we,” “us,” “our,” “Bakkt” or the “Company” and like terms refer to Bakkt Holdings, Inc. and its subsidiaries for the years ended December 31, 2024, December 31, 2023, and December 31, 2022, unless the context otherwise requires. Some of the information contained in this discussion and analysis or set forth elsewhere in this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pacing w:after="0" w:line="187"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our loyalty and travel redemption business (the “Loyalty Business”). The sale transaction closed on October 1, 2025, which completed a part of our strategic transformation into a pure-play cryptocurrency infrastructure platform.</w:t>
      </w:r>
    </w:p>
    <w:p>
      <w:pPr>
        <w:spacing w:after="0" w:line="168" w:lineRule="exact"/>
        <w:rPr>
          <w:sz w:val="20"/>
          <w:szCs w:val="20"/>
          <w:color w:val="auto"/>
        </w:rPr>
      </w:pPr>
    </w:p>
    <w:p>
      <w:pPr>
        <w:jc w:val="both"/>
        <w:ind w:firstLine="576"/>
        <w:spacing w:after="0" w:line="332" w:lineRule="auto"/>
        <w:rPr>
          <w:sz w:val="20"/>
          <w:szCs w:val="20"/>
          <w:color w:val="auto"/>
        </w:rPr>
      </w:pPr>
      <w:r>
        <w:rPr>
          <w:rFonts w:ascii="Times New Roman" w:cs="Times New Roman" w:eastAsia="Times New Roman" w:hAnsi="Times New Roman"/>
          <w:sz w:val="14"/>
          <w:szCs w:val="14"/>
          <w:color w:val="auto"/>
        </w:rPr>
        <w:t>In accordance with ASC 205-20, 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will result in the elimination of the operations and cash flows of the Loyalty Business from ongoing operations. As such, the results of operations, financial position, and cash flows of the Loyalty Business have been reclassified and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 Refer to Note 3 in the notes to the accompanying audited consolidated financial statements for further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Overview</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0C0C0C"/>
        </w:rPr>
        <w:t>In this section and elsewhere in this Form 10-K, we use the following terms, which are defined as follows:</w:t>
      </w:r>
    </w:p>
    <w:p>
      <w:pPr>
        <w:spacing w:after="0" w:line="174" w:lineRule="exact"/>
        <w:rPr>
          <w:sz w:val="20"/>
          <w:szCs w:val="20"/>
          <w:color w:val="auto"/>
        </w:rPr>
      </w:pPr>
    </w:p>
    <w:p>
      <w:pPr>
        <w:jc w:val="both"/>
        <w:ind w:left="580" w:hanging="286"/>
        <w:spacing w:after="0" w:line="290"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“Client” </w:t>
      </w:r>
      <w:r>
        <w:rPr>
          <w:rFonts w:ascii="Times New Roman" w:cs="Times New Roman" w:eastAsia="Times New Roman" w:hAnsi="Times New Roman"/>
          <w:sz w:val="16"/>
          <w:szCs w:val="16"/>
          <w:color w:val="auto"/>
        </w:rPr>
        <w:t>means businesses with whom we contract to provide services to customers on our platform, and includes financial institutions, hedge funds,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merchants, retailers, third party partners, and other businesses (except in the accompanying </w:t>
      </w:r>
      <w:r>
        <w:rPr>
          <w:rFonts w:ascii="Times New Roman" w:cs="Times New Roman" w:eastAsia="Times New Roman" w:hAnsi="Times New Roman"/>
          <w:sz w:val="16"/>
          <w:szCs w:val="16"/>
          <w:color w:val="231F20"/>
        </w:rPr>
        <w:t>notes to the consolidated financial statements, where we refer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revenue earned from customers, instead of clients. The term customers is </w:t>
      </w:r>
      <w:r>
        <w:rPr>
          <w:rFonts w:ascii="Times New Roman" w:cs="Times New Roman" w:eastAsia="Times New Roman" w:hAnsi="Times New Roman"/>
          <w:sz w:val="16"/>
          <w:szCs w:val="16"/>
          <w:color w:val="000000"/>
        </w:rPr>
        <w:t>in accordance with the Financial Accounting Standards Board (“FASB”) Accounting</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Standards Codification (“ASC”) </w:t>
      </w:r>
      <w:r>
        <w:rPr>
          <w:rFonts w:ascii="Times New Roman" w:cs="Times New Roman" w:eastAsia="Times New Roman" w:hAnsi="Times New Roman"/>
          <w:sz w:val="16"/>
          <w:szCs w:val="16"/>
          <w:color w:val="231F20"/>
        </w:rPr>
        <w:t>606,</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i w:val="1"/>
          <w:iCs w:val="1"/>
          <w:color w:val="231F20"/>
        </w:rPr>
        <w:t>Revenue from Contracts with Customers</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(“ASC 606”)).</w:t>
      </w:r>
    </w:p>
    <w:p>
      <w:pPr>
        <w:spacing w:after="0" w:line="83" w:lineRule="exact"/>
        <w:rPr>
          <w:rFonts w:ascii="Times New Roman" w:cs="Times New Roman" w:eastAsia="Times New Roman" w:hAnsi="Times New Roman"/>
          <w:sz w:val="16"/>
          <w:szCs w:val="16"/>
          <w:color w:val="auto"/>
        </w:rPr>
      </w:pPr>
    </w:p>
    <w:p>
      <w:pPr>
        <w:jc w:val="both"/>
        <w:ind w:left="580" w:hanging="286"/>
        <w:spacing w:after="0" w:line="326"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“Crypto” or “Crypto asset” </w:t>
      </w:r>
      <w:r>
        <w:rPr>
          <w:rFonts w:ascii="Times New Roman" w:cs="Times New Roman" w:eastAsia="Times New Roman" w:hAnsi="Times New Roman"/>
          <w:sz w:val="16"/>
          <w:szCs w:val="16"/>
          <w:color w:val="auto"/>
        </w:rPr>
        <w:t>means an asset that is built using blockchain technology, including virtual currencies (as used in the State of New York), coins,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cryptocurrencies, stablecoins, and other tokens. Our platform enables transactions in certain supported crypto assets. For purposes of this Form 10-K, we use crypto assets, virtual currency, coins, and tokens interchangeably.</w:t>
      </w:r>
    </w:p>
    <w:p>
      <w:pPr>
        <w:spacing w:after="0" w:line="66" w:lineRule="exact"/>
        <w:rPr>
          <w:rFonts w:ascii="Times New Roman" w:cs="Times New Roman" w:eastAsia="Times New Roman" w:hAnsi="Times New Roman"/>
          <w:sz w:val="16"/>
          <w:szCs w:val="16"/>
          <w:color w:val="auto"/>
        </w:rPr>
      </w:pPr>
    </w:p>
    <w:p>
      <w:pPr>
        <w:ind w:left="580" w:right="20" w:hanging="286"/>
        <w:spacing w:after="0" w:line="423" w:lineRule="auto"/>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“Customer” </w:t>
      </w:r>
      <w:r>
        <w:rPr>
          <w:rFonts w:ascii="Times New Roman" w:cs="Times New Roman" w:eastAsia="Times New Roman" w:hAnsi="Times New Roman"/>
          <w:sz w:val="14"/>
          <w:szCs w:val="14"/>
          <w:color w:val="auto"/>
        </w:rPr>
        <w:t>means an individual user of our platform. Customers include customers of our loyalty clients who use our platform to transact in loyalty points,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well as customers of our clients who transact in crypto through, and have accounts on, our platform (except as defined for ASC 606 purposes above).</w:t>
      </w:r>
    </w:p>
    <w:p>
      <w:pPr>
        <w:spacing w:after="0" w:line="8" w:lineRule="exact"/>
        <w:rPr>
          <w:rFonts w:ascii="Times New Roman" w:cs="Times New Roman" w:eastAsia="Times New Roman" w:hAnsi="Times New Roman"/>
          <w:sz w:val="14"/>
          <w:szCs w:val="14"/>
          <w:color w:val="auto"/>
        </w:rPr>
      </w:pPr>
    </w:p>
    <w:p>
      <w:pPr>
        <w:ind w:left="580" w:hanging="286"/>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“Loyalty points” </w:t>
      </w:r>
      <w:r>
        <w:rPr>
          <w:rFonts w:ascii="Times New Roman" w:cs="Times New Roman" w:eastAsia="Times New Roman" w:hAnsi="Times New Roman"/>
          <w:sz w:val="16"/>
          <w:szCs w:val="16"/>
          <w:color w:val="auto"/>
        </w:rPr>
        <w:t>means loyalty and/or reward points that are issued by clients to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firstLine="576"/>
        <w:spacing w:after="0" w:line="319" w:lineRule="auto"/>
        <w:rPr>
          <w:sz w:val="20"/>
          <w:szCs w:val="20"/>
          <w:color w:val="auto"/>
        </w:rPr>
      </w:pPr>
      <w:r>
        <w:rPr>
          <w:rFonts w:ascii="Times New Roman" w:cs="Times New Roman" w:eastAsia="Times New Roman" w:hAnsi="Times New Roman"/>
          <w:sz w:val="16"/>
          <w:szCs w:val="16"/>
          <w:color w:val="151515"/>
        </w:rPr>
        <w:t>Founded in 2018, Bakkt builds technology that enables our clients to deliver new opportunities to their customers through Software as a Service (“SaaS”) and A</w:t>
      </w:r>
      <w:r>
        <w:rPr>
          <w:rFonts w:ascii="Times New Roman" w:cs="Times New Roman" w:eastAsia="Times New Roman" w:hAnsi="Times New Roman"/>
          <w:sz w:val="16"/>
          <w:szCs w:val="16"/>
          <w:color w:val="0C0C0C"/>
        </w:rPr>
        <w:t>pplication Programming Interface (“</w:t>
      </w:r>
      <w:r>
        <w:rPr>
          <w:rFonts w:ascii="Times New Roman" w:cs="Times New Roman" w:eastAsia="Times New Roman" w:hAnsi="Times New Roman"/>
          <w:sz w:val="16"/>
          <w:szCs w:val="16"/>
          <w:color w:val="151515"/>
        </w:rPr>
        <w:t>API”) solutions that provide crypto trading capabilities and loyalty solutions for our clients and customers.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w:t>
      </w:r>
    </w:p>
    <w:p>
      <w:pPr>
        <w:spacing w:after="0" w:line="170" w:lineRule="exact"/>
        <w:rPr>
          <w:sz w:val="20"/>
          <w:szCs w:val="20"/>
          <w:color w:val="auto"/>
        </w:rPr>
      </w:pPr>
    </w:p>
    <w:p>
      <w:pPr>
        <w:jc w:val="both"/>
        <w:ind w:firstLine="576"/>
        <w:spacing w:after="0" w:line="319" w:lineRule="auto"/>
        <w:rPr>
          <w:sz w:val="20"/>
          <w:szCs w:val="20"/>
          <w:color w:val="auto"/>
        </w:rPr>
      </w:pPr>
      <w:r>
        <w:rPr>
          <w:rFonts w:ascii="Times New Roman" w:cs="Times New Roman" w:eastAsia="Times New Roman" w:hAnsi="Times New Roman"/>
          <w:sz w:val="16"/>
          <w:szCs w:val="16"/>
          <w:color w:val="151515"/>
        </w:rPr>
        <w:t>Our platform is built to accommodate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Crypto Market Developments</w:t>
      </w:r>
    </w:p>
    <w:p>
      <w:pPr>
        <w:spacing w:after="0" w:line="214" w:lineRule="exact"/>
        <w:rPr>
          <w:sz w:val="20"/>
          <w:szCs w:val="20"/>
          <w:color w:val="auto"/>
        </w:rPr>
      </w:pPr>
    </w:p>
    <w:p>
      <w:pPr>
        <w:jc w:val="both"/>
        <w:ind w:right="20" w:firstLine="576"/>
        <w:spacing w:after="0" w:line="318" w:lineRule="auto"/>
        <w:rPr>
          <w:sz w:val="20"/>
          <w:szCs w:val="20"/>
          <w:color w:val="auto"/>
        </w:rPr>
      </w:pPr>
      <w:r>
        <w:rPr>
          <w:rFonts w:ascii="Times New Roman" w:cs="Times New Roman" w:eastAsia="Times New Roman" w:hAnsi="Times New Roman"/>
          <w:sz w:val="16"/>
          <w:szCs w:val="16"/>
          <w:color w:val="151515"/>
        </w:rPr>
        <w:t>The U.S. cryptocurrency market evolved dramatically in 2024 and early 2025, marked by changes to the regulatory framework, technological innovation and institutional change. Bitcoin’s price increased from approximately $39,500 on January 22, 2024 to a price exceeding $103,000 in January 2025. There were several regulatory and macroeconomic events that likely contributed to this rise in price, including the SEC approving of the first ETFs 2024. Within the year, Bitcoin ETFs accounted for over $105 billion in assets under management, and were a key contributor to bitcoin hitting all-time highs, with bitcoin ending the year at a market cap of $1.8 trillion. These positive trends have continued with the continued adoption of crypto assets across institutional and retail markets alike, and the election of President Donald J. Trump, who has vocalized his support of the crypto industry and establishing the U.S. as a blockchain innovation hub.</w:t>
      </w:r>
    </w:p>
    <w:p>
      <w:pPr>
        <w:spacing w:after="0" w:line="170"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6"/>
          <w:szCs w:val="16"/>
          <w:color w:val="151515"/>
        </w:rPr>
        <w:t>According to Security.org’s 2025 Cryptocurrency Adoption and Consumer Sentiment Report, as of January 31, 2025, an estimated 28% of U.S. adults owned cryptocurrencies, reflecting a near doubling in adoption since 2021. We believe this significant and expedient market adoption of crypto assets reflect a maturing cryptocurrency market.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Bakkt Trust Exit</w:t>
      </w:r>
    </w:p>
    <w:p>
      <w:pPr>
        <w:spacing w:after="0" w:line="238"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6"/>
          <w:szCs w:val="16"/>
          <w:color w:val="auto"/>
        </w:rPr>
        <w:t>On March 17, 2025, we entered into an agreement with ICE whereby ICE has agreed to purchase all of the outstanding equity interests of Bakkt Trust in exchange for $1.5 million plus the assumption of Bakkt Trust’s regulatory capital requirement, which was approximately $3.0 million as of signing, and certain operating costs of Bakkt Trust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481330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6"/>
          <w:szCs w:val="16"/>
          <w:color w:val="auto"/>
        </w:rPr>
        <w:t>the period between the signing of the purchase agreement and the closing of the transaction (subject to such closing). The closing of this transaction is subject to regulatory approval and other customary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Bakkt Loyalty Solutions Exit</w:t>
      </w:r>
    </w:p>
    <w:p>
      <w:pPr>
        <w:spacing w:after="0" w:line="298" w:lineRule="exact"/>
        <w:rPr>
          <w:sz w:val="20"/>
          <w:szCs w:val="20"/>
          <w:color w:val="auto"/>
        </w:rPr>
      </w:pPr>
    </w:p>
    <w:p>
      <w:pPr>
        <w:ind w:right="20" w:firstLine="576"/>
        <w:spacing w:after="0" w:line="353" w:lineRule="auto"/>
        <w:rPr>
          <w:sz w:val="20"/>
          <w:szCs w:val="20"/>
          <w:color w:val="auto"/>
        </w:rPr>
      </w:pPr>
      <w:r>
        <w:rPr>
          <w:rFonts w:ascii="Times New Roman" w:cs="Times New Roman" w:eastAsia="Times New Roman" w:hAnsi="Times New Roman"/>
          <w:sz w:val="16"/>
          <w:szCs w:val="16"/>
          <w:color w:val="auto"/>
        </w:rPr>
        <w:t>In March 2025, we announced our investigation of strategic alternatives for our loyalty business as we work to realign our business with a crypto focus.As we explore our options, including a potential sale or wind-down, we expect to reduce efforts to promote and grow this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Cooperation Agreement</w:t>
      </w:r>
    </w:p>
    <w:p>
      <w:pPr>
        <w:spacing w:after="0" w:line="250" w:lineRule="exact"/>
        <w:rPr>
          <w:sz w:val="20"/>
          <w:szCs w:val="20"/>
          <w:color w:val="auto"/>
        </w:rPr>
      </w:pPr>
    </w:p>
    <w:p>
      <w:pPr>
        <w:ind w:right="60" w:firstLine="576"/>
        <w:spacing w:after="0" w:line="338" w:lineRule="auto"/>
        <w:rPr>
          <w:sz w:val="20"/>
          <w:szCs w:val="20"/>
          <w:color w:val="auto"/>
        </w:rPr>
      </w:pPr>
      <w:r>
        <w:rPr>
          <w:rFonts w:ascii="Times New Roman" w:cs="Times New Roman" w:eastAsia="Times New Roman" w:hAnsi="Times New Roman"/>
          <w:sz w:val="16"/>
          <w:szCs w:val="16"/>
          <w:color w:val="auto"/>
        </w:rPr>
        <w:t>On March 19, 2025, we announced that we had entered into a Cooperation Agreement with Distributed Technologies Research Ltd. (“DTR”) and Akshay Naheta, the sole stockholder of DTR (the “Cooperation Agreement”).</w:t>
      </w:r>
    </w:p>
    <w:p>
      <w:pPr>
        <w:spacing w:after="0" w:line="154" w:lineRule="exact"/>
        <w:rPr>
          <w:sz w:val="20"/>
          <w:szCs w:val="20"/>
          <w:color w:val="auto"/>
        </w:rPr>
      </w:pPr>
    </w:p>
    <w:p>
      <w:pPr>
        <w:ind w:right="40" w:firstLine="576"/>
        <w:spacing w:after="0" w:line="420" w:lineRule="auto"/>
        <w:rPr>
          <w:sz w:val="20"/>
          <w:szCs w:val="20"/>
          <w:color w:val="auto"/>
        </w:rPr>
      </w:pPr>
      <w:r>
        <w:rPr>
          <w:rFonts w:ascii="Times New Roman" w:cs="Times New Roman" w:eastAsia="Times New Roman" w:hAnsi="Times New Roman"/>
          <w:sz w:val="14"/>
          <w:szCs w:val="14"/>
          <w:color w:val="auto"/>
        </w:rPr>
        <w:t>Pursuant to the Cooperation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109" w:lineRule="exact"/>
        <w:rPr>
          <w:sz w:val="20"/>
          <w:szCs w:val="20"/>
          <w:color w:val="auto"/>
        </w:rPr>
      </w:pPr>
    </w:p>
    <w:p>
      <w:pPr>
        <w:jc w:val="both"/>
        <w:ind w:firstLine="576"/>
        <w:spacing w:after="0" w:line="364" w:lineRule="auto"/>
        <w:rPr>
          <w:sz w:val="20"/>
          <w:szCs w:val="20"/>
          <w:color w:val="auto"/>
        </w:rPr>
      </w:pPr>
      <w:r>
        <w:rPr>
          <w:rFonts w:ascii="Times New Roman" w:cs="Times New Roman" w:eastAsia="Times New Roman" w:hAnsi="Times New Roman"/>
          <w:sz w:val="14"/>
          <w:szCs w:val="14"/>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151" w:lineRule="exact"/>
        <w:rPr>
          <w:sz w:val="20"/>
          <w:szCs w:val="20"/>
          <w:color w:val="auto"/>
        </w:rPr>
      </w:pPr>
    </w:p>
    <w:p>
      <w:pPr>
        <w:jc w:val="both"/>
        <w:ind w:right="20" w:firstLine="576"/>
        <w:spacing w:after="0" w:line="321" w:lineRule="auto"/>
        <w:rPr>
          <w:sz w:val="20"/>
          <w:szCs w:val="20"/>
          <w:color w:val="auto"/>
        </w:rPr>
      </w:pPr>
      <w:r>
        <w:rPr>
          <w:rFonts w:ascii="Times New Roman" w:cs="Times New Roman" w:eastAsia="Times New Roman" w:hAnsi="Times New Roman"/>
          <w:sz w:val="16"/>
          <w:szCs w:val="16"/>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168" w:lineRule="exact"/>
        <w:rPr>
          <w:sz w:val="20"/>
          <w:szCs w:val="20"/>
          <w:color w:val="auto"/>
        </w:rPr>
      </w:pPr>
    </w:p>
    <w:p>
      <w:pPr>
        <w:jc w:val="both"/>
        <w:ind w:right="20" w:firstLine="576"/>
        <w:spacing w:after="0" w:line="318" w:lineRule="auto"/>
        <w:rPr>
          <w:sz w:val="20"/>
          <w:szCs w:val="20"/>
          <w:color w:val="auto"/>
        </w:rPr>
      </w:pPr>
      <w:r>
        <w:rPr>
          <w:rFonts w:ascii="Times New Roman" w:cs="Times New Roman" w:eastAsia="Times New Roman" w:hAnsi="Times New Roman"/>
          <w:sz w:val="16"/>
          <w:szCs w:val="16"/>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 representing at least 19.9% and no more than 31.5%, of the aggregate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484505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6"/>
          <w:szCs w:val="16"/>
          <w:color w:val="auto"/>
        </w:rPr>
        <w:t>converted basis, which shall not include the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70" w:lineRule="exact"/>
        <w:rPr>
          <w:sz w:val="20"/>
          <w:szCs w:val="20"/>
          <w:color w:val="auto"/>
        </w:rPr>
      </w:pPr>
    </w:p>
    <w:p>
      <w:pPr>
        <w:jc w:val="both"/>
        <w:ind w:firstLine="576"/>
        <w:spacing w:after="0" w:line="315" w:lineRule="auto"/>
        <w:rPr>
          <w:sz w:val="20"/>
          <w:szCs w:val="20"/>
          <w:color w:val="auto"/>
        </w:rPr>
      </w:pPr>
      <w:r>
        <w:rPr>
          <w:rFonts w:ascii="Times New Roman" w:cs="Times New Roman" w:eastAsia="Times New Roman" w:hAnsi="Times New Roman"/>
          <w:sz w:val="16"/>
          <w:szCs w:val="16"/>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177" w:lineRule="exact"/>
        <w:rPr>
          <w:sz w:val="20"/>
          <w:szCs w:val="20"/>
          <w:color w:val="auto"/>
        </w:rPr>
      </w:pPr>
    </w:p>
    <w:p>
      <w:pPr>
        <w:jc w:val="both"/>
        <w:ind w:firstLine="576"/>
        <w:spacing w:after="0" w:line="319" w:lineRule="auto"/>
        <w:rPr>
          <w:sz w:val="20"/>
          <w:szCs w:val="20"/>
          <w:color w:val="auto"/>
        </w:rPr>
      </w:pPr>
      <w:r>
        <w:rPr>
          <w:rFonts w:ascii="Times New Roman" w:cs="Times New Roman" w:eastAsia="Times New Roman" w:hAnsi="Times New Roman"/>
          <w:sz w:val="16"/>
          <w:szCs w:val="16"/>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170" w:lineRule="exact"/>
        <w:rPr>
          <w:sz w:val="20"/>
          <w:szCs w:val="20"/>
          <w:color w:val="auto"/>
        </w:rPr>
      </w:pPr>
    </w:p>
    <w:p>
      <w:pPr>
        <w:jc w:val="both"/>
        <w:ind w:right="20" w:firstLine="576"/>
        <w:spacing w:after="0" w:line="325" w:lineRule="auto"/>
        <w:rPr>
          <w:sz w:val="20"/>
          <w:szCs w:val="20"/>
          <w:color w:val="auto"/>
        </w:rPr>
      </w:pPr>
      <w:r>
        <w:rPr>
          <w:rFonts w:ascii="Times New Roman" w:cs="Times New Roman" w:eastAsia="Times New Roman" w:hAnsi="Times New Roman"/>
          <w:sz w:val="16"/>
          <w:szCs w:val="16"/>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238" w:lineRule="exact"/>
        <w:rPr>
          <w:sz w:val="20"/>
          <w:szCs w:val="20"/>
          <w:color w:val="auto"/>
        </w:rPr>
      </w:pPr>
    </w:p>
    <w:p>
      <w:pPr>
        <w:jc w:val="both"/>
        <w:ind w:firstLine="576"/>
        <w:spacing w:after="0" w:line="325" w:lineRule="auto"/>
        <w:rPr>
          <w:sz w:val="20"/>
          <w:szCs w:val="20"/>
          <w:color w:val="auto"/>
        </w:rPr>
      </w:pPr>
      <w:r>
        <w:rPr>
          <w:rFonts w:ascii="Times New Roman" w:cs="Times New Roman" w:eastAsia="Times New Roman" w:hAnsi="Times New Roman"/>
          <w:sz w:val="16"/>
          <w:szCs w:val="16"/>
          <w:color w:val="auto"/>
        </w:rPr>
        <w:t>On August 12, 2024, Bakkt and Opco executed a revolving credit facility with Intercontinental Exchange Holdings, Inc. (the “Lender”) and certain subsidiaries of Bakkt party thereto from time to time, as guarantors, whereby the Lender agreed to provide for a $40.0 million secured revolving line of credit for working capital and general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481330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6"/>
          <w:szCs w:val="16"/>
          <w:color w:val="auto"/>
        </w:rPr>
        <w:t>purposes. The ICE Credit Facility is available in defined commitment amounts at specified dates in the future. For more information, see “Liquidity and Capital Resources” elsewhere in this section of this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Reverse Stock Split</w:t>
      </w:r>
    </w:p>
    <w:p>
      <w:pPr>
        <w:spacing w:after="0" w:line="226" w:lineRule="exact"/>
        <w:rPr>
          <w:sz w:val="20"/>
          <w:szCs w:val="20"/>
          <w:color w:val="auto"/>
        </w:rPr>
      </w:pPr>
    </w:p>
    <w:p>
      <w:pPr>
        <w:jc w:val="both"/>
        <w:ind w:firstLine="576"/>
        <w:spacing w:after="0" w:line="334" w:lineRule="auto"/>
        <w:rPr>
          <w:sz w:val="20"/>
          <w:szCs w:val="20"/>
          <w:color w:val="auto"/>
        </w:rPr>
      </w:pPr>
      <w:r>
        <w:rPr>
          <w:rFonts w:ascii="Times New Roman" w:cs="Times New Roman" w:eastAsia="Times New Roman" w:hAnsi="Times New Roman"/>
          <w:sz w:val="14"/>
          <w:szCs w:val="14"/>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continues to be listed on the NYSE under the symbol “BKKT”. As such, the Reverse Stock Split has been retroactively applied to all share and per share information throughout this Report (unless otherwise noted).</w:t>
      </w:r>
    </w:p>
    <w:p>
      <w:pPr>
        <w:spacing w:after="0" w:line="144" w:lineRule="exact"/>
        <w:rPr>
          <w:sz w:val="20"/>
          <w:szCs w:val="20"/>
          <w:color w:val="auto"/>
        </w:rPr>
      </w:pPr>
    </w:p>
    <w:p>
      <w:pPr>
        <w:jc w:val="both"/>
        <w:ind w:right="20" w:firstLine="576"/>
        <w:spacing w:after="0" w:line="288" w:lineRule="auto"/>
        <w:rPr>
          <w:sz w:val="20"/>
          <w:szCs w:val="20"/>
          <w:color w:val="auto"/>
        </w:rPr>
      </w:pPr>
      <w:r>
        <w:rPr>
          <w:rFonts w:ascii="Times New Roman" w:cs="Times New Roman" w:eastAsia="Times New Roman" w:hAnsi="Times New Roman"/>
          <w:sz w:val="16"/>
          <w:szCs w:val="16"/>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168" w:lineRule="exact"/>
        <w:rPr>
          <w:sz w:val="20"/>
          <w:szCs w:val="20"/>
          <w:color w:val="auto"/>
        </w:rPr>
      </w:pPr>
    </w:p>
    <w:p>
      <w:pPr>
        <w:jc w:val="both"/>
        <w:ind w:firstLine="576"/>
        <w:spacing w:after="0" w:line="332" w:lineRule="auto"/>
        <w:rPr>
          <w:sz w:val="20"/>
          <w:szCs w:val="20"/>
          <w:color w:val="auto"/>
        </w:rPr>
      </w:pPr>
      <w:r>
        <w:rPr>
          <w:rFonts w:ascii="Times New Roman" w:cs="Times New Roman" w:eastAsia="Times New Roman" w:hAnsi="Times New Roman"/>
          <w:sz w:val="14"/>
          <w:szCs w:val="14"/>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146"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the 2021 Omnibus Incentive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February 2024 Concurrent Registered Direct Offerings</w:t>
      </w:r>
    </w:p>
    <w:p>
      <w:pPr>
        <w:spacing w:after="0" w:line="226" w:lineRule="exact"/>
        <w:rPr>
          <w:sz w:val="20"/>
          <w:szCs w:val="20"/>
          <w:color w:val="auto"/>
        </w:rPr>
      </w:pPr>
    </w:p>
    <w:p>
      <w:pPr>
        <w:ind w:firstLine="576"/>
        <w:spacing w:after="0" w:line="331" w:lineRule="auto"/>
        <w:rPr>
          <w:sz w:val="20"/>
          <w:szCs w:val="20"/>
          <w:color w:val="auto"/>
        </w:rPr>
      </w:pPr>
      <w:r>
        <w:rPr>
          <w:rFonts w:ascii="Times New Roman" w:cs="Times New Roman" w:eastAsia="Times New Roman" w:hAnsi="Times New Roman"/>
          <w:sz w:val="14"/>
          <w:szCs w:val="14"/>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Form 10-K,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475615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576"/>
        <w:spacing w:after="0" w:line="290" w:lineRule="auto"/>
        <w:rPr>
          <w:sz w:val="20"/>
          <w:szCs w:val="20"/>
          <w:color w:val="auto"/>
        </w:rPr>
      </w:pPr>
      <w:r>
        <w:rPr>
          <w:rFonts w:ascii="Times New Roman" w:cs="Times New Roman" w:eastAsia="Times New Roman" w:hAnsi="Times New Roman"/>
          <w:sz w:val="16"/>
          <w:szCs w:val="16"/>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67" w:lineRule="exact"/>
        <w:rPr>
          <w:sz w:val="20"/>
          <w:szCs w:val="20"/>
          <w:color w:val="auto"/>
        </w:rPr>
      </w:pPr>
    </w:p>
    <w:p>
      <w:pPr>
        <w:jc w:val="both"/>
        <w:ind w:right="60" w:firstLine="576"/>
        <w:spacing w:after="0" w:line="288" w:lineRule="auto"/>
        <w:rPr>
          <w:sz w:val="20"/>
          <w:szCs w:val="20"/>
          <w:color w:val="auto"/>
        </w:rPr>
      </w:pPr>
      <w:r>
        <w:rPr>
          <w:rFonts w:ascii="Times New Roman" w:cs="Times New Roman" w:eastAsia="Times New Roman" w:hAnsi="Times New Roman"/>
          <w:sz w:val="16"/>
          <w:szCs w:val="16"/>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231F20"/>
        </w:rPr>
        <w:t>Liquidity and Capital Resources</w:t>
      </w:r>
      <w:r>
        <w:rPr>
          <w:rFonts w:ascii="Times New Roman" w:cs="Times New Roman" w:eastAsia="Times New Roman" w:hAnsi="Times New Roman"/>
          <w:sz w:val="16"/>
          <w:szCs w:val="16"/>
          <w:color w:val="231F20"/>
        </w:rPr>
        <w:t>” below for management’s assertions on the impact of the Concurrent Offerings on our going concern considerations.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NYSE Listing Notification</w:t>
      </w:r>
    </w:p>
    <w:p>
      <w:pPr>
        <w:spacing w:after="0" w:line="226"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$1.00 per share minimum bid price requirement of Section 802.01C of the NYSE Listed Company Manual (the “Listing Rule”), we had six months following the NYSE notification to regain compliance with the Listing Rule, during which time our Class A Common Stock will continue to be listed on the NYSE.</w:t>
      </w:r>
    </w:p>
    <w:p>
      <w:pPr>
        <w:spacing w:after="0" w:line="167"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Executive Officer Transition</w:t>
      </w:r>
    </w:p>
    <w:p>
      <w:pPr>
        <w:spacing w:after="0" w:line="226"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auto"/>
        </w:rPr>
        <w:t>Effective March 25, 2024, Gavin Michael resigned as President, Chief Executive Officer and as a director of the Company, as well as from all positions held with the Company’s subsidiaries, effective March 25, 2024. Mr. Michael has been engaged as an advisor to the Company through March 26, 2025.</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Andrew Main, a member of the Board, succeeded Mr. Michael as the Company’s President and Chief Executive Officer and has continued to serve on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w:t>
      </w:r>
    </w:p>
    <w:p>
      <w:pPr>
        <w:spacing w:after="0" w:line="224" w:lineRule="exact"/>
        <w:rPr>
          <w:sz w:val="20"/>
          <w:szCs w:val="20"/>
          <w:color w:val="auto"/>
        </w:rPr>
      </w:pPr>
    </w:p>
    <w:p>
      <w:pPr>
        <w:jc w:val="both"/>
        <w:ind w:right="80" w:firstLine="576"/>
        <w:spacing w:after="0" w:line="290" w:lineRule="auto"/>
        <w:rPr>
          <w:sz w:val="20"/>
          <w:szCs w:val="20"/>
          <w:color w:val="auto"/>
        </w:rPr>
      </w:pPr>
      <w:r>
        <w:rPr>
          <w:rFonts w:ascii="Times New Roman" w:cs="Times New Roman" w:eastAsia="Times New Roman" w:hAnsi="Times New Roman"/>
          <w:sz w:val="16"/>
          <w:szCs w:val="16"/>
          <w:color w:val="auto"/>
        </w:rPr>
        <w:t>Effective May 22, 2024, Charles Goodroe resigned from his position as Chief Accounting Officer of the Company and Karen Alexander, the Company’s Chief Financial Officer and principal financial officer, assumed the role of the Company’s principal accounting officer. On July 8, 2024, the Company appointed Joe Henderson as Vice President, Chief Accounting Officer and principal accounting officer of the Company. Ms. Alexander has continued to serve as the Company's Chief Financial Officer since Mr. Henderson's appointment.</w:t>
      </w:r>
    </w:p>
    <w:p>
      <w:pPr>
        <w:spacing w:after="0" w:line="167" w:lineRule="exact"/>
        <w:rPr>
          <w:sz w:val="20"/>
          <w:szCs w:val="20"/>
          <w:color w:val="auto"/>
        </w:rPr>
      </w:pPr>
    </w:p>
    <w:p>
      <w:pPr>
        <w:ind w:firstLine="576"/>
        <w:spacing w:after="0" w:line="306" w:lineRule="auto"/>
        <w:rPr>
          <w:sz w:val="20"/>
          <w:szCs w:val="20"/>
          <w:color w:val="auto"/>
        </w:rPr>
      </w:pPr>
      <w:r>
        <w:rPr>
          <w:rFonts w:ascii="Times New Roman" w:cs="Times New Roman" w:eastAsia="Times New Roman" w:hAnsi="Times New Roman"/>
          <w:sz w:val="16"/>
          <w:szCs w:val="16"/>
          <w:color w:val="auto"/>
        </w:rPr>
        <w:t>In connection with the entrance into the Cooperation Agreement, on March 19, 2024, we agreed to appoint Akshay Naheta as our co-Chief Executive Officer, to serve in such role alongside Andrew Main, and to serve on the Board, with each such role being effective as of 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604520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Key Factors Affecting Our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Growing Our Client Base</w:t>
      </w:r>
    </w:p>
    <w:p>
      <w:pPr>
        <w:spacing w:after="0" w:line="228"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Product Expansion and Innovation</w:t>
      </w:r>
    </w:p>
    <w:p>
      <w:pPr>
        <w:spacing w:after="0" w:line="228"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Competition</w:t>
      </w:r>
    </w:p>
    <w:p>
      <w:pPr>
        <w:spacing w:after="0" w:line="228"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crypto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crypto assets on a single, highly secure, institutional-grade technology platform.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General Economic and Market Conditions</w:t>
      </w:r>
    </w:p>
    <w:p>
      <w:pPr>
        <w:spacing w:after="0" w:line="228" w:lineRule="exact"/>
        <w:rPr>
          <w:sz w:val="20"/>
          <w:szCs w:val="20"/>
          <w:color w:val="auto"/>
        </w:rPr>
      </w:pPr>
    </w:p>
    <w:p>
      <w:pPr>
        <w:jc w:val="both"/>
        <w:ind w:firstLine="576"/>
        <w:spacing w:after="0" w:line="384" w:lineRule="auto"/>
        <w:rPr>
          <w:sz w:val="20"/>
          <w:szCs w:val="20"/>
          <w:color w:val="auto"/>
        </w:rPr>
      </w:pPr>
      <w:r>
        <w:rPr>
          <w:rFonts w:ascii="Times New Roman" w:cs="Times New Roman" w:eastAsia="Times New Roman" w:hAnsi="Times New Roman"/>
          <w:sz w:val="14"/>
          <w:szCs w:val="14"/>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Times New Roman" w:cs="Times New Roman" w:eastAsia="Times New Roman" w:hAnsi="Times New Roman"/>
          <w:sz w:val="14"/>
          <w:szCs w:val="14"/>
          <w:i w:val="1"/>
          <w:iCs w:val="1"/>
          <w:color w:val="231F20"/>
        </w:rPr>
        <w:t>See “Crypto Market Developments” above.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Regulations in U.S. &amp; International Markets</w:t>
      </w:r>
    </w:p>
    <w:p>
      <w:pPr>
        <w:spacing w:after="0" w:line="204"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231F20"/>
        </w:rPr>
        <w:t xml:space="preserve">We are seeking to bring trust and transparency to </w:t>
      </w:r>
      <w:r>
        <w:rPr>
          <w:rFonts w:ascii="Times New Roman" w:cs="Times New Roman" w:eastAsia="Times New Roman" w:hAnsi="Times New Roman"/>
          <w:sz w:val="16"/>
          <w:szCs w:val="16"/>
          <w:color w:val="000000"/>
        </w:rPr>
        <w:t>crypto</w:t>
      </w:r>
      <w:r>
        <w:rPr>
          <w:rFonts w:ascii="Times New Roman" w:cs="Times New Roman" w:eastAsia="Times New Roman" w:hAnsi="Times New Roman"/>
          <w:sz w:val="16"/>
          <w:szCs w:val="16"/>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64"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231F20"/>
        </w:rPr>
        <w:t>As investment continues, the intersection of technology and finance will require ongoing engagement as new applications emerge. C</w:t>
      </w:r>
      <w:r>
        <w:rPr>
          <w:rFonts w:ascii="Times New Roman" w:cs="Times New Roman" w:eastAsia="Times New Roman" w:hAnsi="Times New Roman"/>
          <w:sz w:val="16"/>
          <w:szCs w:val="16"/>
          <w:color w:val="000000"/>
        </w:rPr>
        <w:t>rypto asset</w:t>
      </w:r>
      <w:r>
        <w:rPr>
          <w:rFonts w:ascii="Times New Roman" w:cs="Times New Roman" w:eastAsia="Times New Roman" w:hAnsi="Times New Roman"/>
          <w:sz w:val="16"/>
          <w:szCs w:val="16"/>
          <w:color w:val="231F20"/>
        </w:rPr>
        <w:t xml:space="preserve"> and distributed ledger technology have significant, positive potential with proper collaboration between industry and regulators.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Cryptocurrency Held on Platform</w:t>
      </w:r>
    </w:p>
    <w:p>
      <w:pPr>
        <w:spacing w:after="0" w:line="240"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The Company held cryptocurrency in custodial products on its platform for client customers totaling $2,301.9 million and $701.6 million at fair value as of December 31, 2024 and 2023, respectively. In accordance with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Exchange Commission Staff Accounting Bulletin No. 122, these assets are not recorded in the Company’s Consolidated balance sheets. Similarly, as the Company has an obligation to securely store cryptocurrency on its platform, it has a corresponding unrecorded liability of $2,301.9 million and $701.6 million as of December 31, 2024 and 2023, respectively. Since the risk of loss related to the obligation to safeguard crypto assets for users of its platform is remote, the Company did not record a liability for such risk of loss as of December 31, 2024 and 2023 in the Company’s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C0C0C"/>
        </w:rPr>
        <w:t>Key Performance Indicators</w:t>
      </w:r>
    </w:p>
    <w:p>
      <w:pPr>
        <w:spacing w:after="0" w:line="226"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0C0C0C"/>
        </w:rPr>
        <w:t>We use four key performance indicators (“KPIs”) that are key to understanding our business performance, as they reflect the different ways we enable clients to engage with our platform.</w:t>
      </w:r>
    </w:p>
    <w:p>
      <w:pPr>
        <w:spacing w:after="0" w:line="139" w:lineRule="exact"/>
        <w:rPr>
          <w:sz w:val="20"/>
          <w:szCs w:val="20"/>
          <w:color w:val="auto"/>
        </w:rPr>
      </w:pPr>
    </w:p>
    <w:p>
      <w:pPr>
        <w:ind w:left="580" w:right="20" w:hanging="286"/>
        <w:spacing w:after="0" w:line="264" w:lineRule="auto"/>
        <w:tabs>
          <w:tab w:leader="none" w:pos="580" w:val="left"/>
        </w:tabs>
        <w:numPr>
          <w:ilvl w:val="0"/>
          <w:numId w:val="10"/>
        </w:numPr>
        <w:rPr>
          <w:rFonts w:ascii="Times New Roman" w:cs="Times New Roman" w:eastAsia="Times New Roman" w:hAnsi="Times New Roman"/>
          <w:sz w:val="16"/>
          <w:szCs w:val="16"/>
          <w:color w:val="0C0C0C"/>
        </w:rPr>
      </w:pPr>
      <w:r>
        <w:rPr>
          <w:rFonts w:ascii="Times New Roman" w:cs="Times New Roman" w:eastAsia="Times New Roman" w:hAnsi="Times New Roman"/>
          <w:sz w:val="16"/>
          <w:szCs w:val="16"/>
          <w:b w:val="1"/>
          <w:bCs w:val="1"/>
          <w:i w:val="1"/>
          <w:iCs w:val="1"/>
          <w:color w:val="0C0C0C"/>
        </w:rPr>
        <w:t xml:space="preserve">Crypto-enabled accounts. </w:t>
      </w:r>
      <w:r>
        <w:rPr>
          <w:rFonts w:ascii="Times New Roman" w:cs="Times New Roman" w:eastAsia="Times New Roman" w:hAnsi="Times New Roman"/>
          <w:sz w:val="16"/>
          <w:szCs w:val="16"/>
          <w:color w:val="0C0C0C"/>
        </w:rPr>
        <w:t xml:space="preserve">We define crypto-enabled accounts as the total crypto accounts open on our platform. There were 6.7 million and 6.2 million crypto-enabled accounts </w:t>
      </w:r>
      <w:r>
        <w:rPr>
          <w:rFonts w:ascii="Times New Roman" w:cs="Times New Roman" w:eastAsia="Times New Roman" w:hAnsi="Times New Roman"/>
          <w:sz w:val="16"/>
          <w:szCs w:val="16"/>
          <w:color w:val="000000"/>
        </w:rPr>
        <w:t>as of December 31, 2024 and December 31, 2023, respectively</w:t>
      </w:r>
      <w:r>
        <w:rPr>
          <w:rFonts w:ascii="Times New Roman" w:cs="Times New Roman" w:eastAsia="Times New Roman" w:hAnsi="Times New Roman"/>
          <w:sz w:val="16"/>
          <w:szCs w:val="16"/>
          <w:color w:val="0C0C0C"/>
        </w:rPr>
        <w:t>.</w:t>
      </w:r>
    </w:p>
    <w:p>
      <w:pPr>
        <w:spacing w:after="0" w:line="159" w:lineRule="exact"/>
        <w:rPr>
          <w:rFonts w:ascii="Times New Roman" w:cs="Times New Roman" w:eastAsia="Times New Roman" w:hAnsi="Times New Roman"/>
          <w:sz w:val="16"/>
          <w:szCs w:val="16"/>
          <w:color w:val="0C0C0C"/>
        </w:rPr>
      </w:pPr>
    </w:p>
    <w:p>
      <w:pPr>
        <w:jc w:val="both"/>
        <w:ind w:left="580" w:hanging="286"/>
        <w:spacing w:after="0" w:line="287"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0C0C0C"/>
        </w:rPr>
        <w:t xml:space="preserve">Transacting accounts. </w:t>
      </w:r>
      <w:r>
        <w:rPr>
          <w:rFonts w:ascii="Times New Roman" w:cs="Times New Roman" w:eastAsia="Times New Roman" w:hAnsi="Times New Roman"/>
          <w:sz w:val="16"/>
          <w:szCs w:val="16"/>
          <w:color w:val="0C0C0C"/>
        </w:rPr>
        <w:t>We define transacting accounts as unique accounts that perform transactions on our platform each month. We use transacting accounts</w:t>
      </w:r>
      <w:r>
        <w:rPr>
          <w:rFonts w:ascii="Times New Roman" w:cs="Times New Roman" w:eastAsia="Times New Roman" w:hAnsi="Times New Roman"/>
          <w:sz w:val="16"/>
          <w:szCs w:val="16"/>
          <w:b w:val="1"/>
          <w:bCs w:val="1"/>
          <w:i w:val="1"/>
          <w:iCs w:val="1"/>
          <w:color w:val="0C0C0C"/>
        </w:rPr>
        <w:t xml:space="preserve"> </w:t>
      </w:r>
      <w:r>
        <w:rPr>
          <w:rFonts w:ascii="Times New Roman" w:cs="Times New Roman" w:eastAsia="Times New Roman" w:hAnsi="Times New Roman"/>
          <w:sz w:val="16"/>
          <w:szCs w:val="16"/>
          <w:color w:val="0C0C0C"/>
        </w:rPr>
        <w:t xml:space="preserve">to reflect how users across our platform use the variety of services we offer, such as buying and selling crypto to facilitate everyday purchases, redeeming loyalty points for travel or merchandise, or converting loyalty points to cash or gift cards. There were </w:t>
      </w:r>
      <w:r>
        <w:rPr>
          <w:rFonts w:ascii="Times New Roman" w:cs="Times New Roman" w:eastAsia="Times New Roman" w:hAnsi="Times New Roman"/>
          <w:sz w:val="16"/>
          <w:szCs w:val="16"/>
          <w:color w:val="000000"/>
        </w:rPr>
        <w:t>1.2 million</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1.1 million</w:t>
      </w:r>
      <w:r>
        <w:rPr>
          <w:rFonts w:ascii="Times New Roman" w:cs="Times New Roman" w:eastAsia="Times New Roman" w:hAnsi="Times New Roman"/>
          <w:sz w:val="16"/>
          <w:szCs w:val="16"/>
          <w:color w:val="0C0C0C"/>
        </w:rPr>
        <w:t xml:space="preserve">, and </w:t>
      </w:r>
      <w:r>
        <w:rPr>
          <w:rFonts w:ascii="Times New Roman" w:cs="Times New Roman" w:eastAsia="Times New Roman" w:hAnsi="Times New Roman"/>
          <w:sz w:val="16"/>
          <w:szCs w:val="16"/>
          <w:color w:val="000000"/>
        </w:rPr>
        <w:t>0.05 million</w:t>
      </w:r>
      <w:r>
        <w:rPr>
          <w:rFonts w:ascii="Times New Roman" w:cs="Times New Roman" w:eastAsia="Times New Roman" w:hAnsi="Times New Roman"/>
          <w:sz w:val="16"/>
          <w:szCs w:val="16"/>
          <w:color w:val="0C0C0C"/>
        </w:rPr>
        <w:t xml:space="preserve"> unique monthly transacting accounts from crypto during the years ended December 31, 2024, December 31, 2023, and December 21, 2022, respectively. There were </w:t>
      </w:r>
      <w:r>
        <w:rPr>
          <w:rFonts w:ascii="Times New Roman" w:cs="Times New Roman" w:eastAsia="Times New Roman" w:hAnsi="Times New Roman"/>
          <w:sz w:val="16"/>
          <w:szCs w:val="16"/>
          <w:color w:val="000000"/>
        </w:rPr>
        <w:t>1.9</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million</w:t>
      </w:r>
      <w:r>
        <w:rPr>
          <w:rFonts w:ascii="Times New Roman" w:cs="Times New Roman" w:eastAsia="Times New Roman" w:hAnsi="Times New Roman"/>
          <w:sz w:val="16"/>
          <w:szCs w:val="16"/>
          <w:color w:val="0C0C0C"/>
        </w:rPr>
        <w:t>,</w:t>
      </w:r>
      <w:r>
        <w:rPr>
          <w:rFonts w:ascii="Times New Roman" w:cs="Times New Roman" w:eastAsia="Times New Roman" w:hAnsi="Times New Roman"/>
          <w:sz w:val="16"/>
          <w:szCs w:val="16"/>
          <w:color w:val="000000"/>
        </w:rPr>
        <w:t xml:space="preserve"> 2.7 million</w:t>
      </w:r>
      <w:r>
        <w:rPr>
          <w:rFonts w:ascii="Times New Roman" w:cs="Times New Roman" w:eastAsia="Times New Roman" w:hAnsi="Times New Roman"/>
          <w:sz w:val="16"/>
          <w:szCs w:val="16"/>
          <w:color w:val="0C0C0C"/>
        </w:rPr>
        <w:t>, and</w:t>
      </w:r>
      <w:r>
        <w:rPr>
          <w:rFonts w:ascii="Times New Roman" w:cs="Times New Roman" w:eastAsia="Times New Roman" w:hAnsi="Times New Roman"/>
          <w:sz w:val="16"/>
          <w:szCs w:val="16"/>
          <w:color w:val="000000"/>
        </w:rPr>
        <w:t xml:space="preserve"> 2.95 million </w:t>
      </w:r>
      <w:r>
        <w:rPr>
          <w:rFonts w:ascii="Times New Roman" w:cs="Times New Roman" w:eastAsia="Times New Roman" w:hAnsi="Times New Roman"/>
          <w:sz w:val="16"/>
          <w:szCs w:val="16"/>
          <w:color w:val="0C0C0C"/>
        </w:rPr>
        <w:t>unique monthly transacting accounts from loyalty during the years ended December 31, 2024, December 31, 2023, and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0C0C0C"/>
        </w:rPr>
        <w:t>December 21, 2022, respectively.</w:t>
      </w:r>
    </w:p>
    <w:p>
      <w:pPr>
        <w:spacing w:after="0" w:line="168" w:lineRule="exact"/>
        <w:rPr>
          <w:rFonts w:ascii="Times New Roman" w:cs="Times New Roman" w:eastAsia="Times New Roman" w:hAnsi="Times New Roman"/>
          <w:sz w:val="16"/>
          <w:szCs w:val="16"/>
          <w:color w:val="auto"/>
        </w:rPr>
      </w:pPr>
    </w:p>
    <w:p>
      <w:pPr>
        <w:jc w:val="both"/>
        <w:ind w:left="580" w:hanging="286"/>
        <w:spacing w:after="0" w:line="291" w:lineRule="auto"/>
        <w:tabs>
          <w:tab w:leader="none" w:pos="580" w:val="left"/>
        </w:tabs>
        <w:numPr>
          <w:ilvl w:val="0"/>
          <w:numId w:val="10"/>
        </w:numPr>
        <w:rPr>
          <w:rFonts w:ascii="Times New Roman" w:cs="Times New Roman" w:eastAsia="Times New Roman" w:hAnsi="Times New Roman"/>
          <w:sz w:val="16"/>
          <w:szCs w:val="16"/>
          <w:color w:val="0C0C0C"/>
        </w:rPr>
      </w:pPr>
      <w:r>
        <w:rPr>
          <w:rFonts w:ascii="Times New Roman" w:cs="Times New Roman" w:eastAsia="Times New Roman" w:hAnsi="Times New Roman"/>
          <w:sz w:val="16"/>
          <w:szCs w:val="16"/>
          <w:b w:val="1"/>
          <w:bCs w:val="1"/>
          <w:i w:val="1"/>
          <w:iCs w:val="1"/>
          <w:color w:val="auto"/>
        </w:rPr>
        <w:t xml:space="preserve">Notional traded volume. </w:t>
      </w:r>
      <w:r>
        <w:rPr>
          <w:rFonts w:ascii="Times New Roman" w:cs="Times New Roman" w:eastAsia="Times New Roman" w:hAnsi="Times New Roman"/>
          <w:sz w:val="16"/>
          <w:szCs w:val="16"/>
          <w:color w:val="0C0C0C"/>
        </w:rPr>
        <w:t>We define notional traded volume as the total notional volume of transactions across crypto and loyalty platforms. The figures we use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0C0C0C"/>
        </w:rPr>
        <w:t xml:space="preserve">represent gross values recorded as of the order date. Notional traded volumes from crypto were </w:t>
      </w:r>
      <w:r>
        <w:rPr>
          <w:rFonts w:ascii="Times New Roman" w:cs="Times New Roman" w:eastAsia="Times New Roman" w:hAnsi="Times New Roman"/>
          <w:sz w:val="16"/>
          <w:szCs w:val="16"/>
          <w:color w:val="000000"/>
        </w:rPr>
        <w:t>$3,446.6 million</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$727.1 million</w:t>
      </w:r>
      <w:r>
        <w:rPr>
          <w:rFonts w:ascii="Times New Roman" w:cs="Times New Roman" w:eastAsia="Times New Roman" w:hAnsi="Times New Roman"/>
          <w:sz w:val="16"/>
          <w:szCs w:val="16"/>
          <w:color w:val="0C0C0C"/>
        </w:rPr>
        <w:t xml:space="preserve">, and </w:t>
      </w:r>
      <w:r>
        <w:rPr>
          <w:rFonts w:ascii="Times New Roman" w:cs="Times New Roman" w:eastAsia="Times New Roman" w:hAnsi="Times New Roman"/>
          <w:sz w:val="16"/>
          <w:szCs w:val="16"/>
          <w:color w:val="000000"/>
        </w:rPr>
        <w:t>$1.4 million</w:t>
      </w:r>
      <w:r>
        <w:rPr>
          <w:rFonts w:ascii="Times New Roman" w:cs="Times New Roman" w:eastAsia="Times New Roman" w:hAnsi="Times New Roman"/>
          <w:sz w:val="16"/>
          <w:szCs w:val="16"/>
          <w:color w:val="0C0C0C"/>
        </w:rPr>
        <w:t xml:space="preserve"> during the years ended December 31, 2024, December 31, 2023, and December 31, 2022, respectively. Notional traded volumes from loyalty were </w:t>
      </w:r>
      <w:r>
        <w:rPr>
          <w:rFonts w:ascii="Times New Roman" w:cs="Times New Roman" w:eastAsia="Times New Roman" w:hAnsi="Times New Roman"/>
          <w:sz w:val="16"/>
          <w:szCs w:val="16"/>
          <w:color w:val="000000"/>
        </w:rPr>
        <w:t>$736.7 million</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$804.6</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million</w:t>
      </w:r>
      <w:r>
        <w:rPr>
          <w:rFonts w:ascii="Times New Roman" w:cs="Times New Roman" w:eastAsia="Times New Roman" w:hAnsi="Times New Roman"/>
          <w:sz w:val="16"/>
          <w:szCs w:val="16"/>
          <w:color w:val="0C0C0C"/>
        </w:rPr>
        <w:t>, and</w:t>
      </w:r>
      <w:r>
        <w:rPr>
          <w:rFonts w:ascii="Times New Roman" w:cs="Times New Roman" w:eastAsia="Times New Roman" w:hAnsi="Times New Roman"/>
          <w:sz w:val="16"/>
          <w:szCs w:val="16"/>
          <w:color w:val="000000"/>
        </w:rPr>
        <w:t xml:space="preserve"> $830.9 million </w:t>
      </w:r>
      <w:r>
        <w:rPr>
          <w:rFonts w:ascii="Times New Roman" w:cs="Times New Roman" w:eastAsia="Times New Roman" w:hAnsi="Times New Roman"/>
          <w:sz w:val="16"/>
          <w:szCs w:val="16"/>
          <w:color w:val="0C0C0C"/>
        </w:rPr>
        <w:t>during the years ended December 31, 2024, December 31, 2023, and December 31, 2022, respectively.</w:t>
      </w:r>
    </w:p>
    <w:p>
      <w:pPr>
        <w:spacing w:after="0" w:line="163" w:lineRule="exact"/>
        <w:rPr>
          <w:rFonts w:ascii="Times New Roman" w:cs="Times New Roman" w:eastAsia="Times New Roman" w:hAnsi="Times New Roman"/>
          <w:sz w:val="16"/>
          <w:szCs w:val="16"/>
          <w:color w:val="0C0C0C"/>
        </w:rPr>
      </w:pPr>
    </w:p>
    <w:p>
      <w:pPr>
        <w:ind w:left="580" w:right="20" w:hanging="286"/>
        <w:spacing w:after="0" w:line="311" w:lineRule="auto"/>
        <w:tabs>
          <w:tab w:leader="none" w:pos="580" w:val="left"/>
        </w:tabs>
        <w:numPr>
          <w:ilvl w:val="0"/>
          <w:numId w:val="10"/>
        </w:numPr>
        <w:rPr>
          <w:rFonts w:ascii="Times New Roman" w:cs="Times New Roman" w:eastAsia="Times New Roman" w:hAnsi="Times New Roman"/>
          <w:sz w:val="16"/>
          <w:szCs w:val="16"/>
          <w:color w:val="0C0C0C"/>
        </w:rPr>
      </w:pPr>
      <w:r>
        <w:rPr>
          <w:rFonts w:ascii="Times New Roman" w:cs="Times New Roman" w:eastAsia="Times New Roman" w:hAnsi="Times New Roman"/>
          <w:sz w:val="16"/>
          <w:szCs w:val="16"/>
          <w:b w:val="1"/>
          <w:bCs w:val="1"/>
          <w:i w:val="1"/>
          <w:iCs w:val="1"/>
          <w:color w:val="0C0C0C"/>
        </w:rPr>
        <w:t xml:space="preserve">Assets under custody. </w:t>
      </w:r>
      <w:r>
        <w:rPr>
          <w:rFonts w:ascii="Times New Roman" w:cs="Times New Roman" w:eastAsia="Times New Roman" w:hAnsi="Times New Roman"/>
          <w:sz w:val="16"/>
          <w:szCs w:val="16"/>
          <w:color w:val="0C0C0C"/>
        </w:rPr>
        <w:t>We define assets under custody as the sum of coin quantities held by customers multiplied by the final quote for each coin on the last</w:t>
      </w:r>
      <w:r>
        <w:rPr>
          <w:rFonts w:ascii="Times New Roman" w:cs="Times New Roman" w:eastAsia="Times New Roman" w:hAnsi="Times New Roman"/>
          <w:sz w:val="16"/>
          <w:szCs w:val="16"/>
          <w:b w:val="1"/>
          <w:bCs w:val="1"/>
          <w:i w:val="1"/>
          <w:iCs w:val="1"/>
          <w:color w:val="0C0C0C"/>
        </w:rPr>
        <w:t xml:space="preserve"> </w:t>
      </w:r>
      <w:r>
        <w:rPr>
          <w:rFonts w:ascii="Times New Roman" w:cs="Times New Roman" w:eastAsia="Times New Roman" w:hAnsi="Times New Roman"/>
          <w:sz w:val="16"/>
          <w:szCs w:val="16"/>
          <w:color w:val="0C0C0C"/>
        </w:rPr>
        <w:t xml:space="preserve">day of the period. Assets under custody were $2,301.9 million and $701.6 million </w:t>
      </w:r>
      <w:r>
        <w:rPr>
          <w:rFonts w:ascii="Times New Roman" w:cs="Times New Roman" w:eastAsia="Times New Roman" w:hAnsi="Times New Roman"/>
          <w:sz w:val="16"/>
          <w:szCs w:val="16"/>
          <w:color w:val="000000"/>
        </w:rPr>
        <w:t>as of December 31, 2024 and December 31, 2023,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Results of Continuing Operations</w:t>
      </w:r>
    </w:p>
    <w:p>
      <w:pPr>
        <w:spacing w:after="0" w:line="202" w:lineRule="exact"/>
        <w:rPr>
          <w:sz w:val="20"/>
          <w:szCs w:val="20"/>
          <w:color w:val="auto"/>
        </w:rPr>
      </w:pPr>
    </w:p>
    <w:p>
      <w:pPr>
        <w:ind w:right="20" w:firstLine="576"/>
        <w:spacing w:after="0" w:line="306" w:lineRule="auto"/>
        <w:rPr>
          <w:sz w:val="20"/>
          <w:szCs w:val="20"/>
          <w:color w:val="auto"/>
        </w:rPr>
      </w:pPr>
      <w:r>
        <w:rPr>
          <w:rFonts w:ascii="Times New Roman" w:cs="Times New Roman" w:eastAsia="Times New Roman" w:hAnsi="Times New Roman"/>
          <w:sz w:val="16"/>
          <w:szCs w:val="16"/>
          <w:color w:val="231F20"/>
        </w:rPr>
        <w:t xml:space="preserve">The following table is our consolidated statements of operations for the years ended </w:t>
      </w:r>
      <w:r>
        <w:rPr>
          <w:rFonts w:ascii="Times New Roman" w:cs="Times New Roman" w:eastAsia="Times New Roman" w:hAnsi="Times New Roman"/>
          <w:sz w:val="16"/>
          <w:szCs w:val="16"/>
          <w:color w:val="0C0C0C"/>
        </w:rPr>
        <w:t>December 31, 2024, December 31, 2023, and December 31, 2022,</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C0C0C"/>
        </w:rPr>
        <w:t xml:space="preserve">respectively </w:t>
      </w:r>
      <w:r>
        <w:rPr>
          <w:rFonts w:ascii="Times New Roman" w:cs="Times New Roman" w:eastAsia="Times New Roman" w:hAnsi="Times New Roman"/>
          <w:sz w:val="16"/>
          <w:szCs w:val="16"/>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1"/>
        </w:trPr>
        <w:tc>
          <w:tcPr>
            <w:tcW w:w="6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Crypto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726,988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Loyalty services, net</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726,988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19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Crypto costs (See Note 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3,403,207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718,511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Execution, clearing and brokerage fees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45,494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72,878</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services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Technology and communication</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11,465</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34,050</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party expenses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1,822,089</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24,103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11,494</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Restructuring expenses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r>
      <w:tr>
        <w:trPr>
          <w:trHeight w:val="190"/>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186"/>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3,523,642</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883,232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1,991,198</w:t>
            </w:r>
          </w:p>
        </w:tc>
      </w:tr>
      <w:tr>
        <w:trPr>
          <w:trHeight w:val="18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loss from continuing operations</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(82,586)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(156,244)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(1,989,453)</w:t>
            </w:r>
          </w:p>
        </w:tc>
      </w:tr>
      <w:tr>
        <w:trPr>
          <w:trHeight w:val="18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liability</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16,638</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r>
      <w:tr>
        <w:trPr>
          <w:trHeight w:val="18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(1,971,839)</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11,390</w:t>
            </w:r>
          </w:p>
        </w:tc>
      </w:tr>
      <w:tr>
        <w:trPr>
          <w:trHeight w:val="18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(1,960,449)</w:t>
            </w:r>
          </w:p>
        </w:tc>
      </w:tr>
      <w:tr>
        <w:trPr>
          <w:trHeight w:val="19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discontinued operations, net of tax</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(72,159)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(29,485)</w:t>
            </w:r>
          </w:p>
        </w:tc>
      </w:tr>
      <w:tr>
        <w:trPr>
          <w:trHeight w:val="18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(1,989,934)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(56,788)</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(1,411,829)</w:t>
            </w:r>
          </w:p>
        </w:tc>
      </w:tr>
      <w:tr>
        <w:trPr>
          <w:trHeight w:val="18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Bakkt Holdings, Inc.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(46,659)</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(74,854)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(578,105)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4"/>
        </w:trPr>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loss per share attributable to Class A common stockholders: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(200.07)</w:t>
            </w: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11"/>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basic net loss per share attributable to Class A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net loss per share attributable to Class A common stockholders: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0"/>
        </w:trPr>
        <w:tc>
          <w:tcPr>
            <w:tcW w:w="6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(200.07)</w:t>
            </w:r>
          </w:p>
        </w:tc>
      </w:tr>
      <w:tr>
        <w:trPr>
          <w:trHeight w:val="19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8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diluted net loss per share attributable to Class A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(203.08)</w:t>
            </w: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Year Ended December 31, 2024 Compared to Year Ended December 31, 2023</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Financial Summary</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231F20"/>
        </w:rPr>
        <w:t xml:space="preserve">The year ended </w:t>
      </w:r>
      <w:r>
        <w:rPr>
          <w:rFonts w:ascii="Times New Roman" w:cs="Times New Roman" w:eastAsia="Times New Roman" w:hAnsi="Times New Roman"/>
          <w:sz w:val="16"/>
          <w:szCs w:val="16"/>
          <w:b w:val="1"/>
          <w:bCs w:val="1"/>
          <w:i w:val="1"/>
          <w:iCs w:val="1"/>
          <w:color w:val="231F20"/>
        </w:rPr>
        <w:t>December 31, 2024</w:t>
      </w:r>
      <w:r>
        <w:rPr>
          <w:rFonts w:ascii="Times New Roman" w:cs="Times New Roman" w:eastAsia="Times New Roman" w:hAnsi="Times New Roman"/>
          <w:sz w:val="16"/>
          <w:szCs w:val="16"/>
          <w:color w:val="231F20"/>
        </w:rPr>
        <w:t xml:space="preserve"> included the following notable items relative to the year ended </w:t>
      </w:r>
      <w:r>
        <w:rPr>
          <w:rFonts w:ascii="Times New Roman" w:cs="Times New Roman" w:eastAsia="Times New Roman" w:hAnsi="Times New Roman"/>
          <w:sz w:val="16"/>
          <w:szCs w:val="16"/>
          <w:b w:val="1"/>
          <w:bCs w:val="1"/>
          <w:i w:val="1"/>
          <w:iCs w:val="1"/>
          <w:color w:val="231F20"/>
        </w:rPr>
        <w:t>December 31, 2023</w:t>
      </w:r>
      <w:r>
        <w:rPr>
          <w:rFonts w:ascii="Times New Roman" w:cs="Times New Roman" w:eastAsia="Times New Roman" w:hAnsi="Times New Roman"/>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528955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Revenue increased </w:t>
      </w:r>
      <w:r>
        <w:rPr>
          <w:rFonts w:ascii="Times New Roman" w:cs="Times New Roman" w:eastAsia="Times New Roman" w:hAnsi="Times New Roman"/>
          <w:sz w:val="16"/>
          <w:szCs w:val="16"/>
          <w:color w:val="000000"/>
        </w:rPr>
        <w:t>$2,714.1 million</w:t>
      </w:r>
      <w:r>
        <w:rPr>
          <w:rFonts w:ascii="Times New Roman" w:cs="Times New Roman" w:eastAsia="Times New Roman" w:hAnsi="Times New Roman"/>
          <w:sz w:val="16"/>
          <w:szCs w:val="16"/>
          <w:color w:val="231F20"/>
        </w:rPr>
        <w:t xml:space="preserve"> primarily driven by a significant increase in Crypto services revenue resulting from an increase in trading volume; and</w:t>
      </w:r>
    </w:p>
    <w:p>
      <w:pPr>
        <w:spacing w:after="0" w:line="128" w:lineRule="exact"/>
        <w:rPr>
          <w:rFonts w:ascii="Times New Roman" w:cs="Times New Roman" w:eastAsia="Times New Roman" w:hAnsi="Times New Roman"/>
          <w:sz w:val="16"/>
          <w:szCs w:val="16"/>
          <w:color w:val="231F20"/>
        </w:rPr>
      </w:pPr>
    </w:p>
    <w:p>
      <w:pPr>
        <w:ind w:left="580" w:hanging="286"/>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31F20"/>
        </w:rPr>
        <w:t>Operating expenses increased $2,640.4 million primarily driven by increased crypto trading costs as a result in increased crypto service revenue.</w:t>
      </w:r>
    </w:p>
    <w:p>
      <w:pPr>
        <w:spacing w:after="0" w:line="208"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231F20"/>
        </w:rPr>
        <w:t>Revenue</w:t>
      </w:r>
    </w:p>
    <w:p>
      <w:pPr>
        <w:spacing w:after="0" w:line="204" w:lineRule="exact"/>
        <w:rPr>
          <w:sz w:val="20"/>
          <w:szCs w:val="20"/>
          <w:color w:val="auto"/>
        </w:rPr>
      </w:pPr>
    </w:p>
    <w:p>
      <w:pPr>
        <w:ind w:right="80" w:firstLine="576"/>
        <w:spacing w:after="0" w:line="306" w:lineRule="auto"/>
        <w:rPr>
          <w:sz w:val="20"/>
          <w:szCs w:val="20"/>
          <w:color w:val="auto"/>
        </w:rPr>
      </w:pPr>
      <w:r>
        <w:rPr>
          <w:rFonts w:ascii="Times New Roman" w:cs="Times New Roman" w:eastAsia="Times New Roman" w:hAnsi="Times New Roman"/>
          <w:sz w:val="16"/>
          <w:szCs w:val="16"/>
          <w:color w:val="auto"/>
        </w:rPr>
        <w:t>Revenues consist of crypto services. We earn revenue when consumers use our services to buy, sell, and store crypto. We generate revenue across our platform in the following key areas:</w:t>
      </w:r>
    </w:p>
    <w:p>
      <w:pPr>
        <w:spacing w:after="0" w:line="59" w:lineRule="exact"/>
        <w:rPr>
          <w:sz w:val="20"/>
          <w:szCs w:val="20"/>
          <w:color w:val="auto"/>
        </w:rPr>
      </w:pPr>
    </w:p>
    <w:p>
      <w:pPr>
        <w:ind w:left="580" w:right="40" w:hanging="286"/>
        <w:spacing w:after="0" w:line="306"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and service revenue. We receive a recurring subscription revenue stream from client platform fees as well as service revenue from software development fees and call center support.</w:t>
      </w:r>
    </w:p>
    <w:p>
      <w:pPr>
        <w:spacing w:after="0" w:line="58" w:lineRule="exact"/>
        <w:rPr>
          <w:rFonts w:ascii="Times New Roman" w:cs="Times New Roman" w:eastAsia="Times New Roman" w:hAnsi="Times New Roman"/>
          <w:sz w:val="16"/>
          <w:szCs w:val="16"/>
          <w:color w:val="auto"/>
        </w:rPr>
      </w:pPr>
    </w:p>
    <w:p>
      <w:pPr>
        <w:ind w:left="580" w:hanging="286"/>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revenue. We generate transaction revenue from crypto buy/sell trades where we earn a spread on both legs of the transaction (reported gross).</w:t>
      </w:r>
    </w:p>
    <w:p>
      <w:pPr>
        <w:spacing w:after="0" w:line="224" w:lineRule="exact"/>
        <w:rPr>
          <w:sz w:val="20"/>
          <w:szCs w:val="20"/>
          <w:color w:val="auto"/>
        </w:rPr>
      </w:pPr>
    </w:p>
    <w:p>
      <w:pPr>
        <w:jc w:val="both"/>
        <w:ind w:right="40" w:firstLine="576"/>
        <w:spacing w:after="0" w:line="290" w:lineRule="auto"/>
        <w:rPr>
          <w:sz w:val="20"/>
          <w:szCs w:val="20"/>
          <w:color w:val="auto"/>
        </w:rPr>
      </w:pPr>
      <w:r>
        <w:rPr>
          <w:rFonts w:ascii="Times New Roman" w:cs="Times New Roman" w:eastAsia="Times New Roman" w:hAnsi="Times New Roman"/>
          <w:sz w:val="16"/>
          <w:szCs w:val="16"/>
          <w:color w:val="auto"/>
        </w:rPr>
        <w:t>Revenue generated from our crypto services was immaterial prior to our acquisition of Bakkt Crypto in April 2023; however, revenue from crypto services is now a significant driver of our business, and we expect crypto revenue to continue to increase as we grow our client base and our customers. For the year ended December 31, 2024, approximately 74% of our Crypto services revenue was generated from a single client, Webull. Webull has notified us that it will not be renewing its agreement with us when the current term of the agreement ends on June 14, 2025.</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Crypto Services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8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services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726,988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2,714,068</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231F20"/>
        </w:rPr>
        <w:t xml:space="preserve">Crypto services revenue increased by </w:t>
      </w:r>
      <w:r>
        <w:rPr>
          <w:rFonts w:ascii="Times New Roman" w:cs="Times New Roman" w:eastAsia="Times New Roman" w:hAnsi="Times New Roman"/>
          <w:sz w:val="16"/>
          <w:szCs w:val="16"/>
          <w:color w:val="000000"/>
        </w:rPr>
        <w:t>$2,714.1 million</w:t>
      </w:r>
      <w:r>
        <w:rPr>
          <w:rFonts w:ascii="Times New Roman" w:cs="Times New Roman" w:eastAsia="Times New Roman" w:hAnsi="Times New Roman"/>
          <w:sz w:val="16"/>
          <w:szCs w:val="16"/>
          <w:color w:val="231F20"/>
        </w:rPr>
        <w:t xml:space="preserve"> for the year ended December 31, 2024 compared to the year ended December 31, 2023. The increase was primarily driven by increased crypto trading volume.</w:t>
      </w:r>
    </w:p>
    <w:p>
      <w:pPr>
        <w:spacing w:after="0" w:line="155"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Crypto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8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2,684,696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231F20"/>
        </w:rPr>
        <w:t>Crypto costs represent the gross value of crypto sold by our customers on our platform. These costs are measured at the executed price at the time of the trade. Crypto costs increased by $2,684.7 million for the year ended December 31, 2024 compared to the year ended December 31, 2023, This increase was primarily driven by increased crypto service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Execution, Clearing and Brokerage Fees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8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5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24,024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3,772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w w:val="88"/>
              </w:rPr>
              <w:t>n/m</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231F20"/>
        </w:rPr>
        <w:t>Execution, clearing and brokerage fees primarily represent payments to clients in exchange for driving order flow to our platform. Execution, clearing and brokerage fees were $24.0 million during the year ended December 31, 2024. The increase reflects increased volume in Crypto services revenue.</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Compensation and Benefits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8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36,071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45,494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55"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231F20"/>
        </w:rPr>
        <w:t xml:space="preserve">Our headcount decreased year over year as we undertook restructuring actions and adjusted our expense base to better align with our operational priorities and business strategy. We expect to continue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$9.4 million, or 20.7%, for the year ended December 31, 2024 compared to the year ended December 31, 2023. The decrease was primarily due to decreases of </w:t>
      </w:r>
      <w:r>
        <w:rPr>
          <w:rFonts w:ascii="Times New Roman" w:cs="Times New Roman" w:eastAsia="Times New Roman" w:hAnsi="Times New Roman"/>
          <w:sz w:val="16"/>
          <w:szCs w:val="16"/>
          <w:color w:val="000000"/>
        </w:rPr>
        <w:t>$4.8 million</w:t>
      </w:r>
      <w:r>
        <w:rPr>
          <w:rFonts w:ascii="Times New Roman" w:cs="Times New Roman" w:eastAsia="Times New Roman" w:hAnsi="Times New Roman"/>
          <w:sz w:val="16"/>
          <w:szCs w:val="16"/>
          <w:color w:val="231F20"/>
        </w:rPr>
        <w:t xml:space="preserve"> in salaries, wages and benefits, </w:t>
      </w:r>
      <w:r>
        <w:rPr>
          <w:rFonts w:ascii="Times New Roman" w:cs="Times New Roman" w:eastAsia="Times New Roman" w:hAnsi="Times New Roman"/>
          <w:sz w:val="16"/>
          <w:szCs w:val="16"/>
          <w:color w:val="000000"/>
        </w:rPr>
        <w:t>$1.2</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million </w:t>
      </w:r>
      <w:r>
        <w:rPr>
          <w:rFonts w:ascii="Times New Roman" w:cs="Times New Roman" w:eastAsia="Times New Roman" w:hAnsi="Times New Roman"/>
          <w:sz w:val="16"/>
          <w:szCs w:val="16"/>
          <w:color w:val="231F20"/>
        </w:rPr>
        <w:t>in contract labor,</w:t>
      </w:r>
      <w:r>
        <w:rPr>
          <w:rFonts w:ascii="Times New Roman" w:cs="Times New Roman" w:eastAsia="Times New Roman" w:hAnsi="Times New Roman"/>
          <w:sz w:val="16"/>
          <w:szCs w:val="16"/>
          <w:color w:val="000000"/>
        </w:rPr>
        <w:t xml:space="preserve"> $3.4 million </w:t>
      </w:r>
      <w:r>
        <w:rPr>
          <w:rFonts w:ascii="Times New Roman" w:cs="Times New Roman" w:eastAsia="Times New Roman" w:hAnsi="Times New Roman"/>
          <w:sz w:val="16"/>
          <w:szCs w:val="16"/>
          <w:color w:val="231F20"/>
        </w:rPr>
        <w:t>in severance charges and</w:t>
      </w:r>
      <w:r>
        <w:rPr>
          <w:rFonts w:ascii="Times New Roman" w:cs="Times New Roman" w:eastAsia="Times New Roman" w:hAnsi="Times New Roman"/>
          <w:sz w:val="16"/>
          <w:szCs w:val="16"/>
          <w:color w:val="000000"/>
        </w:rPr>
        <w:t xml:space="preserve"> $1.3 million </w:t>
      </w:r>
      <w:r>
        <w:rPr>
          <w:rFonts w:ascii="Times New Roman" w:cs="Times New Roman" w:eastAsia="Times New Roman" w:hAnsi="Times New Roman"/>
          <w:sz w:val="16"/>
          <w:szCs w:val="16"/>
          <w:color w:val="231F20"/>
        </w:rPr>
        <w:t>in non cash compensation, partially offset by a</w:t>
      </w:r>
      <w:r>
        <w:rPr>
          <w:rFonts w:ascii="Times New Roman" w:cs="Times New Roman" w:eastAsia="Times New Roman" w:hAnsi="Times New Roman"/>
          <w:sz w:val="16"/>
          <w:szCs w:val="16"/>
          <w:color w:val="000000"/>
        </w:rPr>
        <w:t xml:space="preserve"> $0.9 million </w:t>
      </w:r>
      <w:r>
        <w:rPr>
          <w:rFonts w:ascii="Times New Roman" w:cs="Times New Roman" w:eastAsia="Times New Roman" w:hAnsi="Times New Roman"/>
          <w:sz w:val="16"/>
          <w:szCs w:val="16"/>
          <w:color w:val="231F20"/>
        </w:rPr>
        <w:t>reduction in capitalized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software development costs.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Professional Services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8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16,445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10,164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6,281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231F20"/>
        </w:rPr>
        <w:t xml:space="preserve">Professional services expense includes fees for accounting, legal and regulatory fees. Professional services increased by $6.3 million, or 61.8%, for the year ended December 31, 2024 compared to the year ended December 31, 2023. The increase was primarily due to increases of </w:t>
      </w:r>
      <w:r>
        <w:rPr>
          <w:rFonts w:ascii="Times New Roman" w:cs="Times New Roman" w:eastAsia="Times New Roman" w:hAnsi="Times New Roman"/>
          <w:sz w:val="16"/>
          <w:szCs w:val="16"/>
          <w:color w:val="000000"/>
        </w:rPr>
        <w:t>$3.0 millon</w:t>
      </w:r>
      <w:r>
        <w:rPr>
          <w:rFonts w:ascii="Times New Roman" w:cs="Times New Roman" w:eastAsia="Times New Roman" w:hAnsi="Times New Roman"/>
          <w:sz w:val="16"/>
          <w:szCs w:val="16"/>
          <w:color w:val="231F20"/>
        </w:rPr>
        <w:t xml:space="preserve"> in legal fees, </w:t>
      </w:r>
      <w:r>
        <w:rPr>
          <w:rFonts w:ascii="Times New Roman" w:cs="Times New Roman" w:eastAsia="Times New Roman" w:hAnsi="Times New Roman"/>
          <w:sz w:val="16"/>
          <w:szCs w:val="16"/>
          <w:color w:val="000000"/>
        </w:rPr>
        <w:t>$2.5 million</w:t>
      </w:r>
      <w:r>
        <w:rPr>
          <w:rFonts w:ascii="Times New Roman" w:cs="Times New Roman" w:eastAsia="Times New Roman" w:hAnsi="Times New Roman"/>
          <w:sz w:val="16"/>
          <w:szCs w:val="16"/>
          <w:color w:val="231F20"/>
        </w:rPr>
        <w:t xml:space="preserve"> in audit and tax fees, and </w:t>
      </w:r>
      <w:r>
        <w:rPr>
          <w:rFonts w:ascii="Times New Roman" w:cs="Times New Roman" w:eastAsia="Times New Roman" w:hAnsi="Times New Roman"/>
          <w:sz w:val="16"/>
          <w:szCs w:val="16"/>
          <w:color w:val="000000"/>
        </w:rPr>
        <w:t>$0.7 million</w:t>
      </w:r>
      <w:r>
        <w:rPr>
          <w:rFonts w:ascii="Times New Roman" w:cs="Times New Roman" w:eastAsia="Times New Roman" w:hAnsi="Times New Roman"/>
          <w:sz w:val="16"/>
          <w:szCs w:val="16"/>
          <w:color w:val="231F20"/>
        </w:rPr>
        <w:t xml:space="preserve"> in other professional fees.</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Technology and Communication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8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9,476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our customer support operations. These costs are driven by client requirements, system capacity, functionality and redundancy requirements.</w:t>
      </w:r>
    </w:p>
    <w:p>
      <w:pPr>
        <w:spacing w:after="0" w:line="224"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$3.0 million, or 24.1%, for the year ended December 31, 2024 compared to the year ended December 31, 2023. The decrease was primarily due to lower software license fees.</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Selling, General and Administrative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8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24,380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30,887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40" w:firstLine="576"/>
        <w:spacing w:after="0" w:line="288" w:lineRule="auto"/>
        <w:rPr>
          <w:sz w:val="20"/>
          <w:szCs w:val="20"/>
          <w:color w:val="auto"/>
        </w:rPr>
      </w:pPr>
      <w:r>
        <w:rPr>
          <w:rFonts w:ascii="Times New Roman" w:cs="Times New Roman" w:eastAsia="Times New Roman" w:hAnsi="Times New Roman"/>
          <w:sz w:val="16"/>
          <w:szCs w:val="16"/>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in the Consolidated Statements of Operations. We expect these costs will decrease as a percentage of our revenue in future years as we gain improved operating leverage from our projected revenue growth.</w:t>
      </w:r>
    </w:p>
    <w:p>
      <w:pPr>
        <w:spacing w:after="0" w:line="168"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231F20"/>
        </w:rPr>
        <w:t xml:space="preserve">Selling, general and administrative costs decreased by $6.5 million, or 21.1%, for the year ended December 31, 2024 compared to the year ended December 31, 2023. The decrease was primarily due to a </w:t>
      </w:r>
      <w:r>
        <w:rPr>
          <w:rFonts w:ascii="Times New Roman" w:cs="Times New Roman" w:eastAsia="Times New Roman" w:hAnsi="Times New Roman"/>
          <w:sz w:val="16"/>
          <w:szCs w:val="16"/>
          <w:color w:val="000000"/>
        </w:rPr>
        <w:t>$4.0 million</w:t>
      </w:r>
      <w:r>
        <w:rPr>
          <w:rFonts w:ascii="Times New Roman" w:cs="Times New Roman" w:eastAsia="Times New Roman" w:hAnsi="Times New Roman"/>
          <w:sz w:val="16"/>
          <w:szCs w:val="16"/>
          <w:color w:val="231F20"/>
        </w:rPr>
        <w:t xml:space="preserve"> reduction in insurance cost and a </w:t>
      </w:r>
      <w:r>
        <w:rPr>
          <w:rFonts w:ascii="Times New Roman" w:cs="Times New Roman" w:eastAsia="Times New Roman" w:hAnsi="Times New Roman"/>
          <w:sz w:val="16"/>
          <w:szCs w:val="16"/>
          <w:color w:val="000000"/>
        </w:rPr>
        <w:t>$2.0 million</w:t>
      </w:r>
      <w:r>
        <w:rPr>
          <w:rFonts w:ascii="Times New Roman" w:cs="Times New Roman" w:eastAsia="Times New Roman" w:hAnsi="Times New Roman"/>
          <w:sz w:val="16"/>
          <w:szCs w:val="16"/>
          <w:color w:val="231F20"/>
        </w:rPr>
        <w:t xml:space="preserve"> reduction in marketing and promotions.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Acquisition-related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4,299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231F20"/>
        </w:rPr>
        <w:t xml:space="preserve">Acquisition-related expenses decreased by $4.2 million, or 97.0%, for the year ended December 31, 2024 compared to the year ended December 31, 2023. Acquisition-related expenses for the year ended December 31, 2023 primarily consisted of </w:t>
      </w:r>
      <w:r>
        <w:rPr>
          <w:rFonts w:ascii="Times New Roman" w:cs="Times New Roman" w:eastAsia="Times New Roman" w:hAnsi="Times New Roman"/>
          <w:sz w:val="16"/>
          <w:szCs w:val="16"/>
          <w:color w:val="000000"/>
        </w:rPr>
        <w:t>fees for investment banking advisors, lawyers, accountants, tax advisors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public relations firms related to the </w:t>
      </w:r>
      <w:r>
        <w:rPr>
          <w:rFonts w:ascii="Times New Roman" w:cs="Times New Roman" w:eastAsia="Times New Roman" w:hAnsi="Times New Roman"/>
          <w:sz w:val="16"/>
          <w:szCs w:val="16"/>
          <w:color w:val="231F20"/>
        </w:rPr>
        <w:t>acquisitions of Bakkt Crypto and Bakkt Brokerage.</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Depreciation and Amortization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12,334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40" w:firstLine="576"/>
        <w:spacing w:after="0" w:line="290" w:lineRule="auto"/>
        <w:rPr>
          <w:sz w:val="20"/>
          <w:szCs w:val="20"/>
          <w:color w:val="auto"/>
        </w:rPr>
      </w:pPr>
      <w:r>
        <w:rPr>
          <w:rFonts w:ascii="Times New Roman" w:cs="Times New Roman" w:eastAsia="Times New Roman" w:hAnsi="Times New Roman"/>
          <w:sz w:val="16"/>
          <w:szCs w:val="16"/>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including our acquisition of Bakkt Crypto. Depreciation and amortization decreased by $12.0 million, or 97.2%, for the year ended December 31, 2024 compared to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490220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2023. The decrease was primarily due to lower net book values of long-lived and intangible assets after impairments were recognized in 2023.</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Related Party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3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54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3,902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231F20"/>
        </w:rPr>
        <w:t>Related party expenses consist of fees for transition services agreements. Related party expenses decreased by $3.3 million, or 84.6%, for the year ended December 31, 2024 compared to the year ended December 31, 2023. The decrease was primarily due to the expiration of the ICE transition services agreement in December 2023.</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Goodwill and Intangible Assets Impairments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5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12,660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w w:val="88"/>
              </w:rPr>
              <w:t>n/m</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 xml:space="preserve">We recorded impairments of goodwill and other intangible assets of $12.7 million during the year ended </w:t>
      </w:r>
      <w:r>
        <w:rPr>
          <w:rFonts w:ascii="Times New Roman" w:cs="Times New Roman" w:eastAsia="Times New Roman" w:hAnsi="Times New Roman"/>
          <w:sz w:val="16"/>
          <w:szCs w:val="16"/>
          <w:color w:val="231F20"/>
        </w:rPr>
        <w:t>December 31, 2023</w:t>
      </w:r>
      <w:r>
        <w:rPr>
          <w:rFonts w:ascii="Times New Roman" w:cs="Times New Roman" w:eastAsia="Times New Roman" w:hAnsi="Times New Roman"/>
          <w:sz w:val="16"/>
          <w:szCs w:val="16"/>
          <w:color w:val="auto"/>
        </w:rPr>
        <w:t>. There was no impairment of goodwill and other intangible assets recognized during the year ended December 31, 2024. Refer to Note 6 in our consolidated financial statements included in this Form 10-K for further information. Impairment of our remaining goodwill or intangible assets may occur in the future, particularly as it relates to the impact of Webull not renewing its agreement with us when that agreement ends on June 14, 2025.</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Impairment of long-lived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24,103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231F20"/>
        </w:rPr>
        <w:t>Impairment of long-lived assets expense decreased by $23.4 million, or 96.9%, for the year ended December 31, 2024 compared to the</w:t>
      </w:r>
      <w:r>
        <w:rPr>
          <w:rFonts w:ascii="Times New Roman" w:cs="Times New Roman" w:eastAsia="Times New Roman" w:hAnsi="Times New Roman"/>
          <w:sz w:val="16"/>
          <w:szCs w:val="16"/>
          <w:color w:val="000000"/>
        </w:rPr>
        <w:t>year ended</w:t>
      </w:r>
      <w:r>
        <w:rPr>
          <w:rFonts w:ascii="Times New Roman" w:cs="Times New Roman" w:eastAsia="Times New Roman" w:hAnsi="Times New Roman"/>
          <w:sz w:val="16"/>
          <w:szCs w:val="16"/>
          <w:color w:val="231F20"/>
        </w:rPr>
        <w:t xml:space="preserve"> December 31, 2023. During the year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we recorded impairment charges of </w:t>
      </w:r>
      <w:r>
        <w:rPr>
          <w:rFonts w:ascii="Times New Roman" w:cs="Times New Roman" w:eastAsia="Times New Roman" w:hAnsi="Times New Roman"/>
          <w:sz w:val="16"/>
          <w:szCs w:val="16"/>
          <w:color w:val="000000"/>
        </w:rPr>
        <w:t>$7.5 million</w:t>
      </w:r>
      <w:r>
        <w:rPr>
          <w:rFonts w:ascii="Times New Roman" w:cs="Times New Roman" w:eastAsia="Times New Roman" w:hAnsi="Times New Roman"/>
          <w:sz w:val="16"/>
          <w:szCs w:val="16"/>
          <w:color w:val="231F20"/>
        </w:rPr>
        <w:t xml:space="preserve"> related to certain fixed assets, </w:t>
      </w:r>
      <w:r>
        <w:rPr>
          <w:rFonts w:ascii="Times New Roman" w:cs="Times New Roman" w:eastAsia="Times New Roman" w:hAnsi="Times New Roman"/>
          <w:sz w:val="16"/>
          <w:szCs w:val="16"/>
          <w:color w:val="000000"/>
        </w:rPr>
        <w:t>$12.5 million</w:t>
      </w:r>
      <w:r>
        <w:rPr>
          <w:rFonts w:ascii="Times New Roman" w:cs="Times New Roman" w:eastAsia="Times New Roman" w:hAnsi="Times New Roman"/>
          <w:sz w:val="16"/>
          <w:szCs w:val="16"/>
          <w:color w:val="231F20"/>
        </w:rPr>
        <w:t xml:space="preserve"> related to our right of use assets, </w:t>
      </w:r>
      <w:r>
        <w:rPr>
          <w:rFonts w:ascii="Times New Roman" w:cs="Times New Roman" w:eastAsia="Times New Roman" w:hAnsi="Times New Roman"/>
          <w:sz w:val="16"/>
          <w:szCs w:val="16"/>
          <w:color w:val="000000"/>
        </w:rPr>
        <w:t>$3.3 million</w:t>
      </w:r>
      <w:r>
        <w:rPr>
          <w:rFonts w:ascii="Times New Roman" w:cs="Times New Roman" w:eastAsia="Times New Roman" w:hAnsi="Times New Roman"/>
          <w:sz w:val="16"/>
          <w:szCs w:val="16"/>
          <w:color w:val="231F20"/>
        </w:rPr>
        <w:t xml:space="preserve"> related to certain internally developed software assets and </w:t>
      </w:r>
      <w:r>
        <w:rPr>
          <w:rFonts w:ascii="Times New Roman" w:cs="Times New Roman" w:eastAsia="Times New Roman" w:hAnsi="Times New Roman"/>
          <w:sz w:val="16"/>
          <w:szCs w:val="16"/>
          <w:color w:val="000000"/>
        </w:rPr>
        <w:t>none</w:t>
      </w:r>
      <w:r>
        <w:rPr>
          <w:rFonts w:ascii="Times New Roman" w:cs="Times New Roman" w:eastAsia="Times New Roman" w:hAnsi="Times New Roman"/>
          <w:sz w:val="16"/>
          <w:szCs w:val="16"/>
          <w:color w:val="231F20"/>
        </w:rPr>
        <w:t xml:space="preserve"> related to other assets. Refer to Note 6 in our audited consolidated financial statements included in this Form 10-K for further information.</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Restructuring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24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4,249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3,945</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231F20"/>
        </w:rPr>
        <w:t xml:space="preserve">Restructuring expenses resulting from severance costs as part of our business simplification initiatives to focus on capabilities with strong product market fit and scalability as well as the CEO transition increased by </w:t>
      </w:r>
      <w:r>
        <w:rPr>
          <w:rFonts w:ascii="Times New Roman" w:cs="Times New Roman" w:eastAsia="Times New Roman" w:hAnsi="Times New Roman"/>
          <w:sz w:val="16"/>
          <w:szCs w:val="16"/>
          <w:color w:val="000000"/>
        </w:rPr>
        <w:t>$3.9 million</w:t>
      </w:r>
      <w:r>
        <w:rPr>
          <w:rFonts w:ascii="Times New Roman" w:cs="Times New Roman" w:eastAsia="Times New Roman" w:hAnsi="Times New Roman"/>
          <w:sz w:val="16"/>
          <w:szCs w:val="16"/>
          <w:color w:val="231F20"/>
        </w:rPr>
        <w:t>, or 92.8%, for the year ended December 31, 2024 compared to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(Loss) from Change in Fair Value of Warrant Liability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00" w:type="dxa"/>
            <w:vAlign w:val="bottom"/>
          </w:tcPr>
          <w:p>
            <w:pPr>
              <w:spacing w:after="0"/>
              <w:rPr>
                <w:sz w:val="13"/>
                <w:szCs w:val="13"/>
                <w:color w:val="auto"/>
              </w:rPr>
            </w:pPr>
          </w:p>
        </w:tc>
        <w:tc>
          <w:tcPr>
            <w:tcW w:w="11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firstLine="576"/>
        <w:spacing w:after="0" w:line="286" w:lineRule="auto"/>
        <w:rPr>
          <w:sz w:val="20"/>
          <w:szCs w:val="20"/>
          <w:color w:val="auto"/>
        </w:rPr>
      </w:pPr>
      <w:r>
        <w:rPr>
          <w:rFonts w:ascii="Times New Roman" w:cs="Times New Roman" w:eastAsia="Times New Roman" w:hAnsi="Times New Roman"/>
          <w:sz w:val="16"/>
          <w:szCs w:val="16"/>
          <w:color w:val="231F20"/>
        </w:rPr>
        <w:t xml:space="preserve">We recorded a loss of $17.2 million during the year ended December 31, 2024 for the change in fair value on the revaluation of our warrant liability associated with our public warrants to purchase shares of our Class A Common Stock (“Public Warrants”), Class 1 Warrants to purchase shares of our Class A Common Stock (“Class 1 Warrants”) and Class 2 Warrants to purchase Class A Common Stock (“Class 2 Warrants”). We recorded a loss of $1.6 million during the year ended December 31, 2023 for the change in fair value on the revaluation of our warrant liability associated with our Public Warrants. The loss associated with the change in fair value of the warrant liability increased by </w:t>
      </w:r>
      <w:r>
        <w:rPr>
          <w:rFonts w:ascii="Times New Roman" w:cs="Times New Roman" w:eastAsia="Times New Roman" w:hAnsi="Times New Roman"/>
          <w:sz w:val="16"/>
          <w:szCs w:val="16"/>
          <w:color w:val="000000"/>
        </w:rPr>
        <w:t>$15.6 million</w:t>
      </w:r>
      <w:r>
        <w:rPr>
          <w:rFonts w:ascii="Times New Roman" w:cs="Times New Roman" w:eastAsia="Times New Roman" w:hAnsi="Times New Roman"/>
          <w:sz w:val="16"/>
          <w:szCs w:val="16"/>
          <w:color w:val="231F20"/>
        </w:rPr>
        <w:t xml:space="preserve"> in 2024 due to the issuance of the Class 1 Warrants and Class 2 Warrants associated with the Concurrent Offerings. This is a non-cash charge and is driven by fluctuations in the fair value of our Class 1 Warrants and Class 2 Warrants.</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Other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1,153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974</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231F20"/>
        </w:rPr>
        <w:t xml:space="preserve">Other expense, net primarily consists of non-operating gains and losses. During the year ended December 31, 2024, we recorded $1.3 million related to foreign currency transaction gains, $0.9 million in sub-lease income, and $0.3 million related to general miscellaneous income and expenses. During the year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we recorded expense of $0.4 million related to foreign currency transaction loss.</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Income Tax (Expense) Benefit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0" w:type="dxa"/>
            <w:vAlign w:val="bottom"/>
          </w:tcPr>
          <w:p>
            <w:pPr>
              <w:spacing w:after="0"/>
              <w:rPr>
                <w:sz w:val="13"/>
                <w:szCs w:val="13"/>
                <w:color w:val="auto"/>
              </w:rPr>
            </w:pPr>
          </w:p>
        </w:tc>
        <w:tc>
          <w:tcPr>
            <w:tcW w:w="12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5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1"/>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231F20"/>
        </w:rPr>
        <w:t>Income tax expense in the years ended December 31, 2024 and 2023 primarily consist of current state tax expense related to certain state jurisdictions wherein we are required to file income tax returns.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231F20"/>
        </w:rPr>
        <w:t>Loss from Discontinued Operations, Net of Tax</w:t>
      </w:r>
    </w:p>
    <w:p>
      <w:pPr>
        <w:spacing w:after="0" w:line="204"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231F20"/>
        </w:rPr>
        <w:t>Loss from discontinued operations, net of tax represents the net loss associated with the sale of the Loyalty Business. See Note 3 - Discontinued Operations to the accompanying consolidated financial statements for further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Liquidity and Capital Resources</w:t>
      </w:r>
    </w:p>
    <w:p>
      <w:pPr>
        <w:spacing w:after="0" w:line="202"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231F20"/>
        </w:rPr>
        <w:t>Our consolidated statements of cash flows includes cash flows from discontinued operations for all periods presented, and therefore the following liquidity discussion includes both continuing and discontinued operations.</w:t>
      </w:r>
    </w:p>
    <w:p>
      <w:pPr>
        <w:spacing w:after="0" w:line="179" w:lineRule="exact"/>
        <w:rPr>
          <w:sz w:val="20"/>
          <w:szCs w:val="20"/>
          <w:color w:val="auto"/>
        </w:rPr>
      </w:pPr>
    </w:p>
    <w:p>
      <w:pPr>
        <w:jc w:val="both"/>
        <w:ind w:right="20" w:firstLine="576"/>
        <w:spacing w:after="0" w:line="243" w:lineRule="auto"/>
        <w:rPr>
          <w:sz w:val="20"/>
          <w:szCs w:val="20"/>
          <w:color w:val="auto"/>
        </w:rPr>
      </w:pPr>
      <w:r>
        <w:rPr>
          <w:rFonts w:ascii="Times New Roman" w:cs="Times New Roman" w:eastAsia="Times New Roman" w:hAnsi="Times New Roman"/>
          <w:sz w:val="16"/>
          <w:szCs w:val="16"/>
          <w:color w:val="231F20"/>
        </w:rPr>
        <w:t>As of December 31, 2024, we had $39.0 million and $24.9 million of cash and cash equivalents and restricted cash, respectively. Cash and cash equivalents consist of cash deposits at banks and money market funds. Restricted cash is held to satisfy certain minimum capital requirements pursuant to regulatory requirements, or as collateral for insurance contracts and our purchasing card facility. Restricted cash decreased during 2024 primarily due to a lower regulatory capital requirement for Bakkt Trust, partially offset by the pledging of cash collateral for the purchasing card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497840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auto"/>
        </w:rPr>
        <w:t>As discussed above, we consummated the Concurrent Offerings in March and April 2024. We raised net proceeds from the Concurrent Offerings of approximately $46.5 million, after deducting the placement agent’s fees and offering expenses payable by us.</w:t>
      </w:r>
    </w:p>
    <w:p>
      <w:pPr>
        <w:spacing w:after="0" w:line="155" w:lineRule="exact"/>
        <w:rPr>
          <w:sz w:val="20"/>
          <w:szCs w:val="20"/>
          <w:color w:val="auto"/>
        </w:rPr>
      </w:pPr>
    </w:p>
    <w:p>
      <w:pPr>
        <w:jc w:val="both"/>
        <w:ind w:right="40" w:firstLine="576"/>
        <w:spacing w:after="0" w:line="285" w:lineRule="auto"/>
        <w:rPr>
          <w:sz w:val="20"/>
          <w:szCs w:val="20"/>
          <w:color w:val="auto"/>
        </w:rPr>
      </w:pPr>
      <w:r>
        <w:rPr>
          <w:rFonts w:ascii="Times New Roman" w:cs="Times New Roman" w:eastAsia="Times New Roman" w:hAnsi="Times New Roman"/>
          <w:sz w:val="16"/>
          <w:szCs w:val="16"/>
          <w:color w:val="auto"/>
        </w:rPr>
        <w:t>On August 12, 2024, we entered into the ICE Credit Facility, whereby the Lender agreed to provide for a $40.0 million secured revolving line of credit to us for working capital and general corporate purposes. Any borrowings under the ICE Credit Facility made prior to December 31, 2024 require the consent of the Lender. For the period beginning December 31, 2024 through March 30, 2025, we can borrow up to an aggregate principal amount (excluding any capitalized interest) of $10.0 million. For the period beginning March 31 through June 29, 2025, we can borrow up to an aggregate principal amount (excluding any capitalized interest) of $20.0 million. From the period beginning June 30 through September 29, 2025, we can borrow up to an aggregate principal amount (excluding any capitalized interest) of $30.0 million. On or after September 30, 2025, we can borrow up to an aggregate principal amount (excluding any capitalized interest) of $40.0 million. As of December 31, 2024, no loans were outstanding under the ICE Credit Facility.</w:t>
      </w:r>
    </w:p>
    <w:p>
      <w:pPr>
        <w:spacing w:after="0" w:line="175" w:lineRule="exact"/>
        <w:rPr>
          <w:sz w:val="20"/>
          <w:szCs w:val="20"/>
          <w:color w:val="auto"/>
        </w:rPr>
      </w:pPr>
    </w:p>
    <w:p>
      <w:pPr>
        <w:jc w:val="both"/>
        <w:ind w:right="40" w:firstLine="576"/>
        <w:spacing w:after="0" w:line="278" w:lineRule="auto"/>
        <w:rPr>
          <w:sz w:val="20"/>
          <w:szCs w:val="20"/>
          <w:color w:val="auto"/>
        </w:rPr>
      </w:pPr>
      <w:r>
        <w:rPr>
          <w:rFonts w:ascii="Times New Roman" w:cs="Times New Roman" w:eastAsia="Times New Roman" w:hAnsi="Times New Roman"/>
          <w:sz w:val="15"/>
          <w:szCs w:val="15"/>
          <w:color w:val="auto"/>
        </w:rPr>
        <w:t xml:space="preserve">Loans under the ICE Credit Facility do not amortize and mature on December 31, 2026. Borrowings under the ICE Credit Facility incur an interest rate equal to, </w:t>
      </w:r>
      <w:r>
        <w:rPr>
          <w:rFonts w:ascii="Times New Roman" w:cs="Times New Roman" w:eastAsia="Times New Roman" w:hAnsi="Times New Roman"/>
          <w:sz w:val="18"/>
          <w:szCs w:val="18"/>
          <w:color w:val="auto"/>
        </w:rPr>
        <w:t>at</w:t>
      </w:r>
      <w:r>
        <w:rPr>
          <w:rFonts w:ascii="Times New Roman" w:cs="Times New Roman" w:eastAsia="Times New Roman" w:hAnsi="Times New Roman"/>
          <w:sz w:val="15"/>
          <w:szCs w:val="15"/>
          <w:color w:val="auto"/>
        </w:rPr>
        <w:t xml:space="preserve"> our election, either the secured overnight financing rate (“SOFR”) for a term of one, three or six months plus 12%, or the prime rate plus 11%.</w:t>
      </w:r>
      <w:r>
        <w:rPr>
          <w:rFonts w:ascii="Times New Roman" w:cs="Times New Roman" w:eastAsia="Times New Roman" w:hAnsi="Times New Roman"/>
          <w:sz w:val="18"/>
          <w:szCs w:val="18"/>
          <w:color w:val="auto"/>
        </w:rPr>
        <w:t>Interest</w:t>
      </w:r>
      <w:r>
        <w:rPr>
          <w:rFonts w:ascii="Times New Roman" w:cs="Times New Roman" w:eastAsia="Times New Roman" w:hAnsi="Times New Roman"/>
          <w:sz w:val="15"/>
          <w:szCs w:val="15"/>
          <w:color w:val="auto"/>
        </w:rPr>
        <w:t xml:space="preserve"> is payable</w:t>
      </w:r>
    </w:p>
    <w:p>
      <w:pPr>
        <w:spacing w:after="0" w:line="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 xml:space="preserve">quarterly in arrears with respect to borrowings bearing interest </w:t>
      </w:r>
      <w:r>
        <w:rPr>
          <w:rFonts w:ascii="Times New Roman" w:cs="Times New Roman" w:eastAsia="Times New Roman" w:hAnsi="Times New Roman"/>
          <w:sz w:val="19"/>
          <w:szCs w:val="19"/>
          <w:color w:val="auto"/>
        </w:rPr>
        <w:t>at</w:t>
      </w:r>
      <w:r>
        <w:rPr>
          <w:rFonts w:ascii="Times New Roman" w:cs="Times New Roman" w:eastAsia="Times New Roman" w:hAnsi="Times New Roman"/>
          <w:sz w:val="16"/>
          <w:szCs w:val="16"/>
          <w:color w:val="auto"/>
        </w:rPr>
        <w:t xml:space="preserve"> the prime rate or on the last day of an interest period, but</w:t>
      </w:r>
      <w:r>
        <w:rPr>
          <w:rFonts w:ascii="Times New Roman" w:cs="Times New Roman" w:eastAsia="Times New Roman" w:hAnsi="Times New Roman"/>
          <w:sz w:val="19"/>
          <w:szCs w:val="19"/>
          <w:color w:val="auto"/>
        </w:rPr>
        <w:t>at</w:t>
      </w:r>
      <w:r>
        <w:rPr>
          <w:rFonts w:ascii="Times New Roman" w:cs="Times New Roman" w:eastAsia="Times New Roman" w:hAnsi="Times New Roman"/>
          <w:sz w:val="16"/>
          <w:szCs w:val="16"/>
          <w:color w:val="auto"/>
        </w:rPr>
        <w:t xml:space="preserve"> least every three months, with respect to borrowings bearing interest </w:t>
      </w:r>
      <w:r>
        <w:rPr>
          <w:rFonts w:ascii="Times New Roman" w:cs="Times New Roman" w:eastAsia="Times New Roman" w:hAnsi="Times New Roman"/>
          <w:sz w:val="19"/>
          <w:szCs w:val="19"/>
          <w:color w:val="auto"/>
        </w:rPr>
        <w:t>at</w:t>
      </w:r>
      <w:r>
        <w:rPr>
          <w:rFonts w:ascii="Times New Roman" w:cs="Times New Roman" w:eastAsia="Times New Roman" w:hAnsi="Times New Roman"/>
          <w:sz w:val="16"/>
          <w:szCs w:val="16"/>
          <w:color w:val="auto"/>
        </w:rPr>
        <w:t xml:space="preserve"> the term SOFR rate; provided that we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spacing w:after="0" w:line="163" w:lineRule="exact"/>
        <w:rPr>
          <w:sz w:val="20"/>
          <w:szCs w:val="20"/>
          <w:color w:val="auto"/>
        </w:rPr>
      </w:pPr>
    </w:p>
    <w:p>
      <w:pPr>
        <w:jc w:val="both"/>
        <w:ind w:right="40" w:firstLine="576"/>
        <w:spacing w:after="0" w:line="298" w:lineRule="auto"/>
        <w:rPr>
          <w:sz w:val="20"/>
          <w:szCs w:val="20"/>
          <w:color w:val="auto"/>
        </w:rPr>
      </w:pPr>
      <w:r>
        <w:rPr>
          <w:rFonts w:ascii="Times New Roman" w:cs="Times New Roman" w:eastAsia="Times New Roman" w:hAnsi="Times New Roman"/>
          <w:sz w:val="16"/>
          <w:szCs w:val="16"/>
          <w:color w:val="auto"/>
        </w:rPr>
        <w:t xml:space="preserve">We pay a commitment fee of 0.5% per annum on the daily average of the available commitment that can be borrowed, less the outstanding principal amount of all loans (excluding any capitalized interest). Fees are payable in cash quarterly and </w:t>
      </w:r>
      <w:r>
        <w:rPr>
          <w:rFonts w:ascii="Times New Roman" w:cs="Times New Roman" w:eastAsia="Times New Roman" w:hAnsi="Times New Roman"/>
          <w:sz w:val="19"/>
          <w:szCs w:val="19"/>
          <w:color w:val="auto"/>
        </w:rPr>
        <w:t>at</w:t>
      </w:r>
      <w:r>
        <w:rPr>
          <w:rFonts w:ascii="Times New Roman" w:cs="Times New Roman" w:eastAsia="Times New Roman" w:hAnsi="Times New Roman"/>
          <w:sz w:val="16"/>
          <w:szCs w:val="16"/>
          <w:color w:val="auto"/>
        </w:rPr>
        <w:t xml:space="preserve"> maturity. Loans under the ICE Credit Facility can be prepaid without penalty, subject to customary breakage costs for loans bearing interest </w:t>
      </w:r>
      <w:r>
        <w:rPr>
          <w:rFonts w:ascii="Times New Roman" w:cs="Times New Roman" w:eastAsia="Times New Roman" w:hAnsi="Times New Roman"/>
          <w:sz w:val="19"/>
          <w:szCs w:val="19"/>
          <w:color w:val="auto"/>
        </w:rPr>
        <w:t>at</w:t>
      </w:r>
      <w:r>
        <w:rPr>
          <w:rFonts w:ascii="Times New Roman" w:cs="Times New Roman" w:eastAsia="Times New Roman" w:hAnsi="Times New Roman"/>
          <w:sz w:val="16"/>
          <w:szCs w:val="16"/>
          <w:color w:val="auto"/>
        </w:rPr>
        <w:t xml:space="preserve"> the term SOFR rate. Amounts repaid under the ICE Credit Facility can be reborrowed prior to the maturity date, subject to certain customary conditions set forth in the ICE Credit Facility.</w:t>
      </w:r>
    </w:p>
    <w:p>
      <w:pPr>
        <w:spacing w:after="0" w:line="189" w:lineRule="exact"/>
        <w:rPr>
          <w:sz w:val="20"/>
          <w:szCs w:val="20"/>
          <w:color w:val="auto"/>
        </w:rPr>
      </w:pPr>
    </w:p>
    <w:p>
      <w:pPr>
        <w:jc w:val="both"/>
        <w:ind w:right="20" w:firstLine="576"/>
        <w:spacing w:after="0" w:line="283" w:lineRule="auto"/>
        <w:rPr>
          <w:sz w:val="20"/>
          <w:szCs w:val="20"/>
          <w:color w:val="auto"/>
        </w:rPr>
      </w:pPr>
      <w:r>
        <w:rPr>
          <w:rFonts w:ascii="Times New Roman" w:cs="Times New Roman" w:eastAsia="Times New Roman" w:hAnsi="Times New Roman"/>
          <w:sz w:val="16"/>
          <w:szCs w:val="16"/>
          <w:color w:val="231F20"/>
        </w:rPr>
        <w:t xml:space="preserve">We intend to use our unrestricted cash, inclusive of any potential borrowings under the ICE Credit Facility,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It is likely that we will need to draw on a portion of the ICE Credit Facility in 2025 to fund operations as we continue to scale the Crypto product offering. We have taken action to right-size headcount since 2022. Our operating cash usage in 2024 declined from 2023 levels driven by the combined impact of increased revenue and expense reductions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 Additionally, Webull’s decision not to renew its agreement with us when the current term of the agreement ends on June 14, 2025 will materially reduce our Crypto services revenue. Our fully implemented operating budgets and forecasts, which exclude forecasts for new products or markets and reflect the loss of Webull’s Crypto services revenue, raise a substantial doubt about our ability to fund our operations for at least 12 months from the date of issuance of these consolidated financial statements. Management believes that its planned cost reduction measures can be successfully implemented and alleviate the substantial doubt that was raised about our ability to continue as a going concern. However, there are certain risks associated with this determination. Please see </w:t>
      </w:r>
      <w:r>
        <w:rPr>
          <w:rFonts w:ascii="Times New Roman" w:cs="Times New Roman" w:eastAsia="Times New Roman" w:hAnsi="Times New Roman"/>
          <w:sz w:val="16"/>
          <w:szCs w:val="16"/>
          <w:i w:val="1"/>
          <w:iCs w:val="1"/>
          <w:color w:val="231F20"/>
        </w:rPr>
        <w:t>“Item 1A. Risk Factors - Risks Related to Our Business, Finance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Operations 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 </w:t>
      </w:r>
      <w:r>
        <w:rPr>
          <w:rFonts w:ascii="Times New Roman" w:cs="Times New Roman" w:eastAsia="Times New Roman" w:hAnsi="Times New Roman"/>
          <w:sz w:val="16"/>
          <w:szCs w:val="16"/>
          <w:color w:val="231F20"/>
        </w:rPr>
        <w:t>elsewhere in this Form 10-K for more</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497205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231F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 For example, our client, Webull, which represented 74% and 73% of our Crypto services revenues in the years ended December 31, 2024 and 2023, respectively, has notified us that it will not be renewing its agreement with us when the current term of the agreement ends on June 14, 2025. Unless we are able to replace the Crypto services revenue historically generated through our relationship with Webull, we expect our Crypto services revenue to decrease significantly when our current agreement with Webull expires in June 2025, which will increase our future cash requirements. We made substantial investments in our platforms in 2023 and 2024, which we expect will enable us to continue to simplify our organization and focus on the core capabilities critical to our strategy, and continue to pursue growth with new and existing clients.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231F20"/>
        </w:rPr>
        <w:t>The following table, inclusive of discontinued operations, summarizes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2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center"/>
              <w:ind w:left="502"/>
              <w:spacing w:after="0"/>
              <w:rPr>
                <w:sz w:val="20"/>
                <w:szCs w:val="20"/>
                <w:color w:val="auto"/>
              </w:rPr>
            </w:pPr>
            <w:r>
              <w:rPr>
                <w:rFonts w:ascii="Times New Roman" w:cs="Times New Roman" w:eastAsia="Times New Roman" w:hAnsi="Times New Roman"/>
                <w:sz w:val="16"/>
                <w:szCs w:val="16"/>
                <w:color w:val="auto"/>
                <w:w w:val="98"/>
              </w:rPr>
              <w:t>(21,203)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(117,597)</w:t>
            </w: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9"/>
              </w:rPr>
              <w:t>14,134</w:t>
            </w: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65,970</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(171,961)</w:t>
            </w:r>
          </w:p>
        </w:tc>
      </w:tr>
      <w:tr>
        <w:trPr>
          <w:trHeight w:val="20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9"/>
              </w:rPr>
              <w:t>43,818</w:t>
            </w:r>
          </w:p>
        </w:tc>
        <w:tc>
          <w:tcPr>
            <w:tcW w:w="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Operating Activities</w:t>
      </w:r>
    </w:p>
    <w:p>
      <w:pPr>
        <w:spacing w:after="0" w:line="204"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200"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231F20"/>
        </w:rPr>
        <w:t>Net cash used in operating activities of $21.2 million for the year ended December 31, 2024 was primarily related to our net loss of $103.4 million, offset by non-cash charges of $35.9 million and changes in our operating assets and liabilities of $46.3 million. The non-cash charges for the year ended December 31, 2024 primarily consisted of share-based compensation of $15.8 million, the change in fair value of our warrant liability of $17.2 million, non-cash lease expense of $1.7 million, intangible and long-lived asset impairments of $0.9 million, depreciation and amortization of $0.3 million, partially offset by other adjustments of $0.1 million. Net cash inflows from changes in our operating assets and liabilities for the year ended December 31, 2024 resulted primarily from a $55.6 million increase in customer funds, a $9.1 million decrease in prepaid insurance, and a $5.4 million decrease in accounts receivable, which were partially offset by a $15.6 million decrease in accounts payable, a $3.3 million decrease in deferred revenue and $3.6 million decrease in operating lease liabilities.</w:t>
      </w:r>
    </w:p>
    <w:p>
      <w:pPr>
        <w:spacing w:after="0" w:line="175"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231F20"/>
        </w:rPr>
        <w:t xml:space="preserve">Net cash used in operating activities of </w:t>
      </w:r>
      <w:r>
        <w:rPr>
          <w:rFonts w:ascii="Times New Roman" w:cs="Times New Roman" w:eastAsia="Times New Roman" w:hAnsi="Times New Roman"/>
          <w:sz w:val="16"/>
          <w:szCs w:val="16"/>
          <w:color w:val="000000"/>
        </w:rPr>
        <w:t>$60.7 million</w:t>
      </w:r>
      <w:r>
        <w:rPr>
          <w:rFonts w:ascii="Times New Roman" w:cs="Times New Roman" w:eastAsia="Times New Roman" w:hAnsi="Times New Roman"/>
          <w:sz w:val="16"/>
          <w:szCs w:val="16"/>
          <w:color w:val="231F20"/>
        </w:rPr>
        <w:t xml:space="preserve"> for the year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was primarily related to our net loss of</w:t>
      </w:r>
      <w:r>
        <w:rPr>
          <w:rFonts w:ascii="Times New Roman" w:cs="Times New Roman" w:eastAsia="Times New Roman" w:hAnsi="Times New Roman"/>
          <w:sz w:val="16"/>
          <w:szCs w:val="16"/>
          <w:color w:val="000000"/>
        </w:rPr>
        <w:t>$225.8 million</w:t>
      </w:r>
      <w:r>
        <w:rPr>
          <w:rFonts w:ascii="Times New Roman" w:cs="Times New Roman" w:eastAsia="Times New Roman" w:hAnsi="Times New Roman"/>
          <w:sz w:val="16"/>
          <w:szCs w:val="16"/>
          <w:color w:val="231F20"/>
        </w:rPr>
        <w:t xml:space="preserve">, offset by non-cash charges of </w:t>
      </w:r>
      <w:r>
        <w:rPr>
          <w:rFonts w:ascii="Times New Roman" w:cs="Times New Roman" w:eastAsia="Times New Roman" w:hAnsi="Times New Roman"/>
          <w:sz w:val="16"/>
          <w:szCs w:val="16"/>
          <w:color w:val="000000"/>
        </w:rPr>
        <w:t>$123.2 million</w:t>
      </w:r>
      <w:r>
        <w:rPr>
          <w:rFonts w:ascii="Times New Roman" w:cs="Times New Roman" w:eastAsia="Times New Roman" w:hAnsi="Times New Roman"/>
          <w:sz w:val="16"/>
          <w:szCs w:val="16"/>
          <w:color w:val="231F20"/>
        </w:rPr>
        <w:t xml:space="preserve"> and changes in our operating assets and liabilities of </w:t>
      </w:r>
      <w:r>
        <w:rPr>
          <w:rFonts w:ascii="Times New Roman" w:cs="Times New Roman" w:eastAsia="Times New Roman" w:hAnsi="Times New Roman"/>
          <w:sz w:val="16"/>
          <w:szCs w:val="16"/>
          <w:color w:val="000000"/>
        </w:rPr>
        <w:t>$41.9 million</w:t>
      </w:r>
      <w:r>
        <w:rPr>
          <w:rFonts w:ascii="Times New Roman" w:cs="Times New Roman" w:eastAsia="Times New Roman" w:hAnsi="Times New Roman"/>
          <w:sz w:val="16"/>
          <w:szCs w:val="16"/>
          <w:color w:val="231F20"/>
        </w:rPr>
        <w:t xml:space="preserve">. The non-cash charges for the year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primarily consisted of intangible and long-lived asset impairments of </w:t>
      </w:r>
      <w:r>
        <w:rPr>
          <w:rFonts w:ascii="Times New Roman" w:cs="Times New Roman" w:eastAsia="Times New Roman" w:hAnsi="Times New Roman"/>
          <w:sz w:val="16"/>
          <w:szCs w:val="16"/>
          <w:color w:val="000000"/>
        </w:rPr>
        <w:t>$90.8 million</w:t>
      </w:r>
      <w:r>
        <w:rPr>
          <w:rFonts w:ascii="Times New Roman" w:cs="Times New Roman" w:eastAsia="Times New Roman" w:hAnsi="Times New Roman"/>
          <w:sz w:val="16"/>
          <w:szCs w:val="16"/>
          <w:color w:val="231F20"/>
        </w:rPr>
        <w:t xml:space="preserve">, share-based compensation of </w:t>
      </w:r>
      <w:r>
        <w:rPr>
          <w:rFonts w:ascii="Times New Roman" w:cs="Times New Roman" w:eastAsia="Times New Roman" w:hAnsi="Times New Roman"/>
          <w:sz w:val="16"/>
          <w:szCs w:val="16"/>
          <w:color w:val="000000"/>
        </w:rPr>
        <w:t>$15.5 million</w:t>
      </w:r>
      <w:r>
        <w:rPr>
          <w:rFonts w:ascii="Times New Roman" w:cs="Times New Roman" w:eastAsia="Times New Roman" w:hAnsi="Times New Roman"/>
          <w:sz w:val="16"/>
          <w:szCs w:val="16"/>
          <w:color w:val="231F20"/>
        </w:rPr>
        <w:t xml:space="preserve">, depreciation and amortization of </w:t>
      </w:r>
      <w:r>
        <w:rPr>
          <w:rFonts w:ascii="Times New Roman" w:cs="Times New Roman" w:eastAsia="Times New Roman" w:hAnsi="Times New Roman"/>
          <w:sz w:val="16"/>
          <w:szCs w:val="16"/>
          <w:color w:val="000000"/>
        </w:rPr>
        <w:t>$13.9</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million</w:t>
      </w:r>
      <w:r>
        <w:rPr>
          <w:rFonts w:ascii="Times New Roman" w:cs="Times New Roman" w:eastAsia="Times New Roman" w:hAnsi="Times New Roman"/>
          <w:sz w:val="16"/>
          <w:szCs w:val="16"/>
          <w:color w:val="231F20"/>
        </w:rPr>
        <w:t>, non-cash lease expense of</w:t>
      </w:r>
      <w:r>
        <w:rPr>
          <w:rFonts w:ascii="Times New Roman" w:cs="Times New Roman" w:eastAsia="Times New Roman" w:hAnsi="Times New Roman"/>
          <w:sz w:val="16"/>
          <w:szCs w:val="16"/>
          <w:color w:val="000000"/>
        </w:rPr>
        <w:t xml:space="preserve"> $3.1 million </w:t>
      </w:r>
      <w:r>
        <w:rPr>
          <w:rFonts w:ascii="Times New Roman" w:cs="Times New Roman" w:eastAsia="Times New Roman" w:hAnsi="Times New Roman"/>
          <w:sz w:val="16"/>
          <w:szCs w:val="16"/>
          <w:color w:val="231F20"/>
        </w:rPr>
        <w:t>and the loss from the change in fair value of our warrant liability of</w:t>
      </w:r>
      <w:r>
        <w:rPr>
          <w:rFonts w:ascii="Times New Roman" w:cs="Times New Roman" w:eastAsia="Times New Roman" w:hAnsi="Times New Roman"/>
          <w:sz w:val="16"/>
          <w:szCs w:val="16"/>
          <w:color w:val="000000"/>
        </w:rPr>
        <w:t>$1.6 million</w:t>
      </w:r>
      <w:r>
        <w:rPr>
          <w:rFonts w:ascii="Times New Roman" w:cs="Times New Roman" w:eastAsia="Times New Roman" w:hAnsi="Times New Roman"/>
          <w:sz w:val="16"/>
          <w:szCs w:val="16"/>
          <w:color w:val="231F20"/>
        </w:rPr>
        <w:t>, partially offset by the change in fair</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 xml:space="preserve">value of the contingent consideration of </w:t>
      </w:r>
      <w:r>
        <w:rPr>
          <w:rFonts w:ascii="Times New Roman" w:cs="Times New Roman" w:eastAsia="Times New Roman" w:hAnsi="Times New Roman"/>
          <w:sz w:val="16"/>
          <w:szCs w:val="16"/>
          <w:color w:val="000000"/>
        </w:rPr>
        <w:t>$3.0 million</w:t>
      </w:r>
      <w:r>
        <w:rPr>
          <w:rFonts w:ascii="Times New Roman" w:cs="Times New Roman" w:eastAsia="Times New Roman" w:hAnsi="Times New Roman"/>
          <w:sz w:val="16"/>
          <w:szCs w:val="16"/>
          <w:color w:val="231F20"/>
        </w:rPr>
        <w:t>. Net cash inflows from changes in our operating assets and liabilities for the year ended</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resulted primarily from a </w:t>
      </w:r>
      <w:r>
        <w:rPr>
          <w:rFonts w:ascii="Times New Roman" w:cs="Times New Roman" w:eastAsia="Times New Roman" w:hAnsi="Times New Roman"/>
          <w:sz w:val="16"/>
          <w:szCs w:val="16"/>
          <w:color w:val="000000"/>
        </w:rPr>
        <w:t>$32.3 million</w:t>
      </w:r>
      <w:r>
        <w:rPr>
          <w:rFonts w:ascii="Times New Roman" w:cs="Times New Roman" w:eastAsia="Times New Roman" w:hAnsi="Times New Roman"/>
          <w:sz w:val="16"/>
          <w:szCs w:val="16"/>
          <w:color w:val="231F20"/>
        </w:rPr>
        <w:t xml:space="preserve"> increase in customer funds, a non-recurring return of a $15.2 million deposit with ICE Clear US, Inc., a decrease in prepaid insurance of </w:t>
      </w:r>
      <w:r>
        <w:rPr>
          <w:rFonts w:ascii="Times New Roman" w:cs="Times New Roman" w:eastAsia="Times New Roman" w:hAnsi="Times New Roman"/>
          <w:sz w:val="16"/>
          <w:szCs w:val="16"/>
          <w:color w:val="000000"/>
        </w:rPr>
        <w:t>$9.8 million</w:t>
      </w:r>
      <w:r>
        <w:rPr>
          <w:rFonts w:ascii="Times New Roman" w:cs="Times New Roman" w:eastAsia="Times New Roman" w:hAnsi="Times New Roman"/>
          <w:sz w:val="16"/>
          <w:szCs w:val="16"/>
          <w:color w:val="231F20"/>
        </w:rPr>
        <w:t>, and an increase in amounts due to related parties of</w:t>
      </w:r>
      <w:r>
        <w:rPr>
          <w:rFonts w:ascii="Times New Roman" w:cs="Times New Roman" w:eastAsia="Times New Roman" w:hAnsi="Times New Roman"/>
          <w:sz w:val="16"/>
          <w:szCs w:val="16"/>
          <w:color w:val="000000"/>
        </w:rPr>
        <w:t xml:space="preserve"> $2.1 million</w:t>
      </w:r>
      <w:r>
        <w:rPr>
          <w:rFonts w:ascii="Times New Roman" w:cs="Times New Roman" w:eastAsia="Times New Roman" w:hAnsi="Times New Roman"/>
          <w:sz w:val="16"/>
          <w:szCs w:val="16"/>
          <w:color w:val="231F20"/>
        </w:rPr>
        <w:t>, which were partially offset by an increase in accounts payable and accrued liabilities of</w:t>
      </w:r>
      <w:r>
        <w:rPr>
          <w:rFonts w:ascii="Times New Roman" w:cs="Times New Roman" w:eastAsia="Times New Roman" w:hAnsi="Times New Roman"/>
          <w:sz w:val="16"/>
          <w:szCs w:val="16"/>
          <w:color w:val="000000"/>
        </w:rPr>
        <w:t xml:space="preserve"> $8.0 million</w:t>
      </w:r>
      <w:r>
        <w:rPr>
          <w:rFonts w:ascii="Times New Roman" w:cs="Times New Roman" w:eastAsia="Times New Roman" w:hAnsi="Times New Roman"/>
          <w:sz w:val="16"/>
          <w:szCs w:val="16"/>
          <w:color w:val="231F20"/>
        </w:rPr>
        <w:t>, an increase in operating lease liabilities of</w:t>
      </w:r>
      <w:r>
        <w:rPr>
          <w:rFonts w:ascii="Times New Roman" w:cs="Times New Roman" w:eastAsia="Times New Roman" w:hAnsi="Times New Roman"/>
          <w:sz w:val="16"/>
          <w:szCs w:val="16"/>
          <w:color w:val="000000"/>
        </w:rPr>
        <w:t xml:space="preserve"> $3.0 million</w:t>
      </w:r>
      <w:r>
        <w:rPr>
          <w:rFonts w:ascii="Times New Roman" w:cs="Times New Roman" w:eastAsia="Times New Roman" w:hAnsi="Times New Roman"/>
          <w:sz w:val="16"/>
          <w:szCs w:val="16"/>
          <w:color w:val="231F20"/>
        </w:rPr>
        <w:t>, and an increase in accounts receivable of</w:t>
      </w:r>
      <w:r>
        <w:rPr>
          <w:rFonts w:ascii="Times New Roman" w:cs="Times New Roman" w:eastAsia="Times New Roman" w:hAnsi="Times New Roman"/>
          <w:sz w:val="16"/>
          <w:szCs w:val="16"/>
          <w:color w:val="000000"/>
        </w:rPr>
        <w:t xml:space="preserve"> $10.0 million</w:t>
      </w:r>
      <w:r>
        <w:rPr>
          <w:rFonts w:ascii="Times New Roman" w:cs="Times New Roman" w:eastAsia="Times New Roman" w:hAnsi="Times New Roman"/>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494030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Investing Activities</w:t>
      </w:r>
    </w:p>
    <w:p>
      <w:pPr>
        <w:spacing w:after="0" w:line="24" w:lineRule="exact"/>
        <w:rPr>
          <w:sz w:val="20"/>
          <w:szCs w:val="20"/>
          <w:color w:val="auto"/>
        </w:rPr>
      </w:pPr>
    </w:p>
    <w:p>
      <w:pPr>
        <w:jc w:val="both"/>
        <w:ind w:right="20" w:firstLine="576"/>
        <w:spacing w:after="0" w:line="247" w:lineRule="auto"/>
        <w:rPr>
          <w:sz w:val="20"/>
          <w:szCs w:val="20"/>
          <w:color w:val="auto"/>
        </w:rPr>
      </w:pPr>
      <w:r>
        <w:rPr>
          <w:rFonts w:ascii="Times New Roman" w:cs="Times New Roman" w:eastAsia="Times New Roman" w:hAnsi="Times New Roman"/>
          <w:sz w:val="16"/>
          <w:szCs w:val="16"/>
          <w:color w:val="231F20"/>
        </w:rPr>
        <w:t>Net cash flows provided by investing activities of $14.1 million for the year ended December 31, 2024 primarily consisted of the receipt of $35.2 million of proceeds from the sale of available-for-sale securities, partially offset by the purchase of $18.0 million of available-for-sale debt securities and $3.1 million in capital expenditures.</w:t>
      </w:r>
    </w:p>
    <w:p>
      <w:pPr>
        <w:spacing w:after="0" w:line="176"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231F20"/>
        </w:rPr>
        <w:t xml:space="preserve">Net cash flows provided by investing activities of </w:t>
      </w:r>
      <w:r>
        <w:rPr>
          <w:rFonts w:ascii="Times New Roman" w:cs="Times New Roman" w:eastAsia="Times New Roman" w:hAnsi="Times New Roman"/>
          <w:sz w:val="16"/>
          <w:szCs w:val="16"/>
          <w:color w:val="000000"/>
        </w:rPr>
        <w:t>$66.0 million</w:t>
      </w:r>
      <w:r>
        <w:rPr>
          <w:rFonts w:ascii="Times New Roman" w:cs="Times New Roman" w:eastAsia="Times New Roman" w:hAnsi="Times New Roman"/>
          <w:sz w:val="16"/>
          <w:szCs w:val="16"/>
          <w:color w:val="231F20"/>
        </w:rPr>
        <w:t xml:space="preserve"> for the year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primarily consisted of the receipt of </w:t>
      </w:r>
      <w:r>
        <w:rPr>
          <w:rFonts w:ascii="Times New Roman" w:cs="Times New Roman" w:eastAsia="Times New Roman" w:hAnsi="Times New Roman"/>
          <w:sz w:val="16"/>
          <w:szCs w:val="16"/>
          <w:color w:val="000000"/>
        </w:rPr>
        <w:t>$185.8 million</w:t>
      </w:r>
      <w:r>
        <w:rPr>
          <w:rFonts w:ascii="Times New Roman" w:cs="Times New Roman" w:eastAsia="Times New Roman" w:hAnsi="Times New Roman"/>
          <w:sz w:val="16"/>
          <w:szCs w:val="16"/>
          <w:color w:val="231F20"/>
        </w:rPr>
        <w:t xml:space="preserve"> of proceeds from the sale of available-for-sale securities, partially offset by the purchase of $61.8 million of available-for-sale debt securities, $47.9 million net cash used to acquire Bakkt Crypto, $0.6 million cash used to acquire Bakkt Brokerage and $9.4 million of capitalized costs of internally developed software for our technology platforms.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Financing Activities</w:t>
      </w:r>
    </w:p>
    <w:p>
      <w:pPr>
        <w:spacing w:after="0" w:line="228" w:lineRule="exact"/>
        <w:rPr>
          <w:sz w:val="20"/>
          <w:szCs w:val="20"/>
          <w:color w:val="auto"/>
        </w:rPr>
      </w:pPr>
    </w:p>
    <w:p>
      <w:pPr>
        <w:jc w:val="both"/>
        <w:ind w:right="20" w:firstLine="576"/>
        <w:spacing w:after="0" w:line="274" w:lineRule="auto"/>
        <w:rPr>
          <w:sz w:val="20"/>
          <w:szCs w:val="20"/>
          <w:color w:val="auto"/>
        </w:rPr>
      </w:pPr>
      <w:r>
        <w:rPr>
          <w:rFonts w:ascii="Times New Roman" w:cs="Times New Roman" w:eastAsia="Times New Roman" w:hAnsi="Times New Roman"/>
          <w:sz w:val="16"/>
          <w:szCs w:val="16"/>
          <w:color w:val="231F20"/>
        </w:rPr>
        <w:t>Net cash flows provided by financing activities of $43.8 million for the year ended December 31, 2024 consist of $46.5 million in proceeds from our Concurrent Offerings, partially offset by the repurchase and retirement of $2.7 million of Class A Common Stock that was withheld from vested equity grants.</w:t>
      </w:r>
    </w:p>
    <w:p>
      <w:pPr>
        <w:ind w:right="120" w:firstLine="576"/>
        <w:spacing w:after="0" w:line="259" w:lineRule="auto"/>
        <w:rPr>
          <w:sz w:val="20"/>
          <w:szCs w:val="20"/>
          <w:color w:val="auto"/>
        </w:rPr>
      </w:pPr>
      <w:r>
        <w:rPr>
          <w:rFonts w:ascii="Times New Roman" w:cs="Times New Roman" w:eastAsia="Times New Roman" w:hAnsi="Times New Roman"/>
          <w:sz w:val="16"/>
          <w:szCs w:val="16"/>
          <w:color w:val="231F20"/>
        </w:rPr>
        <w:t xml:space="preserve">Net cash flows used in financing activities of $2.6 million for the year ended </w:t>
      </w:r>
      <w:r>
        <w:rPr>
          <w:rFonts w:ascii="Times New Roman" w:cs="Times New Roman" w:eastAsia="Times New Roman" w:hAnsi="Times New Roman"/>
          <w:sz w:val="16"/>
          <w:szCs w:val="16"/>
          <w:color w:val="000000"/>
        </w:rPr>
        <w:t>December 31, 2023</w:t>
      </w:r>
      <w:r>
        <w:rPr>
          <w:rFonts w:ascii="Times New Roman" w:cs="Times New Roman" w:eastAsia="Times New Roman" w:hAnsi="Times New Roman"/>
          <w:sz w:val="16"/>
          <w:szCs w:val="16"/>
          <w:color w:val="231F20"/>
        </w:rPr>
        <w:t xml:space="preserve"> resulted from proceeds from the repurchase and retirement of $2.6 million of Class A Common Stock that was withheld from vested equity grants.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Tax Receivable Agreement</w:t>
      </w:r>
    </w:p>
    <w:p>
      <w:pPr>
        <w:spacing w:after="0" w:line="202"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Concurrently with the completion of the VIH Business Combination, we entered into a Tax Receivable Agreement (“TRA”) with certain Opco Equity Holders.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7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4"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2024, an aggregate of 1,059,848 Opco Common Units had been exchanged for Class A Common Stock. Based on our history of taxable losses, we have concluded that it is not probable to expect cash tax payments in the foreseeable future and as such, no value has been recorded under the 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495935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Contractual Obligations and Commitments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231F20"/>
        </w:rPr>
        <w:t>The following is a summary of our significant contractual obligations and commitments as of December 31, 2024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w w:val="97"/>
              </w:rPr>
              <w:t>Payments Due by Period</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400"/>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Less than 1 year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80" w:type="dxa"/>
            <w:vAlign w:val="bottom"/>
          </w:tcPr>
          <w:p>
            <w:pPr>
              <w:spacing w:after="0"/>
              <w:rPr>
                <w:sz w:val="24"/>
                <w:szCs w:val="24"/>
                <w:color w:val="auto"/>
              </w:rPr>
            </w:pPr>
          </w:p>
        </w:tc>
        <w:tc>
          <w:tcPr>
            <w:tcW w:w="1720" w:type="dxa"/>
            <w:vAlign w:val="bottom"/>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More than 5 years</w:t>
            </w: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3540" w:type="dxa"/>
            <w:vAlign w:val="bottom"/>
            <w:tcBorders>
              <w:top w:val="single" w:sz="8" w:color="CCEEFF"/>
            </w:tcBorders>
            <w:shd w:val="clear" w:color="auto" w:fill="CCEEFF"/>
          </w:tcPr>
          <w:p>
            <w:pPr>
              <w:ind w:left="20"/>
              <w:spacing w:after="0" w:line="197" w:lineRule="exact"/>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w:t>
            </w:r>
          </w:p>
        </w:tc>
      </w:tr>
      <w:tr>
        <w:trPr>
          <w:trHeight w:val="204"/>
        </w:trPr>
        <w:tc>
          <w:tcPr>
            <w:tcW w:w="3540" w:type="dxa"/>
            <w:vAlign w:val="bottom"/>
            <w:tcBorders>
              <w:bottom w:val="single" w:sz="8" w:color="CCEEFF"/>
            </w:tcBorders>
          </w:tcPr>
          <w:p>
            <w:pPr>
              <w:ind w:left="20"/>
              <w:spacing w:after="0" w:line="204" w:lineRule="exact"/>
              <w:rPr>
                <w:sz w:val="20"/>
                <w:szCs w:val="20"/>
                <w:color w:val="auto"/>
              </w:rPr>
            </w:pPr>
            <w:r>
              <w:rPr>
                <w:rFonts w:ascii="Times New Roman" w:cs="Times New Roman" w:eastAsia="Times New Roman" w:hAnsi="Times New Roman"/>
                <w:sz w:val="16"/>
                <w:szCs w:val="16"/>
                <w:color w:val="auto"/>
              </w:rPr>
              <w:t>Future minimum operating lease payments</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4,702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6,397</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6,164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6,156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23,419</w:t>
            </w:r>
          </w:p>
        </w:tc>
      </w:tr>
      <w:tr>
        <w:trPr>
          <w:trHeight w:val="19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6,164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39,919</w:t>
            </w:r>
          </w:p>
        </w:tc>
      </w:tr>
    </w:tbl>
    <w:p>
      <w:pPr>
        <w:spacing w:after="0" w:line="263" w:lineRule="exact"/>
        <w:rPr>
          <w:sz w:val="20"/>
          <w:szCs w:val="20"/>
          <w:color w:val="auto"/>
        </w:rPr>
      </w:pPr>
    </w:p>
    <w:p>
      <w:pPr>
        <w:ind w:left="580" w:right="300" w:hanging="286"/>
        <w:spacing w:after="0" w:line="230" w:lineRule="auto"/>
        <w:tabs>
          <w:tab w:leader="none" w:pos="56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minimum commitment payments under a four-year cloud computing arrangement. In December 2023, we agreed to amend the cloud computing arrangement and extended the payment period for an additional year.</w:t>
      </w:r>
    </w:p>
    <w:p>
      <w:pPr>
        <w:ind w:left="580" w:hanging="286"/>
        <w:spacing w:after="0" w:line="204" w:lineRule="auto"/>
        <w:tabs>
          <w:tab w:leader="none" w:pos="5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rental payments under operating leases with remaining non-cancellable terms in excess of one year.</w:t>
      </w:r>
    </w:p>
    <w:p>
      <w:pPr>
        <w:spacing w:after="0" w:line="206"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73"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There is no defined maturity date for the purchasing card facility.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Non-GAAP Financial Measures</w:t>
      </w:r>
    </w:p>
    <w:p>
      <w:pPr>
        <w:spacing w:after="0" w:line="202" w:lineRule="exact"/>
        <w:rPr>
          <w:sz w:val="20"/>
          <w:szCs w:val="20"/>
          <w:color w:val="auto"/>
        </w:rPr>
      </w:pPr>
    </w:p>
    <w:p>
      <w:pPr>
        <w:jc w:val="both"/>
        <w:ind w:right="20" w:firstLine="576"/>
        <w:spacing w:after="0" w:line="337" w:lineRule="auto"/>
        <w:rPr>
          <w:sz w:val="20"/>
          <w:szCs w:val="20"/>
          <w:color w:val="auto"/>
        </w:rPr>
      </w:pPr>
      <w:r>
        <w:rPr>
          <w:rFonts w:ascii="Times New Roman" w:cs="Times New Roman" w:eastAsia="Times New Roman" w:hAnsi="Times New Roman"/>
          <w:sz w:val="14"/>
          <w:szCs w:val="14"/>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42"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Adjusted EBITDA</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231F20"/>
        </w:rPr>
        <w:t>We present Adjusted EBITDA as a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526415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76"/>
        <w:spacing w:after="0" w:line="332" w:lineRule="auto"/>
        <w:rPr>
          <w:sz w:val="20"/>
          <w:szCs w:val="20"/>
          <w:color w:val="auto"/>
        </w:rPr>
      </w:pPr>
      <w:r>
        <w:rPr>
          <w:rFonts w:ascii="Times New Roman" w:cs="Times New Roman" w:eastAsia="Times New Roman" w:hAnsi="Times New Roman"/>
          <w:sz w:val="14"/>
          <w:szCs w:val="14"/>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14"/>
          <w:szCs w:val="14"/>
          <w:color w:val="000000"/>
        </w:rPr>
        <w:t>, acquisition-related expenses, share-based and unit-based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compensation expense, goodwill and intangible assets impairments, restructuring charges, changes in the fair value of our warrant liability </w:t>
      </w:r>
      <w:r>
        <w:rPr>
          <w:rFonts w:ascii="Times New Roman" w:cs="Times New Roman" w:eastAsia="Times New Roman" w:hAnsi="Times New Roman"/>
          <w:sz w:val="14"/>
          <w:szCs w:val="14"/>
          <w:color w:val="231F20"/>
        </w:rPr>
        <w:t>and certain other non-cash</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362"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164"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231F20"/>
        </w:rPr>
        <w:t>The following table presents a reconciliation of net loss, the most directly comparable GAAP operating performance measure, to our Adjusted EBITDA for each of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04"/>
        </w:trPr>
        <w:tc>
          <w:tcPr>
            <w:tcW w:w="76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7"/>
                <w:szCs w:val="17"/>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196"/>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8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80" w:type="dxa"/>
            <w:vAlign w:val="bottom"/>
            <w:shd w:val="clear" w:color="auto" w:fill="CCEEFF"/>
          </w:tcPr>
          <w:p>
            <w:pPr>
              <w:spacing w:after="0"/>
              <w:rPr>
                <w:sz w:val="17"/>
                <w:szCs w:val="17"/>
                <w:color w:val="auto"/>
              </w:rPr>
            </w:pPr>
          </w:p>
        </w:tc>
      </w:tr>
      <w:tr>
        <w:trPr>
          <w:trHeight w:val="20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Borders>
              <w:bottom w:val="single" w:sz="8" w:color="CCEEFF"/>
            </w:tcBorders>
          </w:tcPr>
          <w:p>
            <w:pPr>
              <w:spacing w:after="0"/>
              <w:rPr>
                <w:sz w:val="17"/>
                <w:szCs w:val="17"/>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(145,302)</w:t>
            </w:r>
          </w:p>
        </w:tc>
        <w:tc>
          <w:tcPr>
            <w:tcW w:w="80" w:type="dxa"/>
            <w:vAlign w:val="bottom"/>
            <w:shd w:val="clear" w:color="auto" w:fill="CCEEFF"/>
          </w:tcPr>
          <w:p>
            <w:pPr>
              <w:spacing w:after="0"/>
              <w:rPr>
                <w:sz w:val="17"/>
                <w:szCs w:val="17"/>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8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and unit-based compensation expense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16,761</w:t>
            </w:r>
          </w:p>
        </w:tc>
        <w:tc>
          <w:tcPr>
            <w:tcW w:w="80" w:type="dxa"/>
            <w:vAlign w:val="bottom"/>
            <w:shd w:val="clear" w:color="auto" w:fill="CCEEFF"/>
          </w:tcPr>
          <w:p>
            <w:pPr>
              <w:spacing w:after="0"/>
              <w:rPr>
                <w:sz w:val="17"/>
                <w:szCs w:val="17"/>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Cancellation of common units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80" w:type="dxa"/>
            <w:vAlign w:val="bottom"/>
            <w:shd w:val="clear" w:color="auto" w:fill="CCEEFF"/>
          </w:tcPr>
          <w:p>
            <w:pPr>
              <w:spacing w:after="0"/>
              <w:rPr>
                <w:sz w:val="17"/>
                <w:szCs w:val="17"/>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8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24,103</w:t>
            </w:r>
          </w:p>
        </w:tc>
        <w:tc>
          <w:tcPr>
            <w:tcW w:w="80" w:type="dxa"/>
            <w:vAlign w:val="bottom"/>
            <w:shd w:val="clear" w:color="auto" w:fill="CCEEFF"/>
          </w:tcPr>
          <w:p>
            <w:pPr>
              <w:spacing w:after="0"/>
              <w:rPr>
                <w:sz w:val="17"/>
                <w:szCs w:val="17"/>
                <w:color w:val="auto"/>
              </w:rPr>
            </w:pP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8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Shelf registration expenses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Transition services expense</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80" w:type="dxa"/>
            <w:vAlign w:val="bottom"/>
          </w:tcPr>
          <w:p>
            <w:pPr>
              <w:spacing w:after="0"/>
              <w:rPr>
                <w:sz w:val="17"/>
                <w:szCs w:val="17"/>
                <w:color w:val="auto"/>
              </w:rPr>
            </w:pPr>
          </w:p>
        </w:tc>
      </w:tr>
      <w:tr>
        <w:trPr>
          <w:trHeight w:val="20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9,036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72,159</w:t>
            </w:r>
          </w:p>
        </w:tc>
        <w:tc>
          <w:tcPr>
            <w:tcW w:w="80" w:type="dxa"/>
            <w:vAlign w:val="bottom"/>
            <w:shd w:val="clear" w:color="auto" w:fill="CCEEFF"/>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loss</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(77,770)</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576"/>
        <w:spacing w:after="0" w:line="384" w:lineRule="auto"/>
        <w:rPr>
          <w:sz w:val="20"/>
          <w:szCs w:val="20"/>
          <w:color w:val="auto"/>
        </w:rPr>
      </w:pPr>
      <w:r>
        <w:rPr>
          <w:rFonts w:ascii="Times New Roman" w:cs="Times New Roman" w:eastAsia="Times New Roman" w:hAnsi="Times New Roman"/>
          <w:sz w:val="14"/>
          <w:szCs w:val="14"/>
          <w:color w:val="231F20"/>
        </w:rPr>
        <w:t xml:space="preserve">Adjusted EBITDA loss for the year ended December 31, 2024 decreased by $31.4 million, or 40.4%, as compared to the year ended December 31, 2023. The decrease was primarily due to a </w:t>
      </w:r>
      <w:r>
        <w:rPr>
          <w:rFonts w:ascii="Times New Roman" w:cs="Times New Roman" w:eastAsia="Times New Roman" w:hAnsi="Times New Roman"/>
          <w:sz w:val="14"/>
          <w:szCs w:val="14"/>
          <w:color w:val="000000"/>
        </w:rPr>
        <w:t>$8.3 million</w:t>
      </w:r>
      <w:r>
        <w:rPr>
          <w:rFonts w:ascii="Times New Roman" w:cs="Times New Roman" w:eastAsia="Times New Roman" w:hAnsi="Times New Roman"/>
          <w:sz w:val="14"/>
          <w:szCs w:val="14"/>
          <w:color w:val="231F20"/>
        </w:rPr>
        <w:t xml:space="preserve"> decrease in compensation and benefits expense and a </w:t>
      </w:r>
      <w:r>
        <w:rPr>
          <w:rFonts w:ascii="Times New Roman" w:cs="Times New Roman" w:eastAsia="Times New Roman" w:hAnsi="Times New Roman"/>
          <w:sz w:val="14"/>
          <w:szCs w:val="14"/>
          <w:color w:val="000000"/>
        </w:rPr>
        <w:t>$6.5 million</w:t>
      </w:r>
      <w:r>
        <w:rPr>
          <w:rFonts w:ascii="Times New Roman" w:cs="Times New Roman" w:eastAsia="Times New Roman" w:hAnsi="Times New Roman"/>
          <w:sz w:val="14"/>
          <w:szCs w:val="14"/>
          <w:color w:val="231F20"/>
        </w:rPr>
        <w:t xml:space="preserve"> reduction of selling, general and administrative expenses.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Critical Accounting Policies and Estimates</w:t>
      </w:r>
    </w:p>
    <w:p>
      <w:pPr>
        <w:spacing w:after="0" w:line="202"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the Board. The following items require significant estimation or judgement: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490220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Going Concern</w:t>
      </w:r>
    </w:p>
    <w:p>
      <w:pPr>
        <w:spacing w:after="0" w:line="226"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 xml:space="preserve">At each reporting period, in accordance with </w:t>
      </w:r>
      <w:r>
        <w:rPr>
          <w:rFonts w:ascii="Times New Roman" w:cs="Times New Roman" w:eastAsia="Times New Roman" w:hAnsi="Times New Roman"/>
          <w:sz w:val="16"/>
          <w:szCs w:val="16"/>
          <w:i w:val="1"/>
          <w:iCs w:val="1"/>
          <w:color w:val="auto"/>
        </w:rPr>
        <w:t>ASC 205-40, Going Concern</w:t>
      </w:r>
      <w:r>
        <w:rPr>
          <w:rFonts w:ascii="Times New Roman" w:cs="Times New Roman" w:eastAsia="Times New Roman" w:hAnsi="Times New Roman"/>
          <w:sz w:val="16"/>
          <w:szCs w:val="16"/>
          <w:color w:val="auto"/>
        </w:rPr>
        <w:t xml:space="preserve"> (“ASC 205-40”),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 or markets cannot be considered in the initial evaluation as those product and market launches have not been fully implemented.</w:t>
      </w:r>
    </w:p>
    <w:p>
      <w:pPr>
        <w:spacing w:after="0" w:line="169" w:lineRule="exact"/>
        <w:rPr>
          <w:sz w:val="20"/>
          <w:szCs w:val="20"/>
          <w:color w:val="auto"/>
        </w:rPr>
      </w:pPr>
    </w:p>
    <w:p>
      <w:pPr>
        <w:jc w:val="both"/>
        <w:ind w:right="20" w:firstLine="576"/>
        <w:spacing w:after="0" w:line="285" w:lineRule="auto"/>
        <w:rPr>
          <w:sz w:val="20"/>
          <w:szCs w:val="20"/>
          <w:color w:val="auto"/>
        </w:rPr>
      </w:pPr>
      <w:r>
        <w:rPr>
          <w:rFonts w:ascii="Times New Roman" w:cs="Times New Roman" w:eastAsia="Times New Roman" w:hAnsi="Times New Roman"/>
          <w:sz w:val="16"/>
          <w:szCs w:val="16"/>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Business Combinations</w:t>
      </w:r>
    </w:p>
    <w:p>
      <w:pPr>
        <w:spacing w:after="0" w:line="204"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spacing w:after="0" w:line="177"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acquisition-related costs, other than the costs to issue debt or equity securities, are accounted for as expenses in the period in which they are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Goodwill and Other Intangible Assets</w:t>
      </w:r>
    </w:p>
    <w:p>
      <w:pPr>
        <w:spacing w:after="0" w:line="202" w:lineRule="exact"/>
        <w:rPr>
          <w:sz w:val="20"/>
          <w:szCs w:val="20"/>
          <w:color w:val="auto"/>
        </w:rPr>
      </w:pPr>
    </w:p>
    <w:p>
      <w:pPr>
        <w:jc w:val="both"/>
        <w:ind w:firstLine="576"/>
        <w:spacing w:after="0" w:line="287" w:lineRule="auto"/>
        <w:rPr>
          <w:sz w:val="20"/>
          <w:szCs w:val="20"/>
          <w:color w:val="auto"/>
        </w:rPr>
      </w:pPr>
      <w:r>
        <w:rPr>
          <w:rFonts w:ascii="Times New Roman" w:cs="Times New Roman" w:eastAsia="Times New Roman" w:hAnsi="Times New Roman"/>
          <w:sz w:val="16"/>
          <w:szCs w:val="16"/>
          <w:color w:val="auto"/>
        </w:rPr>
        <w:t xml:space="preserve">Goodwill and intangible assets that have indefinite useful lives are accounted for in accordance with ASC 350,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492125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73"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55"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 xml:space="preserve">We recorded impairment of goodwill and other intangible assets from continuing operations of $0.0 million and $12.7 million during the years ended December 31, 2024 and </w:t>
      </w:r>
      <w:r>
        <w:rPr>
          <w:rFonts w:ascii="Times New Roman" w:cs="Times New Roman" w:eastAsia="Times New Roman" w:hAnsi="Times New Roman"/>
          <w:sz w:val="16"/>
          <w:szCs w:val="16"/>
          <w:color w:val="231F20"/>
        </w:rPr>
        <w:t>December 31, 2023, respectively</w:t>
      </w:r>
      <w:r>
        <w:rPr>
          <w:rFonts w:ascii="Times New Roman" w:cs="Times New Roman" w:eastAsia="Times New Roman" w:hAnsi="Times New Roman"/>
          <w:sz w:val="16"/>
          <w:szCs w:val="16"/>
          <w:color w:val="auto"/>
        </w:rPr>
        <w:t xml:space="preserve">. We recorded impairment of goodwill and other intangible assets from discontinued operations of $0.0 million and $47.8 million during the years ended December 31, 2024 and </w:t>
      </w:r>
      <w:r>
        <w:rPr>
          <w:rFonts w:ascii="Times New Roman" w:cs="Times New Roman" w:eastAsia="Times New Roman" w:hAnsi="Times New Roman"/>
          <w:sz w:val="16"/>
          <w:szCs w:val="16"/>
          <w:color w:val="231F20"/>
        </w:rPr>
        <w:t>December 31, 2023, respectively</w:t>
      </w:r>
      <w:r>
        <w:rPr>
          <w:rFonts w:ascii="Times New Roman" w:cs="Times New Roman" w:eastAsia="Times New Roman" w:hAnsi="Times New Roman"/>
          <w:sz w:val="16"/>
          <w:szCs w:val="16"/>
          <w:color w:val="auto"/>
        </w:rPr>
        <w:t>. See Note 6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in 2023. Therefore if there are further delays in our ability to execute on our strategy, negative deviations from the budgets utilized in these analyses or further declines in our market capitalization further impairment of our assets is possible. Specifically, Webull’s decision not to renew its agreement with us when the current term of the agreement ends on June 14, 2025 increases the risk of a material goodwill impairment.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Crypto Services Revenue Recognition</w:t>
      </w:r>
    </w:p>
    <w:p>
      <w:pPr>
        <w:spacing w:after="0" w:line="204"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and sale transaction only has a single performance obligation which is execution of the trade. We consider the sale of customer crypto associated with delisted crypto to be revenue in the context of our contracts with customers. We own the crypto during the period of time between the customer transaction and the liquidity provider settlement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 ended December 31, 2024.</w:t>
      </w:r>
    </w:p>
    <w:p>
      <w:pPr>
        <w:spacing w:after="0" w:line="175"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Judgment is required in determining whether the Company is the principal or the agent in our contracts with customers. We have determined that we are the principal in transactions with customers as we control the crypto prior to its delivery to the customer and we are primarily responsible for the delivery of the crypto to the customer. Accordingly, revenue and costs associated with Bakkt Crypto’s services are presented gross in our consolidated statement of operations.</w:t>
      </w:r>
    </w:p>
    <w:p>
      <w:pPr>
        <w:spacing w:after="0" w:line="164"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Deferred Revenue</w:t>
      </w:r>
    </w:p>
    <w:p>
      <w:pPr>
        <w:spacing w:after="0" w:line="204"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Deferred revenue includes amounts invoiced prior to us meeting the criteria for revenue recognition. We invoice clients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Warrants</w:t>
      </w:r>
    </w:p>
    <w:p>
      <w:pPr>
        <w:spacing w:after="0" w:line="202" w:lineRule="exact"/>
        <w:rPr>
          <w:sz w:val="20"/>
          <w:szCs w:val="20"/>
          <w:color w:val="auto"/>
        </w:rPr>
      </w:pPr>
    </w:p>
    <w:p>
      <w:pPr>
        <w:jc w:val="both"/>
        <w:ind w:right="20" w:firstLine="576"/>
        <w:spacing w:after="0" w:line="335" w:lineRule="auto"/>
        <w:rPr>
          <w:sz w:val="20"/>
          <w:szCs w:val="20"/>
          <w:color w:val="auto"/>
        </w:rPr>
      </w:pPr>
      <w:r>
        <w:rPr>
          <w:rFonts w:ascii="Times New Roman" w:cs="Times New Roman" w:eastAsia="Times New Roman" w:hAnsi="Times New Roman"/>
          <w:sz w:val="14"/>
          <w:szCs w:val="14"/>
          <w:color w:val="auto"/>
        </w:rPr>
        <w:t>We account for our ordinary share warrants in accordance with applicable accounting guidance provided in ASC 815,</w:t>
      </w:r>
      <w:r>
        <w:rPr>
          <w:rFonts w:ascii="Times New Roman" w:cs="Times New Roman" w:eastAsia="Times New Roman" w:hAnsi="Times New Roman"/>
          <w:sz w:val="14"/>
          <w:szCs w:val="14"/>
          <w:i w:val="1"/>
          <w:iCs w:val="1"/>
          <w:color w:val="auto"/>
        </w:rPr>
        <w:t>Derivatives and Hedging—Contracts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Entity’s Own Equity</w:t>
      </w:r>
      <w:r>
        <w:rPr>
          <w:rFonts w:ascii="Times New Roman" w:cs="Times New Roman" w:eastAsia="Times New Roman" w:hAnsi="Times New Roman"/>
          <w:sz w:val="14"/>
          <w:szCs w:val="14"/>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31F20"/>
        </w:rPr>
        <w:t>Impairment of Long-Lived Assets</w:t>
      </w:r>
    </w:p>
    <w:p>
      <w:pPr>
        <w:spacing w:after="0" w:line="204"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73"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We recorded impairment of long-lived assets of $0.7 million and $24.1 million during the years ended December 31, 2024 and</w:t>
      </w:r>
      <w:r>
        <w:rPr>
          <w:rFonts w:ascii="Times New Roman" w:cs="Times New Roman" w:eastAsia="Times New Roman" w:hAnsi="Times New Roman"/>
          <w:sz w:val="16"/>
          <w:szCs w:val="16"/>
          <w:color w:val="231F20"/>
        </w:rPr>
        <w:t>December 31, 2023,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respectively</w:t>
      </w:r>
      <w:r>
        <w:rPr>
          <w:rFonts w:ascii="Times New Roman" w:cs="Times New Roman" w:eastAsia="Times New Roman" w:hAnsi="Times New Roman"/>
          <w:sz w:val="16"/>
          <w:szCs w:val="16"/>
          <w:color w:val="000000"/>
        </w:rPr>
        <w:t>. See Notes 6 and 7 to our audited consolidated financial statements for additional disclosures related to impairment of long-lived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Unit-Based Compensation</w:t>
      </w:r>
    </w:p>
    <w:p>
      <w:pPr>
        <w:spacing w:after="0" w:line="204"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based on changes to the fair value of the awards at each reporting date. We elect to account for forfeitures as they occurred. See Note 12 to our audited consolidated financial statements for additional disclosures related to unit-based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Use of Estimates</w:t>
      </w:r>
    </w:p>
    <w:p>
      <w:pPr>
        <w:spacing w:after="0" w:line="202"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Recently Issued and Adopted Accounting Pronouncements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231F20"/>
        </w:rPr>
        <w:t xml:space="preserve">Recently issued and adopted accounting pronouncements are described in Note 2 to </w:t>
      </w:r>
      <w:r>
        <w:rPr>
          <w:rFonts w:ascii="Times New Roman" w:cs="Times New Roman" w:eastAsia="Times New Roman" w:hAnsi="Times New Roman"/>
          <w:sz w:val="16"/>
          <w:szCs w:val="16"/>
          <w:color w:val="000000"/>
        </w:rPr>
        <w:t>our audited consolidated financial statements</w:t>
      </w:r>
      <w:r>
        <w:rPr>
          <w:rFonts w:ascii="Times New Roman" w:cs="Times New Roman" w:eastAsia="Times New Roman" w:hAnsi="Times New Roman"/>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526415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Index to Consolidated Financial Statements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100" w:type="dxa"/>
            <w:vAlign w:val="bottom"/>
            <w:gridSpan w:val="3"/>
          </w:tcPr>
          <w:p>
            <w:pPr>
              <w:jc w:val="center"/>
              <w:ind w:left="2262"/>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10"/>
        </w:trPr>
        <w:tc>
          <w:tcPr>
            <w:tcW w:w="60" w:type="dxa"/>
            <w:vAlign w:val="bottom"/>
          </w:tcPr>
          <w:p>
            <w:pPr>
              <w:spacing w:after="0"/>
              <w:rPr>
                <w:sz w:val="24"/>
                <w:szCs w:val="24"/>
                <w:color w:val="auto"/>
              </w:rPr>
            </w:pPr>
          </w:p>
        </w:tc>
        <w:tc>
          <w:tcPr>
            <w:tcW w:w="74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185)</w:t>
            </w:r>
          </w:p>
        </w:tc>
        <w:tc>
          <w:tcPr>
            <w:tcW w:w="3100" w:type="dxa"/>
            <w:vAlign w:val="bottom"/>
            <w:gridSpan w:val="3"/>
          </w:tcPr>
          <w:p>
            <w:pPr>
              <w:jc w:val="center"/>
              <w:ind w:left="2262"/>
              <w:spacing w:after="0"/>
              <w:rPr>
                <w:rFonts w:ascii="Times New Roman" w:cs="Times New Roman" w:eastAsia="Times New Roman" w:hAnsi="Times New Roman"/>
                <w:sz w:val="16"/>
                <w:szCs w:val="16"/>
                <w:color w:val="0000FF"/>
                <w:w w:val="99"/>
              </w:rPr>
            </w:pPr>
            <w:hyperlink w:anchor="page35">
              <w:r>
                <w:rPr>
                  <w:rFonts w:ascii="Times New Roman" w:cs="Times New Roman" w:eastAsia="Times New Roman" w:hAnsi="Times New Roman"/>
                  <w:sz w:val="16"/>
                  <w:szCs w:val="16"/>
                  <w:color w:val="0000FF"/>
                  <w:w w:val="99"/>
                </w:rPr>
                <w:t>29</w:t>
              </w:r>
            </w:hyperlink>
          </w:p>
        </w:tc>
      </w:tr>
      <w:tr>
        <w:trPr>
          <w:trHeight w:val="20"/>
        </w:trPr>
        <w:tc>
          <w:tcPr>
            <w:tcW w:w="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74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42)</w:t>
            </w:r>
          </w:p>
        </w:tc>
        <w:tc>
          <w:tcPr>
            <w:tcW w:w="3100" w:type="dxa"/>
            <w:vAlign w:val="bottom"/>
            <w:gridSpan w:val="3"/>
          </w:tcPr>
          <w:p>
            <w:pPr>
              <w:jc w:val="center"/>
              <w:ind w:left="2262"/>
              <w:spacing w:after="0"/>
              <w:rPr>
                <w:rFonts w:ascii="Times New Roman" w:cs="Times New Roman" w:eastAsia="Times New Roman" w:hAnsi="Times New Roman"/>
                <w:sz w:val="16"/>
                <w:szCs w:val="16"/>
                <w:color w:val="0000FF"/>
                <w:w w:val="99"/>
              </w:rPr>
            </w:pPr>
            <w:hyperlink w:anchor="page39">
              <w:r>
                <w:rPr>
                  <w:rFonts w:ascii="Times New Roman" w:cs="Times New Roman" w:eastAsia="Times New Roman" w:hAnsi="Times New Roman"/>
                  <w:sz w:val="16"/>
                  <w:szCs w:val="16"/>
                  <w:color w:val="0000FF"/>
                  <w:w w:val="99"/>
                </w:rPr>
                <w:t>33</w:t>
              </w:r>
            </w:hyperlink>
          </w:p>
        </w:tc>
      </w:tr>
      <w:tr>
        <w:trPr>
          <w:trHeight w:val="20"/>
        </w:trPr>
        <w:tc>
          <w:tcPr>
            <w:tcW w:w="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1820" w:type="dxa"/>
            <w:vAlign w:val="bottom"/>
          </w:tcPr>
          <w:p>
            <w:pPr>
              <w:spacing w:after="0"/>
              <w:rPr>
                <w:rFonts w:ascii="Times New Roman" w:cs="Times New Roman" w:eastAsia="Times New Roman" w:hAnsi="Times New Roman"/>
                <w:sz w:val="16"/>
                <w:szCs w:val="16"/>
                <w:color w:val="0000FF"/>
                <w:w w:val="96"/>
              </w:rPr>
            </w:pPr>
            <w:hyperlink w:anchor="page40">
              <w:r>
                <w:rPr>
                  <w:rFonts w:ascii="Times New Roman" w:cs="Times New Roman" w:eastAsia="Times New Roman" w:hAnsi="Times New Roman"/>
                  <w:sz w:val="16"/>
                  <w:szCs w:val="16"/>
                  <w:color w:val="0000FF"/>
                  <w:w w:val="96"/>
                </w:rPr>
                <w:t>Consolidated Balance Sheets</w:t>
              </w:r>
            </w:hyperlink>
          </w:p>
        </w:tc>
        <w:tc>
          <w:tcPr>
            <w:tcW w:w="1820" w:type="dxa"/>
            <w:vAlign w:val="bottom"/>
            <w:gridSpan w:val="5"/>
          </w:tcPr>
          <w:p>
            <w:pPr>
              <w:spacing w:after="0"/>
              <w:rPr>
                <w:sz w:val="16"/>
                <w:szCs w:val="16"/>
                <w:color w:val="auto"/>
              </w:rPr>
            </w:pPr>
          </w:p>
        </w:tc>
        <w:tc>
          <w:tcPr>
            <w:tcW w:w="376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460" w:type="dxa"/>
            <w:vAlign w:val="bottom"/>
            <w:gridSpan w:val="2"/>
          </w:tcPr>
          <w:p>
            <w:pPr>
              <w:jc w:val="center"/>
              <w:ind w:right="300"/>
              <w:spacing w:after="0"/>
              <w:rPr>
                <w:rFonts w:ascii="Times New Roman" w:cs="Times New Roman" w:eastAsia="Times New Roman" w:hAnsi="Times New Roman"/>
                <w:sz w:val="16"/>
                <w:szCs w:val="16"/>
                <w:color w:val="0000FF"/>
                <w:w w:val="99"/>
              </w:rPr>
            </w:pPr>
            <w:hyperlink w:anchor="page40">
              <w:r>
                <w:rPr>
                  <w:rFonts w:ascii="Times New Roman" w:cs="Times New Roman" w:eastAsia="Times New Roman" w:hAnsi="Times New Roman"/>
                  <w:sz w:val="16"/>
                  <w:szCs w:val="16"/>
                  <w:color w:val="0000FF"/>
                  <w:w w:val="99"/>
                </w:rPr>
                <w:t>34</w:t>
              </w:r>
            </w:hyperlink>
          </w:p>
        </w:tc>
      </w:tr>
      <w:tr>
        <w:trPr>
          <w:trHeight w:val="20"/>
        </w:trPr>
        <w:tc>
          <w:tcPr>
            <w:tcW w:w="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7400" w:type="dxa"/>
            <w:vAlign w:val="bottom"/>
            <w:gridSpan w:val="8"/>
          </w:tcPr>
          <w:p>
            <w:pPr>
              <w:spacing w:after="0"/>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Consolidated Statements of Operations</w:t>
              </w:r>
            </w:hyperlink>
          </w:p>
        </w:tc>
        <w:tc>
          <w:tcPr>
            <w:tcW w:w="3100" w:type="dxa"/>
            <w:vAlign w:val="bottom"/>
            <w:gridSpan w:val="3"/>
          </w:tcPr>
          <w:p>
            <w:pPr>
              <w:jc w:val="center"/>
              <w:ind w:left="2262"/>
              <w:spacing w:after="0"/>
              <w:rPr>
                <w:rFonts w:ascii="Times New Roman" w:cs="Times New Roman" w:eastAsia="Times New Roman" w:hAnsi="Times New Roman"/>
                <w:sz w:val="16"/>
                <w:szCs w:val="16"/>
                <w:color w:val="0000FF"/>
                <w:w w:val="99"/>
              </w:rPr>
            </w:pPr>
            <w:hyperlink w:anchor="page41">
              <w:r>
                <w:rPr>
                  <w:rFonts w:ascii="Times New Roman" w:cs="Times New Roman" w:eastAsia="Times New Roman" w:hAnsi="Times New Roman"/>
                  <w:sz w:val="16"/>
                  <w:szCs w:val="16"/>
                  <w:color w:val="0000FF"/>
                  <w:w w:val="99"/>
                </w:rPr>
                <w:t>35</w:t>
              </w:r>
            </w:hyperlink>
          </w:p>
        </w:tc>
      </w:tr>
      <w:tr>
        <w:trPr>
          <w:trHeight w:val="20"/>
        </w:trPr>
        <w:tc>
          <w:tcPr>
            <w:tcW w:w="6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3080" w:type="dxa"/>
            <w:vAlign w:val="bottom"/>
            <w:gridSpan w:val="5"/>
          </w:tcPr>
          <w:p>
            <w:pPr>
              <w:spacing w:after="0"/>
              <w:rPr>
                <w:rFonts w:ascii="Times New Roman" w:cs="Times New Roman" w:eastAsia="Times New Roman" w:hAnsi="Times New Roman"/>
                <w:sz w:val="16"/>
                <w:szCs w:val="16"/>
                <w:color w:val="0000FF"/>
                <w:w w:val="97"/>
              </w:rPr>
            </w:pPr>
            <w:hyperlink w:anchor="page42">
              <w:r>
                <w:rPr>
                  <w:rFonts w:ascii="Times New Roman" w:cs="Times New Roman" w:eastAsia="Times New Roman" w:hAnsi="Times New Roman"/>
                  <w:sz w:val="16"/>
                  <w:szCs w:val="16"/>
                  <w:color w:val="0000FF"/>
                  <w:w w:val="97"/>
                </w:rPr>
                <w:t>Consolidated Statements of Comprehensive Loss</w:t>
              </w:r>
            </w:hyperlink>
          </w:p>
        </w:tc>
        <w:tc>
          <w:tcPr>
            <w:tcW w:w="4320" w:type="dxa"/>
            <w:vAlign w:val="bottom"/>
            <w:gridSpan w:val="3"/>
          </w:tcPr>
          <w:p>
            <w:pPr>
              <w:spacing w:after="0"/>
              <w:rPr>
                <w:sz w:val="16"/>
                <w:szCs w:val="16"/>
                <w:color w:val="auto"/>
              </w:rPr>
            </w:pPr>
          </w:p>
        </w:tc>
        <w:tc>
          <w:tcPr>
            <w:tcW w:w="2640" w:type="dxa"/>
            <w:vAlign w:val="bottom"/>
          </w:tcPr>
          <w:p>
            <w:pPr>
              <w:spacing w:after="0"/>
              <w:rPr>
                <w:sz w:val="16"/>
                <w:szCs w:val="16"/>
                <w:color w:val="auto"/>
              </w:rPr>
            </w:pPr>
          </w:p>
        </w:tc>
        <w:tc>
          <w:tcPr>
            <w:tcW w:w="460" w:type="dxa"/>
            <w:vAlign w:val="bottom"/>
            <w:gridSpan w:val="2"/>
          </w:tcPr>
          <w:p>
            <w:pPr>
              <w:jc w:val="center"/>
              <w:ind w:right="300"/>
              <w:spacing w:after="0"/>
              <w:rPr>
                <w:rFonts w:ascii="Times New Roman" w:cs="Times New Roman" w:eastAsia="Times New Roman" w:hAnsi="Times New Roman"/>
                <w:sz w:val="16"/>
                <w:szCs w:val="16"/>
                <w:color w:val="0000FF"/>
                <w:w w:val="99"/>
              </w:rPr>
            </w:pPr>
            <w:hyperlink w:anchor="page42">
              <w:r>
                <w:rPr>
                  <w:rFonts w:ascii="Times New Roman" w:cs="Times New Roman" w:eastAsia="Times New Roman" w:hAnsi="Times New Roman"/>
                  <w:sz w:val="16"/>
                  <w:szCs w:val="16"/>
                  <w:color w:val="0000FF"/>
                  <w:w w:val="99"/>
                </w:rPr>
                <w:t>36</w:t>
              </w:r>
            </w:hyperlink>
          </w:p>
        </w:tc>
      </w:tr>
      <w:tr>
        <w:trPr>
          <w:trHeight w:val="20"/>
        </w:trPr>
        <w:tc>
          <w:tcPr>
            <w:tcW w:w="6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3820" w:type="dxa"/>
            <w:vAlign w:val="bottom"/>
            <w:gridSpan w:val="7"/>
          </w:tcPr>
          <w:p>
            <w:pPr>
              <w:spacing w:after="0"/>
              <w:rPr>
                <w:rFonts w:ascii="Times New Roman" w:cs="Times New Roman" w:eastAsia="Times New Roman" w:hAnsi="Times New Roman"/>
                <w:sz w:val="16"/>
                <w:szCs w:val="16"/>
                <w:color w:val="0000FF"/>
                <w:w w:val="97"/>
              </w:rPr>
            </w:pPr>
            <w:hyperlink w:anchor="page43">
              <w:r>
                <w:rPr>
                  <w:rFonts w:ascii="Times New Roman" w:cs="Times New Roman" w:eastAsia="Times New Roman" w:hAnsi="Times New Roman"/>
                  <w:sz w:val="16"/>
                  <w:szCs w:val="16"/>
                  <w:color w:val="0000FF"/>
                  <w:w w:val="97"/>
                </w:rPr>
                <w:t>Consolidated Statements of Changes in Stockholders’ Equity</w:t>
              </w:r>
            </w:hyperlink>
          </w:p>
        </w:tc>
        <w:tc>
          <w:tcPr>
            <w:tcW w:w="35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60" w:type="dxa"/>
            <w:vAlign w:val="bottom"/>
            <w:gridSpan w:val="2"/>
          </w:tcPr>
          <w:p>
            <w:pPr>
              <w:jc w:val="center"/>
              <w:ind w:right="300"/>
              <w:spacing w:after="0"/>
              <w:rPr>
                <w:rFonts w:ascii="Times New Roman" w:cs="Times New Roman" w:eastAsia="Times New Roman" w:hAnsi="Times New Roman"/>
                <w:sz w:val="16"/>
                <w:szCs w:val="16"/>
                <w:color w:val="0000FF"/>
                <w:w w:val="99"/>
              </w:rPr>
            </w:pPr>
            <w:hyperlink w:anchor="page43">
              <w:r>
                <w:rPr>
                  <w:rFonts w:ascii="Times New Roman" w:cs="Times New Roman" w:eastAsia="Times New Roman" w:hAnsi="Times New Roman"/>
                  <w:sz w:val="16"/>
                  <w:szCs w:val="16"/>
                  <w:color w:val="0000FF"/>
                  <w:w w:val="99"/>
                </w:rPr>
                <w:t>37</w:t>
              </w:r>
            </w:hyperlink>
          </w:p>
        </w:tc>
      </w:tr>
      <w:tr>
        <w:trPr>
          <w:trHeight w:val="20"/>
        </w:trPr>
        <w:tc>
          <w:tcPr>
            <w:tcW w:w="6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2500" w:type="dxa"/>
            <w:vAlign w:val="bottom"/>
            <w:gridSpan w:val="3"/>
          </w:tcPr>
          <w:p>
            <w:pPr>
              <w:spacing w:after="0"/>
              <w:rPr>
                <w:rFonts w:ascii="Times New Roman" w:cs="Times New Roman" w:eastAsia="Times New Roman" w:hAnsi="Times New Roman"/>
                <w:sz w:val="16"/>
                <w:szCs w:val="16"/>
                <w:color w:val="0000FF"/>
                <w:w w:val="97"/>
              </w:rPr>
            </w:pPr>
            <w:hyperlink w:anchor="page44">
              <w:r>
                <w:rPr>
                  <w:rFonts w:ascii="Times New Roman" w:cs="Times New Roman" w:eastAsia="Times New Roman" w:hAnsi="Times New Roman"/>
                  <w:sz w:val="16"/>
                  <w:szCs w:val="16"/>
                  <w:color w:val="0000FF"/>
                  <w:w w:val="97"/>
                </w:rPr>
                <w:t>Consolidated Statements of Cash Flows</w:t>
              </w:r>
            </w:hyperlink>
          </w:p>
        </w:tc>
        <w:tc>
          <w:tcPr>
            <w:tcW w:w="1320" w:type="dxa"/>
            <w:vAlign w:val="bottom"/>
            <w:gridSpan w:val="4"/>
          </w:tcPr>
          <w:p>
            <w:pPr>
              <w:spacing w:after="0"/>
              <w:rPr>
                <w:sz w:val="16"/>
                <w:szCs w:val="16"/>
                <w:color w:val="auto"/>
              </w:rPr>
            </w:pPr>
          </w:p>
        </w:tc>
        <w:tc>
          <w:tcPr>
            <w:tcW w:w="35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60" w:type="dxa"/>
            <w:vAlign w:val="bottom"/>
            <w:gridSpan w:val="2"/>
          </w:tcPr>
          <w:p>
            <w:pPr>
              <w:jc w:val="center"/>
              <w:ind w:right="300"/>
              <w:spacing w:after="0"/>
              <w:rPr>
                <w:rFonts w:ascii="Times New Roman" w:cs="Times New Roman" w:eastAsia="Times New Roman" w:hAnsi="Times New Roman"/>
                <w:sz w:val="16"/>
                <w:szCs w:val="16"/>
                <w:color w:val="0000FF"/>
                <w:w w:val="99"/>
              </w:rPr>
            </w:pPr>
            <w:hyperlink w:anchor="page44">
              <w:r>
                <w:rPr>
                  <w:rFonts w:ascii="Times New Roman" w:cs="Times New Roman" w:eastAsia="Times New Roman" w:hAnsi="Times New Roman"/>
                  <w:sz w:val="16"/>
                  <w:szCs w:val="16"/>
                  <w:color w:val="0000FF"/>
                  <w:w w:val="99"/>
                </w:rPr>
                <w:t>38</w:t>
              </w:r>
            </w:hyperlink>
          </w:p>
        </w:tc>
      </w:tr>
      <w:tr>
        <w:trPr>
          <w:trHeight w:val="20"/>
        </w:trPr>
        <w:tc>
          <w:tcPr>
            <w:tcW w:w="6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7400" w:type="dxa"/>
            <w:vAlign w:val="bottom"/>
            <w:gridSpan w:val="8"/>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Notes to the Consolidated Financial Statements</w:t>
              </w:r>
            </w:hyperlink>
          </w:p>
        </w:tc>
        <w:tc>
          <w:tcPr>
            <w:tcW w:w="3100" w:type="dxa"/>
            <w:vAlign w:val="bottom"/>
            <w:gridSpan w:val="3"/>
          </w:tcPr>
          <w:p>
            <w:pPr>
              <w:jc w:val="center"/>
              <w:ind w:left="2262"/>
              <w:spacing w:after="0"/>
              <w:rPr>
                <w:rFonts w:ascii="Times New Roman" w:cs="Times New Roman" w:eastAsia="Times New Roman" w:hAnsi="Times New Roman"/>
                <w:sz w:val="16"/>
                <w:szCs w:val="16"/>
                <w:color w:val="0000FF"/>
                <w:w w:val="99"/>
              </w:rPr>
            </w:pPr>
            <w:hyperlink w:anchor="page45">
              <w:r>
                <w:rPr>
                  <w:rFonts w:ascii="Times New Roman" w:cs="Times New Roman" w:eastAsia="Times New Roman" w:hAnsi="Times New Roman"/>
                  <w:sz w:val="16"/>
                  <w:szCs w:val="16"/>
                  <w:color w:val="0000FF"/>
                  <w:w w:val="99"/>
                </w:rPr>
                <w:t>39</w:t>
              </w:r>
            </w:hyperlink>
          </w:p>
        </w:tc>
      </w:tr>
      <w:tr>
        <w:trPr>
          <w:trHeight w:val="916"/>
        </w:trPr>
        <w:tc>
          <w:tcPr>
            <w:tcW w:w="60" w:type="dxa"/>
            <w:vAlign w:val="bottom"/>
            <w:tcBorders>
              <w:bottom w:val="single" w:sz="8" w:color="EEEEEE"/>
            </w:tcBorders>
          </w:tcPr>
          <w:p>
            <w:pPr>
              <w:spacing w:after="0"/>
              <w:rPr>
                <w:sz w:val="24"/>
                <w:szCs w:val="24"/>
                <w:color w:val="auto"/>
              </w:rPr>
            </w:pPr>
          </w:p>
        </w:tc>
        <w:tc>
          <w:tcPr>
            <w:tcW w:w="1820" w:type="dxa"/>
            <w:vAlign w:val="bottom"/>
            <w:tcBorders>
              <w:top w:val="single" w:sz="8" w:color="0000FF"/>
              <w:bottom w:val="single" w:sz="8" w:color="EEEEEE"/>
            </w:tcBorders>
          </w:tcPr>
          <w:p>
            <w:pPr>
              <w:spacing w:after="0"/>
              <w:rPr>
                <w:sz w:val="24"/>
                <w:szCs w:val="24"/>
                <w:color w:val="auto"/>
              </w:rPr>
            </w:pPr>
          </w:p>
        </w:tc>
        <w:tc>
          <w:tcPr>
            <w:tcW w:w="620" w:type="dxa"/>
            <w:vAlign w:val="bottom"/>
            <w:tcBorders>
              <w:top w:val="single" w:sz="8" w:color="0000FF"/>
              <w:bottom w:val="single" w:sz="8" w:color="EEEEEE"/>
            </w:tcBorders>
          </w:tcPr>
          <w:p>
            <w:pPr>
              <w:spacing w:after="0"/>
              <w:rPr>
                <w:sz w:val="24"/>
                <w:szCs w:val="24"/>
                <w:color w:val="auto"/>
              </w:rPr>
            </w:pPr>
          </w:p>
        </w:tc>
        <w:tc>
          <w:tcPr>
            <w:tcW w:w="60" w:type="dxa"/>
            <w:vAlign w:val="bottom"/>
            <w:tcBorders>
              <w:top w:val="single" w:sz="8" w:color="0000FF"/>
              <w:bottom w:val="single" w:sz="8" w:color="EEEEEE"/>
            </w:tcBorders>
          </w:tcPr>
          <w:p>
            <w:pPr>
              <w:spacing w:after="0"/>
              <w:rPr>
                <w:sz w:val="24"/>
                <w:szCs w:val="24"/>
                <w:color w:val="auto"/>
              </w:rPr>
            </w:pPr>
          </w:p>
        </w:tc>
        <w:tc>
          <w:tcPr>
            <w:tcW w:w="440" w:type="dxa"/>
            <w:vAlign w:val="bottom"/>
            <w:tcBorders>
              <w:top w:val="single" w:sz="8" w:color="0000FF"/>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58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160" w:type="dxa"/>
            <w:vAlign w:val="bottom"/>
            <w:tcBorders>
              <w:top w:val="single" w:sz="8" w:color="0000FF"/>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Bakkt Holdings,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190" w:lineRule="exact"/>
        <w:rPr>
          <w:sz w:val="20"/>
          <w:szCs w:val="20"/>
          <w:color w:val="auto"/>
        </w:rPr>
      </w:pPr>
    </w:p>
    <w:p>
      <w:pPr>
        <w:jc w:val="both"/>
        <w:ind w:right="20"/>
        <w:spacing w:after="0" w:line="34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Bakkt Holdings, Inc. and subsidiaries (the Company) as of December 31, 2024, the related consolidated statements of operations, comprehensive loss, changes in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March 19, 2025 (not presented herein), expressed an unqualified opinion on the effectiveness of the Company’s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Accounting Principle</w:t>
      </w:r>
    </w:p>
    <w:p>
      <w:pPr>
        <w:spacing w:after="0" w:line="19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changed its method of accounting for obligations to safeguard crypto assets for others as of December 31, 2024 due to the adoption of SEC Staff Accounting Bulletin 122.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w:t>
      </w:r>
    </w:p>
    <w:p>
      <w:pPr>
        <w:spacing w:after="0" w:line="19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Matters</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Assessment of obligation to securely store crypto assets</w:t>
      </w:r>
    </w:p>
    <w:p>
      <w:pPr>
        <w:spacing w:after="0" w:line="19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As discussed in Notes 1, 2, and 15 to the consolidated financial statements, the Company is obligated to securely store crypto assets that it holds for customers, a substantial portion of which are held in cold storage. The Company has third-party custodial relationships and self-custodies select coins. The Company may be liable to its customers for losses arising from the Company’s failure to secure crypto assets from theft or loss. The Company has not incurred any losses related to such an obligation and therefore has not accrued a liability for losses as of December 31, 2024.</w:t>
      </w:r>
    </w:p>
    <w:p>
      <w:pPr>
        <w:spacing w:after="0" w:line="131"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4"/>
          <w:szCs w:val="14"/>
          <w:color w:val="auto"/>
        </w:rPr>
        <w:t>We identified the assessment of the obligation to securely store crypto assets held for customers in cold storage as a critical audit matter. A high degree of auditor judgment was involved in determining the nature and extent of audit evidence required to assess the existence of and rights to the crypto assets held for customers in cold storage, as control over these crypto assets is provided through private keys either stored using third-party custodial services or held in self-custodied cold wallets.</w:t>
      </w:r>
    </w:p>
    <w:p>
      <w:pPr>
        <w:spacing w:after="0" w:line="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over the existence of and the Company’s rights to the crypto assets held for customers as of December 31, 2024. We involved professionals with specialized skills and knowledge in blockchain technology, who assisted in evaluating the design and operating effectiveness of certain internal controls over the crypto assets held in cold storage and assessing the reliability of audit evidence obtained from public blockchains. For crypto assets held with third-party custodians, we obtained confirmations of the Company’s crypto asset balances as of December 31, 2024 and compared the results of the confirmations to the Company’s records. For crypto assets held in self-custodied cold wallets, we obtained evidence that management had control of the private keys required to access these crypto assets by observing the movement of selected crypto assets subsequent to year-end using the related private keys. We also compared the Company’s records of selected crypto assets held for customers in cold storage to the records on the public blockchain using a proprietary software audit tool.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the Company’s ability to continue as a going concern</w:t>
      </w:r>
    </w:p>
    <w:p>
      <w:pPr>
        <w:spacing w:after="0" w:line="19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4"/>
          <w:szCs w:val="14"/>
          <w:color w:val="auto"/>
        </w:rPr>
        <w:t>As discussed in Note 2 to the consolidated financial statements, the Company has incurred net losses and consumed cash in excess of cash inflows from operations and fundraising. The Company’s accumulated deficit totaled $798.0 million as of December 31, 2024. Due to these ongoing losses, the Company has been executing a strategic plan to optimize capital allocation and reduce cash expenses since the fourth quarter of 2022. The Company’s fully implemented operating budgets and forecasts, which exclude forecasts for new products or markets and reflect the loss of its largest crypto client, raise substantial doubt about the Company ability to meet its obligations for at least 12 months from the date of issuance of these consolidated financial statements. The Company plans to enact cost reduction measures including personnel reductions, a hiring freeze, changes to vendors and additional discretionary spending cuts to preserve and extend cash to fund operations. Significantly expanding their revenue base is critical to be able to generate a sustainable operating profit. There is significant uncertainty associated with their expansion to new markets and the growth of their revenue base given the uncertain and rapidly evolving environment associated with crypto assets. Management believes that its planned cost reduction measures can be successfully implemented and alleviate the substantial doubt that was raised about the Company’s ability to continue as a going concern.</w:t>
      </w:r>
    </w:p>
    <w:p>
      <w:pPr>
        <w:spacing w:after="0" w:line="15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identified the evaluation of the Company’s assessment of its ability to continue as a going concern and related disclosures as a critical audit matter. A high degree of audit effort and subjective and complex auditor judgment was involved in the assessment. Specifically, the assessment encompassed the evaluation of the Company's forecasted cash flows used in its going concern analysis, including the revenue growth rate assumptions and the impact of management’s planned cost reduction measures.</w:t>
      </w:r>
    </w:p>
    <w:p>
      <w:pPr>
        <w:spacing w:after="0" w:line="167"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 the operating effectiveness of certain internal controls related to the Company’s going concern assessment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forecasted cash flows, including controls over the determination of the revenue growth rates and the impact of management’s planned cost reduction measures over the twelve-month period following the date the consolidated financial statements are issued. We compared the Company’s historical forecasted cash flows to actual results to assess the Company’s ability to accurately forecast. We evaluated the Company’s assumptions related to the revenue growth rates by considering whether the assumptions were consistent with evidence obtained in other areas of the audit. We evaluated the effect on the forecasted cash flows of the loss of its largest crypto client and the cost reduction measures identified by management that alleviate the substantial doubt about the Company’s ability to continue as a going concern by inspecting supporting analyses. We performed sensitivity analyses over the forecasted cash flows on the Company’s going concern assessment. We assessed the Company’s disclosures related to its going concern assessment by comparing the disclosures to the audit evidence obtained.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for and Fair Values of Class 1 and Class 2 Warrants</w:t>
      </w:r>
    </w:p>
    <w:p>
      <w:pPr>
        <w:spacing w:after="0" w:line="19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As discussed in Notes 10 and 17, the Company issued Class 1 and Class 2 warrants in connection with its 2024 Registered Direct Offerings. Based on the terms of the warrant agreements, the Company determined that these warrants meet the criteria to be accounted for as liabilities, and were therefore recorded at fair value at grant date and are subsequently re-measured to fair value at each reporting date. Since the second quarter 2024, the Class 1 and Class 2 warrants were valued using the Black-Scholes-Merton model and a binomial lattice model, respectively. Prior to the second quarter of 2024, the Class 1 and Class 2 warrants were valued using the Black-Scholes-Merton model and a Monte Carlo simulation, respectively.The significant inputs used for the fair value measurement of these warrants include expected volatility of movement in the price of stock underlying the warrants, continuous risk-free rate, and expected term. The combined grant date fair values for the Class 1 and Class 2 warrants were $27.7 million and $2.6 million on March 4, 2024 and April 25, 2024, respectively. As of December 31, 2024, the combined fair value of the Class 1 and Class 2 warrants was $42.8 million.</w:t>
      </w:r>
    </w:p>
    <w:p>
      <w:pPr>
        <w:spacing w:after="0" w:line="137" w:lineRule="exact"/>
        <w:rPr>
          <w:sz w:val="20"/>
          <w:szCs w:val="20"/>
          <w:color w:val="auto"/>
        </w:rPr>
      </w:pPr>
    </w:p>
    <w:p>
      <w:pPr>
        <w:jc w:val="both"/>
        <w:ind w:right="40"/>
        <w:spacing w:after="0" w:line="290" w:lineRule="auto"/>
        <w:rPr>
          <w:sz w:val="20"/>
          <w:szCs w:val="20"/>
          <w:color w:val="auto"/>
        </w:rPr>
      </w:pPr>
      <w:r>
        <w:rPr>
          <w:rFonts w:ascii="Times New Roman" w:cs="Times New Roman" w:eastAsia="Times New Roman" w:hAnsi="Times New Roman"/>
          <w:sz w:val="16"/>
          <w:szCs w:val="16"/>
          <w:color w:val="auto"/>
        </w:rPr>
        <w:t>We identified the assessment of the accounting for and the fair values of the Class 1 and Class 2 warrants as of the grant dates and December 31, 2024 as a critical audit matter. A high degree of effort, including specialized skills and knowledge, and subjective and complex auditor judgment was involved in the assessment. Specifically, the assessment encompassed (1) assessing the warrant features, which required interpretation of complex terms of the agreements in order to apply the appropriate accounting guidance, and (2) evaluating the selection of the valuation models and the expected volatility assumption.</w:t>
      </w:r>
    </w:p>
    <w:p>
      <w:pPr>
        <w:spacing w:after="0" w:line="131" w:lineRule="exact"/>
        <w:rPr>
          <w:sz w:val="20"/>
          <w:szCs w:val="20"/>
          <w:color w:val="auto"/>
        </w:rPr>
      </w:pPr>
    </w:p>
    <w:p>
      <w:pPr>
        <w:jc w:val="both"/>
        <w:ind w:right="40"/>
        <w:spacing w:after="0" w:line="288"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accounting analysis and fair value measurements of its Class 1 and Class 2 warrants, including the determination of the appropriate valuation models and expected volatility assumption. We evaluated management’s accounting analysis for these warrants by reading the terms of the Class 1 and Class 2 warrants for compliance with U.S. generally accepted accounting principles. We involved valuation professionals with specialized skills and knowledge, who assisted in:</w:t>
      </w:r>
    </w:p>
    <w:p>
      <w:pPr>
        <w:spacing w:after="0" w:line="120" w:lineRule="exact"/>
        <w:rPr>
          <w:sz w:val="20"/>
          <w:szCs w:val="20"/>
          <w:color w:val="auto"/>
        </w:rPr>
      </w:pPr>
    </w:p>
    <w:p>
      <w:pPr>
        <w:ind w:left="300" w:hanging="294"/>
        <w:spacing w:after="0"/>
        <w:tabs>
          <w:tab w:leader="none" w:pos="300" w:val="left"/>
        </w:tabs>
        <w:numPr>
          <w:ilvl w:val="0"/>
          <w:numId w:val="14"/>
        </w:numPr>
        <w:rPr>
          <w:rFonts w:ascii="Arial" w:cs="Arial" w:eastAsia="Arial" w:hAnsi="Arial"/>
          <w:sz w:val="16"/>
          <w:szCs w:val="16"/>
          <w:color w:val="auto"/>
        </w:rPr>
      </w:pPr>
      <w:r>
        <w:rPr>
          <w:rFonts w:ascii="Times New Roman" w:cs="Times New Roman" w:eastAsia="Times New Roman" w:hAnsi="Times New Roman"/>
          <w:sz w:val="16"/>
          <w:szCs w:val="16"/>
          <w:color w:val="auto"/>
        </w:rPr>
        <w:t>Assessing the appropriateness of the valuation model applied to each class of warrants by considering the contractual features of the warrants</w:t>
      </w:r>
    </w:p>
    <w:p>
      <w:pPr>
        <w:spacing w:after="0" w:line="67" w:lineRule="exact"/>
        <w:rPr>
          <w:rFonts w:ascii="Arial" w:cs="Arial" w:eastAsia="Arial" w:hAnsi="Arial"/>
          <w:sz w:val="16"/>
          <w:szCs w:val="16"/>
          <w:color w:val="auto"/>
        </w:rPr>
      </w:pPr>
    </w:p>
    <w:p>
      <w:pPr>
        <w:ind w:left="300" w:hanging="294"/>
        <w:spacing w:after="0"/>
        <w:tabs>
          <w:tab w:leader="none" w:pos="300" w:val="left"/>
        </w:tabs>
        <w:numPr>
          <w:ilvl w:val="0"/>
          <w:numId w:val="14"/>
        </w:numPr>
        <w:rPr>
          <w:rFonts w:ascii="Arial" w:cs="Arial" w:eastAsia="Arial" w:hAnsi="Arial"/>
          <w:sz w:val="16"/>
          <w:szCs w:val="16"/>
          <w:color w:val="auto"/>
        </w:rPr>
      </w:pPr>
      <w:r>
        <w:rPr>
          <w:rFonts w:ascii="Times New Roman" w:cs="Times New Roman" w:eastAsia="Times New Roman" w:hAnsi="Times New Roman"/>
          <w:sz w:val="16"/>
          <w:szCs w:val="16"/>
          <w:color w:val="auto"/>
        </w:rPr>
        <w:t>Evaluating the expected volatility assumption used by management by comparing to external market data</w:t>
      </w:r>
    </w:p>
    <w:p>
      <w:pPr>
        <w:spacing w:after="0" w:line="67" w:lineRule="exact"/>
        <w:rPr>
          <w:rFonts w:ascii="Arial" w:cs="Arial" w:eastAsia="Arial" w:hAnsi="Arial"/>
          <w:sz w:val="16"/>
          <w:szCs w:val="16"/>
          <w:color w:val="auto"/>
        </w:rPr>
      </w:pPr>
    </w:p>
    <w:p>
      <w:pPr>
        <w:ind w:left="300" w:hanging="294"/>
        <w:spacing w:after="0"/>
        <w:tabs>
          <w:tab w:leader="none" w:pos="300" w:val="left"/>
        </w:tabs>
        <w:numPr>
          <w:ilvl w:val="0"/>
          <w:numId w:val="14"/>
        </w:numPr>
        <w:rPr>
          <w:rFonts w:ascii="Arial" w:cs="Arial" w:eastAsia="Arial" w:hAnsi="Arial"/>
          <w:sz w:val="16"/>
          <w:szCs w:val="16"/>
          <w:color w:val="auto"/>
        </w:rPr>
      </w:pPr>
      <w:r>
        <w:rPr>
          <w:rFonts w:ascii="Times New Roman" w:cs="Times New Roman" w:eastAsia="Times New Roman" w:hAnsi="Times New Roman"/>
          <w:sz w:val="16"/>
          <w:szCs w:val="16"/>
          <w:color w:val="auto"/>
        </w:rPr>
        <w:t>Comparing management’s fair values with independently developed fair values using an independently developed expected volatility assumption.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impairment assessment</w:t>
      </w:r>
    </w:p>
    <w:p>
      <w:pPr>
        <w:spacing w:after="0" w:line="190" w:lineRule="exact"/>
        <w:rPr>
          <w:sz w:val="20"/>
          <w:szCs w:val="20"/>
          <w:color w:val="auto"/>
        </w:rPr>
      </w:pPr>
    </w:p>
    <w:p>
      <w:pPr>
        <w:jc w:val="both"/>
        <w:ind w:right="40"/>
        <w:spacing w:after="0" w:line="294" w:lineRule="auto"/>
        <w:rPr>
          <w:sz w:val="20"/>
          <w:szCs w:val="20"/>
          <w:color w:val="auto"/>
        </w:rPr>
      </w:pPr>
      <w:r>
        <w:rPr>
          <w:rFonts w:ascii="Times New Roman" w:cs="Times New Roman" w:eastAsia="Times New Roman" w:hAnsi="Times New Roman"/>
          <w:sz w:val="16"/>
          <w:szCs w:val="16"/>
          <w:color w:val="auto"/>
        </w:rPr>
        <w:t>As discussed in Note 2 and 6 to the consolidated financial statements, the carrying value of the Company’s goodwill balance is $68 million as December 31, 2024. The Company, which is organized and operates a single reporting unit, performs goodwill impairment testing on an annual basis as of October 1st of each year. The Company also performs testing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587375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frequently when events or circumstances occur that indicate that it is more likely than not that an impairment has occurred.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The market approach valuation was derived from metrics of the GPCs and management estimates of future performance with consideration for a control premium. A significant judgment in using the market approach includes the selection of comparable GPCs with consideration of risk profiles, size, geography, and business operations. The Company’s quantitative impairment test did not result in any goodwill impairment.</w:t>
      </w:r>
    </w:p>
    <w:p>
      <w:pPr>
        <w:spacing w:after="0" w:line="14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identified the Company’s goodwill impairment assessment as a critical audit matter. A high degree of effort, including specialized skills and knowledge, and subjective and complex auditor judgment was involved in the assessment. Specifically, the assessment encompassed the evaluation of the valuation approaches and significant assumptions used to estimate fair value of the reporting unit, including (1) revenue growth rates, (2) discount rates (including the company-specific risk premium assumption), and (3) control premium.</w:t>
      </w:r>
    </w:p>
    <w:p>
      <w:pPr>
        <w:spacing w:after="0" w:line="13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estimated fair value of the reporting unit, including controls over the application of valuation approaches and development of the significant assumptions. We evaluated the Company’s revenue growth rates by comparing it to historical results and relevant market data. We involved valuation professionals with specialized skills and knowledge, who assisted in:</w:t>
      </w:r>
    </w:p>
    <w:p>
      <w:pPr>
        <w:spacing w:after="0" w:line="119" w:lineRule="exact"/>
        <w:rPr>
          <w:sz w:val="20"/>
          <w:szCs w:val="20"/>
          <w:color w:val="auto"/>
        </w:rPr>
      </w:pPr>
    </w:p>
    <w:p>
      <w:pPr>
        <w:ind w:left="300" w:hanging="294"/>
        <w:spacing w:after="0"/>
        <w:tabs>
          <w:tab w:leader="none" w:pos="300"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Evaluating the appropriateness of the Company’s valuation approaches for compliance with U.S. generally accepted accounting principles</w:t>
      </w:r>
    </w:p>
    <w:p>
      <w:pPr>
        <w:spacing w:after="0" w:line="67" w:lineRule="exact"/>
        <w:rPr>
          <w:rFonts w:ascii="Arial" w:cs="Arial" w:eastAsia="Arial" w:hAnsi="Arial"/>
          <w:sz w:val="16"/>
          <w:szCs w:val="16"/>
          <w:color w:val="auto"/>
        </w:rPr>
      </w:pPr>
    </w:p>
    <w:p>
      <w:pPr>
        <w:ind w:left="280" w:right="60" w:hanging="274"/>
        <w:spacing w:after="0" w:line="258" w:lineRule="auto"/>
        <w:tabs>
          <w:tab w:leader="none" w:pos="292"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Assessing the reasonableness of the Company’s discount rates (including the company-specific risk premium) by comparing it to independently developed discount rates using market data</w:t>
      </w:r>
    </w:p>
    <w:p>
      <w:pPr>
        <w:spacing w:after="0" w:line="35" w:lineRule="exact"/>
        <w:rPr>
          <w:rFonts w:ascii="Arial" w:cs="Arial" w:eastAsia="Arial" w:hAnsi="Arial"/>
          <w:sz w:val="16"/>
          <w:szCs w:val="16"/>
          <w:color w:val="auto"/>
        </w:rPr>
      </w:pPr>
    </w:p>
    <w:p>
      <w:pPr>
        <w:ind w:left="300" w:hanging="294"/>
        <w:spacing w:after="0"/>
        <w:tabs>
          <w:tab w:leader="none" w:pos="300"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Evaluating the control premium by comparing to publicly available data with consideration of specific attributes of the Company</w:t>
      </w:r>
    </w:p>
    <w:p>
      <w:pPr>
        <w:spacing w:after="0" w:line="67" w:lineRule="exact"/>
        <w:rPr>
          <w:rFonts w:ascii="Arial" w:cs="Arial" w:eastAsia="Arial" w:hAnsi="Arial"/>
          <w:sz w:val="16"/>
          <w:szCs w:val="16"/>
          <w:color w:val="auto"/>
        </w:rPr>
      </w:pPr>
    </w:p>
    <w:p>
      <w:pPr>
        <w:ind w:left="300" w:hanging="294"/>
        <w:spacing w:after="0"/>
        <w:tabs>
          <w:tab w:leader="none" w:pos="300"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Comparing the reporting unit’s fair value estimate to independently developed range of fair value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from 2024 to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19, 2025, except for the effects of the discontinued operations as discussed in Notes 3, 13, 18, 20 and 21, as to which the date is December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618490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Bakkt Holdings,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1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Bakkt Holdings, Inc. (the Company) as of December 31, 2023, and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served as the Company’s auditor from 2018 to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GA</w:t>
      </w:r>
    </w:p>
    <w:p>
      <w:pPr>
        <w:spacing w:after="0" w:line="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6"/>
          <w:szCs w:val="16"/>
          <w:color w:val="auto"/>
        </w:rPr>
        <w:t>March 25, 2024, except for the effects of Staff Accounting Bulletin 122 Accounting for Obligations to Safeguard Crypto-Assets an Entity Holds for its Platform Users, Accounting Standards Update 2023 -07,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630555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231F20"/>
        </w:rPr>
        <w:t>Bakkt Holdings, Inc.</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231F20"/>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(in thousands, except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1"/>
        </w:trPr>
        <w:tc>
          <w:tcPr>
            <w:tcW w:w="77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0" w:type="dxa"/>
            <w:vAlign w:val="bottom"/>
          </w:tcPr>
          <w:p>
            <w:pPr>
              <w:spacing w:after="0"/>
              <w:rPr>
                <w:sz w:val="1"/>
                <w:szCs w:val="1"/>
                <w:color w:val="auto"/>
              </w:rPr>
            </w:pPr>
          </w:p>
        </w:tc>
      </w:tr>
      <w:tr>
        <w:trPr>
          <w:trHeight w:val="190"/>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funds</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190"/>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0" w:type="dxa"/>
            <w:vAlign w:val="bottom"/>
          </w:tcPr>
          <w:p>
            <w:pPr>
              <w:spacing w:after="0"/>
              <w:rPr>
                <w:sz w:val="1"/>
                <w:szCs w:val="1"/>
                <w:color w:val="auto"/>
              </w:rPr>
            </w:pPr>
          </w:p>
        </w:tc>
      </w:tr>
      <w:tr>
        <w:trPr>
          <w:trHeight w:val="190"/>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insurance</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Assets of businesses held for sale</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23,132</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181,088</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of businesses held for sale</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11,007</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265,311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15,031</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funds payable</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190"/>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 current</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Due to related party</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0" w:type="dxa"/>
            <w:vAlign w:val="bottom"/>
          </w:tcPr>
          <w:p>
            <w:pPr>
              <w:spacing w:after="0"/>
              <w:rPr>
                <w:sz w:val="1"/>
                <w:szCs w:val="1"/>
                <w:color w:val="auto"/>
              </w:rPr>
            </w:pPr>
          </w:p>
        </w:tc>
      </w:tr>
      <w:tr>
        <w:trPr>
          <w:trHeight w:val="190"/>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 of businesses held for sale</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45,158</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0" w:type="dxa"/>
            <w:vAlign w:val="bottom"/>
          </w:tcPr>
          <w:p>
            <w:pPr>
              <w:spacing w:after="0"/>
              <w:rPr>
                <w:sz w:val="1"/>
                <w:szCs w:val="1"/>
                <w:color w:val="auto"/>
              </w:rPr>
            </w:pPr>
          </w:p>
        </w:tc>
      </w:tr>
      <w:tr>
        <w:trPr>
          <w:trHeight w:val="182"/>
        </w:trPr>
        <w:tc>
          <w:tcPr>
            <w:tcW w:w="77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100,518</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of businesses held for sale</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19,882</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129,597</w:t>
            </w:r>
          </w:p>
        </w:tc>
        <w:tc>
          <w:tcPr>
            <w:tcW w:w="0" w:type="dxa"/>
            <w:vAlign w:val="bottom"/>
          </w:tcPr>
          <w:p>
            <w:pPr>
              <w:spacing w:after="0"/>
              <w:rPr>
                <w:sz w:val="1"/>
                <w:szCs w:val="1"/>
                <w:color w:val="auto"/>
              </w:rPr>
            </w:pPr>
          </w:p>
        </w:tc>
      </w:tr>
      <w:tr>
        <w:trPr>
          <w:trHeight w:val="17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Class A common stock ($0.0001 par value, 30,000,000 shares authorized, 6,510,885 shares</w:t>
            </w: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issued and outstanding as of December 31, 2024 and 3,793,837 shares issued and outstanding</w:t>
            </w:r>
          </w:p>
        </w:tc>
        <w:tc>
          <w:tcPr>
            <w:tcW w:w="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7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Class V common stock ($0.0001 par value, 10,000,000 shares authorized, 7,178,303 shares</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7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issued and outstanding as of December 31, 2024 and 7,200,064 shares issued and outstanding</w:t>
            </w:r>
          </w:p>
        </w:tc>
        <w:tc>
          <w:tcPr>
            <w:tcW w:w="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799,683</w:t>
            </w:r>
          </w:p>
        </w:tc>
        <w:tc>
          <w:tcPr>
            <w:tcW w:w="0" w:type="dxa"/>
            <w:vAlign w:val="bottom"/>
          </w:tcPr>
          <w:p>
            <w:pPr>
              <w:spacing w:after="0"/>
              <w:rPr>
                <w:sz w:val="1"/>
                <w:szCs w:val="1"/>
                <w:color w:val="auto"/>
              </w:rPr>
            </w:pPr>
          </w:p>
        </w:tc>
      </w:tr>
      <w:tr>
        <w:trPr>
          <w:trHeight w:val="19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(797,960)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(751,301)</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48,282</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87,432</w:t>
            </w: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equity</w:t>
            </w:r>
          </w:p>
        </w:tc>
        <w:tc>
          <w:tcPr>
            <w:tcW w:w="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135,714</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269,377</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265,311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231F20"/>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231F20"/>
        </w:rPr>
        <w:t>Bakkt Holdings, Inc.</w:t>
      </w:r>
    </w:p>
    <w:p>
      <w:pPr>
        <w:spacing w:after="0" w:line="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231F20"/>
        </w:rPr>
        <w:t>Consolidated Statements of Operations</w:t>
      </w:r>
    </w:p>
    <w:p>
      <w:pPr>
        <w:ind w:left="4060"/>
        <w:spacing w:after="0"/>
        <w:rPr>
          <w:sz w:val="20"/>
          <w:szCs w:val="20"/>
          <w:color w:val="auto"/>
        </w:rPr>
      </w:pPr>
      <w:r>
        <w:rPr>
          <w:rFonts w:ascii="Times New Roman" w:cs="Times New Roman" w:eastAsia="Times New Roman" w:hAnsi="Times New Roman"/>
          <w:sz w:val="16"/>
          <w:szCs w:val="16"/>
          <w:b w:val="1"/>
          <w:bCs w:val="1"/>
          <w:color w:val="231F20"/>
        </w:rPr>
        <w:t>(in thousands,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7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Crypto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726,988</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86"/>
        </w:trPr>
        <w:tc>
          <w:tcPr>
            <w:tcW w:w="63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726,988</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7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Crypto costs (See Note 2)</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3,403,207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Execution, clearing and brokerage fees</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72,878</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services</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11,114</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Technology and communication</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34,050</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16,804</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Related party expenses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1,822,089</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Restructuring expenses</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182"/>
        </w:trPr>
        <w:tc>
          <w:tcPr>
            <w:tcW w:w="6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3,523,642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883,232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1,991,198</w:t>
            </w: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continuing operations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(1,989,453)</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income, net</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liability</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16,638</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(153,298)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(1,971,839)</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11,390</w:t>
            </w: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(1,960,449)</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from discontinued operations, net of tax</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(72,159)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(29,485)</w:t>
            </w:r>
          </w:p>
        </w:tc>
        <w:tc>
          <w:tcPr>
            <w:tcW w:w="0" w:type="dxa"/>
            <w:vAlign w:val="bottom"/>
          </w:tcPr>
          <w:p>
            <w:pPr>
              <w:spacing w:after="0"/>
              <w:rPr>
                <w:sz w:val="1"/>
                <w:szCs w:val="1"/>
                <w:color w:val="auto"/>
              </w:rPr>
            </w:pPr>
          </w:p>
        </w:tc>
      </w:tr>
      <w:tr>
        <w:trPr>
          <w:trHeight w:val="21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(1,989,934)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3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(56,788)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(150,958)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(1,411,829)</w:t>
            </w:r>
          </w:p>
        </w:tc>
        <w:tc>
          <w:tcPr>
            <w:tcW w:w="0" w:type="dxa"/>
            <w:vAlign w:val="bottom"/>
          </w:tcPr>
          <w:p>
            <w:pPr>
              <w:spacing w:after="0"/>
              <w:rPr>
                <w:sz w:val="1"/>
                <w:szCs w:val="1"/>
                <w:color w:val="auto"/>
              </w:rPr>
            </w:pPr>
          </w:p>
        </w:tc>
      </w:tr>
      <w:tr>
        <w:trPr>
          <w:trHeight w:val="21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Bakkt Holdings, Inc.</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(578,105)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loss per share attributable to Class A common stockholders:</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(200.07)</w:t>
            </w: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4"/>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basic net loss per share attributable to Class A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(203.08)</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per share attributable to Class A common stockholders:</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(200.07)</w:t>
            </w:r>
          </w:p>
        </w:tc>
        <w:tc>
          <w:tcPr>
            <w:tcW w:w="0" w:type="dxa"/>
            <w:vAlign w:val="bottom"/>
          </w:tcPr>
          <w:p>
            <w:pPr>
              <w:spacing w:after="0"/>
              <w:rPr>
                <w:sz w:val="1"/>
                <w:szCs w:val="1"/>
                <w:color w:val="auto"/>
              </w:rPr>
            </w:pPr>
          </w:p>
        </w:tc>
      </w:tr>
      <w:tr>
        <w:trPr>
          <w:trHeight w:val="190"/>
        </w:trPr>
        <w:tc>
          <w:tcPr>
            <w:tcW w:w="6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8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diluted net loss per share attributable to Class A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(203.08)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231F20"/>
        </w:rPr>
        <w:t>The accompanying notes are an integral part of these consolidated financial statements</w:t>
      </w:r>
      <w:r>
        <w:rPr>
          <w:rFonts w:ascii="Times New Roman" w:cs="Times New Roman" w:eastAsia="Times New Roman" w:hAnsi="Times New Roman"/>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Bakkt Holdings,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Consolidated Statements of Comprehensive Loss</w:t>
      </w:r>
    </w:p>
    <w:p>
      <w:pPr>
        <w:jc w:val="center"/>
        <w:ind w:right="-19"/>
        <w:spacing w:after="0"/>
        <w:rPr>
          <w:sz w:val="20"/>
          <w:szCs w:val="20"/>
          <w:color w:val="auto"/>
        </w:rPr>
      </w:pPr>
      <w:r>
        <w:rPr>
          <w:rFonts w:ascii="Times New Roman" w:cs="Times New Roman" w:eastAsia="Times New Roman" w:hAnsi="Times New Roman"/>
          <w:sz w:val="16"/>
          <w:szCs w:val="16"/>
          <w:b w:val="1"/>
          <w:bCs w:val="1"/>
          <w:color w:val="231F20"/>
        </w:rPr>
        <w:t>(in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4"/>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8"/>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(1,989,934)</w:t>
            </w:r>
          </w:p>
        </w:tc>
        <w:tc>
          <w:tcPr>
            <w:tcW w:w="0" w:type="dxa"/>
            <w:vAlign w:val="bottom"/>
          </w:tcPr>
          <w:p>
            <w:pPr>
              <w:spacing w:after="0"/>
              <w:rPr>
                <w:sz w:val="1"/>
                <w:szCs w:val="1"/>
                <w:color w:val="auto"/>
              </w:rPr>
            </w:pPr>
          </w:p>
        </w:tc>
      </w:tr>
      <w:tr>
        <w:trPr>
          <w:trHeight w:val="190"/>
        </w:trPr>
        <w:tc>
          <w:tcPr>
            <w:tcW w:w="6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Currency translation adjustment, net of tax</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Unrealized (loss) gain on available-for-sale securities, net of tax</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(225,262)</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(1,990,725)</w:t>
            </w:r>
          </w:p>
        </w:tc>
        <w:tc>
          <w:tcPr>
            <w:tcW w:w="0" w:type="dxa"/>
            <w:vAlign w:val="bottom"/>
          </w:tcPr>
          <w:p>
            <w:pPr>
              <w:spacing w:after="0"/>
              <w:rPr>
                <w:sz w:val="1"/>
                <w:szCs w:val="1"/>
                <w:color w:val="auto"/>
              </w:rPr>
            </w:pPr>
          </w:p>
        </w:tc>
      </w:tr>
      <w:tr>
        <w:trPr>
          <w:trHeight w:val="19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(57,722)</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(1,412,385)</w:t>
            </w:r>
          </w:p>
        </w:tc>
        <w:tc>
          <w:tcPr>
            <w:tcW w:w="0" w:type="dxa"/>
            <w:vAlign w:val="bottom"/>
          </w:tcPr>
          <w:p>
            <w:pPr>
              <w:spacing w:after="0"/>
              <w:rPr>
                <w:sz w:val="1"/>
                <w:szCs w:val="1"/>
                <w:color w:val="auto"/>
              </w:rPr>
            </w:pPr>
          </w:p>
        </w:tc>
      </w:tr>
      <w:tr>
        <w:trPr>
          <w:trHeight w:val="184"/>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Bakkt Holdings, Inc.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(47,399)</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(74,665)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(578,340)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9" w:right="68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9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231F20"/>
        </w:rPr>
        <w:t>Bakkt Holdings, Inc.</w:t>
      </w:r>
    </w:p>
    <w:p>
      <w:pPr>
        <w:spacing w:after="0" w:line="1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231F20"/>
        </w:rPr>
        <w:t>Consolidated Statements of Changes in Stockholders’ Equity</w:t>
      </w:r>
    </w:p>
    <w:p>
      <w:pPr>
        <w:jc w:val="center"/>
        <w:ind w:right="-659"/>
        <w:spacing w:after="0"/>
        <w:rPr>
          <w:sz w:val="20"/>
          <w:szCs w:val="20"/>
          <w:color w:val="auto"/>
        </w:rPr>
      </w:pPr>
      <w:r>
        <w:rPr>
          <w:rFonts w:ascii="Times New Roman" w:cs="Times New Roman" w:eastAsia="Times New Roman" w:hAnsi="Times New Roman"/>
          <w:sz w:val="16"/>
          <w:szCs w:val="16"/>
          <w:b w:val="1"/>
          <w:bCs w:val="1"/>
          <w:color w:val="231F20"/>
        </w:rPr>
        <w:t>(in thousands, except share data)</w:t>
      </w:r>
    </w:p>
    <w:p>
      <w:pPr>
        <w:spacing w:after="0" w:line="200" w:lineRule="exact"/>
        <w:rPr>
          <w:sz w:val="20"/>
          <w:szCs w:val="20"/>
          <w:color w:val="auto"/>
        </w:rPr>
      </w:pP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80" w:type="dxa"/>
            <w:vAlign w:val="bottom"/>
          </w:tcPr>
          <w:p>
            <w:pPr>
              <w:spacing w:after="0"/>
              <w:rPr>
                <w:sz w:val="10"/>
                <w:szCs w:val="10"/>
                <w:color w:val="auto"/>
              </w:rPr>
            </w:pPr>
          </w:p>
        </w:tc>
        <w:tc>
          <w:tcPr>
            <w:tcW w:w="52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96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Class V</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680" w:type="dxa"/>
            <w:vAlign w:val="bottom"/>
          </w:tcPr>
          <w:p>
            <w:pPr>
              <w:jc w:val="center"/>
              <w:ind w:right="32"/>
              <w:spacing w:after="0" w:line="96"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8"/>
                <w:szCs w:val="8"/>
                <w:color w:val="auto"/>
              </w:rPr>
            </w:pPr>
          </w:p>
        </w:tc>
        <w:tc>
          <w:tcPr>
            <w:tcW w:w="50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6"/>
        </w:trPr>
        <w:tc>
          <w:tcPr>
            <w:tcW w:w="29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jc w:val="center"/>
              <w:ind w:right="112"/>
              <w:spacing w:after="0" w:line="96"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680" w:type="dxa"/>
            <w:vAlign w:val="bottom"/>
            <w:gridSpan w:val="2"/>
            <w:vMerge w:val="continue"/>
          </w:tcPr>
          <w:p>
            <w:pPr>
              <w:spacing w:after="0"/>
              <w:rPr>
                <w:sz w:val="8"/>
                <w:szCs w:val="8"/>
                <w:color w:val="auto"/>
              </w:rPr>
            </w:pPr>
          </w:p>
        </w:tc>
        <w:tc>
          <w:tcPr>
            <w:tcW w:w="80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70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08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Income (Loss)</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1"/>
                <w:szCs w:val="11"/>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as of December 31, 2021</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2,286,576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8,250,872</w:t>
            </w: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566,792</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(98,342)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(55)</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468,396</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1,825,775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2,294,171</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Share-based compensation</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31,557</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31,557</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31,557</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Unit-based compensation</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3,847</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3,847</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Forfeiture and cancellation of common units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(12,527)</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Exercise of warrants</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6"/>
              </w:rPr>
              <w:t>Shares issued upon vesting of share-based awards, net of tax withholding</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51,455</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(2,586)</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(2,586)</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(2,586)</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Exchange of Class V shares for Class A shares</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899,035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(899,035)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177,241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177,241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(177,241)</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960" w:type="dxa"/>
            <w:vAlign w:val="bottom"/>
          </w:tcPr>
          <w:p>
            <w:pPr>
              <w:ind w:left="120"/>
              <w:spacing w:after="0" w:line="109" w:lineRule="exact"/>
              <w:rPr>
                <w:sz w:val="20"/>
                <w:szCs w:val="20"/>
                <w:color w:val="auto"/>
              </w:rPr>
            </w:pPr>
            <w:r>
              <w:rPr>
                <w:rFonts w:ascii="Times New Roman" w:cs="Times New Roman" w:eastAsia="Times New Roman" w:hAnsi="Times New Roman"/>
                <w:sz w:val="10"/>
                <w:szCs w:val="10"/>
                <w:color w:val="auto"/>
              </w:rPr>
              <w:t>Increase in deferred tax liability from step-up tax basis related to</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34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50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160" w:type="dxa"/>
            <w:vAlign w:val="bottom"/>
          </w:tcPr>
          <w:p>
            <w:pPr>
              <w:spacing w:after="0"/>
              <w:rPr>
                <w:sz w:val="9"/>
                <w:szCs w:val="9"/>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160" w:type="dxa"/>
            <w:vAlign w:val="bottom"/>
          </w:tcPr>
          <w:p>
            <w:pPr>
              <w:spacing w:after="0"/>
              <w:rPr>
                <w:sz w:val="9"/>
                <w:szCs w:val="9"/>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8"/>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exchanges of Opco common units</w:t>
            </w: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Currency translation adjustment, net of tax</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(254)</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(596)</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Unrealized gains on available-for-sale securities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(578,105)</w:t>
            </w: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(578,105)</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(1,411,829)</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(1,989,934)</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as of December 31, 2022</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3,237,074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7,339,310</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773,000</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(676,447)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(290)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96,263</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239,811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336,074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Share-based compensation</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15,452</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15,452</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15,452</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Unit-based compensation</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1,357</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Forfeiture and cancellation of common units</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(193)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6"/>
              </w:rPr>
              <w:t>Shares issued upon vesting of share-based awards, net of tax withholding</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167,614</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176</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98"/>
              </w:rPr>
              <w:t>Shares issued upon vesting of participation units, net of tax withholding</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4,472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(2,634)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(2,634)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(2,634)</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Shares issued in connection with Apex acquisition</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245,624</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10,563</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10,564</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10,564</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Exchange of Class V shares for Class A shares</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139,053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(139,053)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3,126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3,126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(3,126)</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Currency translation adjustment, net of tax</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436</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Unrealized gains on available-for-sale securities</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43</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0" w:type="dxa"/>
            <w:vAlign w:val="bottom"/>
          </w:tcPr>
          <w:p>
            <w:pPr>
              <w:spacing w:after="0"/>
              <w:rPr>
                <w:sz w:val="1"/>
                <w:szCs w:val="1"/>
                <w:color w:val="auto"/>
              </w:rPr>
            </w:pPr>
          </w:p>
        </w:tc>
      </w:tr>
      <w:tr>
        <w:trPr>
          <w:trHeight w:val="140"/>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(74,854)</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(74,854)</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(150,958)</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(225,812)</w:t>
            </w:r>
          </w:p>
        </w:tc>
        <w:tc>
          <w:tcPr>
            <w:tcW w:w="0" w:type="dxa"/>
            <w:vAlign w:val="bottom"/>
          </w:tcPr>
          <w:p>
            <w:pPr>
              <w:spacing w:after="0"/>
              <w:rPr>
                <w:sz w:val="1"/>
                <w:szCs w:val="1"/>
                <w:color w:val="auto"/>
              </w:rPr>
            </w:pPr>
          </w:p>
        </w:tc>
      </w:tr>
      <w:tr>
        <w:trPr>
          <w:trHeight w:val="16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as of December 31, 2023</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3,793,837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7,200,064</w:t>
            </w:r>
          </w:p>
        </w:tc>
        <w:tc>
          <w:tcPr>
            <w:tcW w:w="1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799,683</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(751,301)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(101)</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48,282</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87,432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135,714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9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Share-based compensation</w:t>
            </w:r>
          </w:p>
        </w:tc>
        <w:tc>
          <w:tcPr>
            <w:tcW w:w="640" w:type="dxa"/>
            <w:vAlign w:val="bottom"/>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340" w:type="dxa"/>
            <w:vAlign w:val="bottom"/>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20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50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15,841</w:t>
            </w:r>
          </w:p>
        </w:tc>
        <w:tc>
          <w:tcPr>
            <w:tcW w:w="160" w:type="dxa"/>
            <w:vAlign w:val="bottom"/>
          </w:tcPr>
          <w:p>
            <w:pPr>
              <w:spacing w:after="0"/>
              <w:rPr>
                <w:sz w:val="9"/>
                <w:szCs w:val="9"/>
                <w:color w:val="auto"/>
              </w:rPr>
            </w:pPr>
          </w:p>
        </w:tc>
        <w:tc>
          <w:tcPr>
            <w:tcW w:w="52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8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2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15,841</w:t>
            </w:r>
          </w:p>
        </w:tc>
        <w:tc>
          <w:tcPr>
            <w:tcW w:w="160" w:type="dxa"/>
            <w:vAlign w:val="bottom"/>
          </w:tcPr>
          <w:p>
            <w:pPr>
              <w:spacing w:after="0"/>
              <w:rPr>
                <w:sz w:val="9"/>
                <w:szCs w:val="9"/>
                <w:color w:val="auto"/>
              </w:rPr>
            </w:pPr>
          </w:p>
        </w:tc>
        <w:tc>
          <w:tcPr>
            <w:tcW w:w="600" w:type="dxa"/>
            <w:vAlign w:val="bottom"/>
          </w:tcPr>
          <w:p>
            <w:pPr>
              <w:jc w:val="right"/>
              <w:ind w:right="52"/>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15,841</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96"/>
              </w:rPr>
              <w:t>Shares issued upon vesting of share-based awards, net of tax withholding</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243,794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(2,588)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(2,588)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(2,588)</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Exercise of warrants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144,688</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2,835</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2,835</w:t>
            </w:r>
          </w:p>
        </w:tc>
        <w:tc>
          <w:tcPr>
            <w:tcW w:w="16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Equity offerings, net of issuance costs</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2,306,805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16,171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16,172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16,172</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Exchange of Class V shares for Class A shares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21,761</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(21,761)</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751</w:t>
            </w:r>
          </w:p>
        </w:tc>
        <w:tc>
          <w:tcPr>
            <w:tcW w:w="160" w:type="dxa"/>
            <w:vAlign w:val="bottom"/>
          </w:tcPr>
          <w:p>
            <w:pPr>
              <w:spacing w:after="0"/>
              <w:rPr>
                <w:sz w:val="12"/>
                <w:szCs w:val="12"/>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(751)</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Currency translation adjustment, net of tax</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(671)</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(671)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(830)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(1,501)</w:t>
            </w:r>
          </w:p>
        </w:tc>
        <w:tc>
          <w:tcPr>
            <w:tcW w:w="0" w:type="dxa"/>
            <w:vAlign w:val="bottom"/>
          </w:tcPr>
          <w:p>
            <w:pPr>
              <w:spacing w:after="0"/>
              <w:rPr>
                <w:sz w:val="1"/>
                <w:szCs w:val="1"/>
                <w:color w:val="auto"/>
              </w:rPr>
            </w:pPr>
          </w:p>
        </w:tc>
      </w:tr>
      <w:tr>
        <w:trPr>
          <w:trHeight w:val="140"/>
        </w:trPr>
        <w:tc>
          <w:tcPr>
            <w:tcW w:w="29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Unrealized losses on available-for-sale securities, net of tax</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(69)</w:t>
            </w:r>
          </w:p>
        </w:tc>
        <w:tc>
          <w:tcPr>
            <w:tcW w:w="180" w:type="dxa"/>
            <w:vAlign w:val="bottom"/>
          </w:tcPr>
          <w:p>
            <w:pPr>
              <w:spacing w:after="0"/>
              <w:rPr>
                <w:sz w:val="12"/>
                <w:szCs w:val="12"/>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(69)</w:t>
            </w:r>
          </w:p>
        </w:tc>
        <w:tc>
          <w:tcPr>
            <w:tcW w:w="160" w:type="dxa"/>
            <w:vAlign w:val="bottom"/>
          </w:tcPr>
          <w:p>
            <w:pPr>
              <w:spacing w:after="0"/>
              <w:rPr>
                <w:sz w:val="12"/>
                <w:szCs w:val="12"/>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loss</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(46,659)</w:t>
            </w: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(46,659)</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(56,788)</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(103,447)</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as of December 31, 2024</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6,510,885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7,178,303</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832,693</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(797,960)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(841)</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33,894</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28,959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62,853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i w:val="1"/>
          <w:iCs w:val="1"/>
          <w:color w:val="231F20"/>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20"/>
          </w:cols>
          <w:pgMar w:left="660" w:top="557" w:right="132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31F20"/>
        </w:rPr>
        <w:t>Bakkt Holdings, Inc.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231F20"/>
        </w:rPr>
        <w:t>Consolidated Statements of Cash Flows</w:t>
      </w:r>
    </w:p>
    <w:p>
      <w:pPr>
        <w:jc w:val="center"/>
        <w:ind w:right="-39"/>
        <w:spacing w:after="0"/>
        <w:rPr>
          <w:sz w:val="20"/>
          <w:szCs w:val="20"/>
          <w:color w:val="auto"/>
        </w:rPr>
      </w:pPr>
      <w:r>
        <w:rPr>
          <w:rFonts w:ascii="Times New Roman" w:cs="Times New Roman" w:eastAsia="Times New Roman" w:hAnsi="Times New Roman"/>
          <w:sz w:val="16"/>
          <w:szCs w:val="16"/>
          <w:b w:val="1"/>
          <w:bCs w:val="1"/>
          <w:color w:val="231F20"/>
        </w:rPr>
        <w:t>(in thousands)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36"/>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(103,447)</w:t>
            </w:r>
          </w:p>
        </w:tc>
        <w:tc>
          <w:tcPr>
            <w:tcW w:w="38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(225,812)</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(1,989,934)</w:t>
            </w: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25,350</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Change in fair value of contingent consideration liability</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Non-cash lease expense</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1,721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3,058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2,679</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15,841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31,557</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Unit-based compensation expense</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557</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Forfeiture and cancellation of common units</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income taxes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(11,594)</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Impairment of long-lived assets</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11,494</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Goodwill and intangible assets impairments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60,499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1,822,089</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Loss on disposal of assets</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3,834</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Loss (gain) from change in fair value of warrant liability</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17,186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1,571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(16,638)</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285</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Accounts receivable</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(7,164)</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Prepaid insurance</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9,077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9,384</w:t>
            </w:r>
          </w:p>
        </w:tc>
        <w:tc>
          <w:tcPr>
            <w:tcW w:w="0" w:type="dxa"/>
            <w:vAlign w:val="bottom"/>
          </w:tcPr>
          <w:p>
            <w:pPr>
              <w:spacing w:after="0"/>
              <w:rPr>
                <w:sz w:val="1"/>
                <w:szCs w:val="1"/>
                <w:color w:val="auto"/>
              </w:rPr>
            </w:pPr>
          </w:p>
        </w:tc>
      </w:tr>
      <w:tr>
        <w:trPr>
          <w:trHeight w:val="154"/>
        </w:trPr>
        <w:tc>
          <w:tcPr>
            <w:tcW w:w="63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Deposits with clearinghouse</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744</w:t>
            </w:r>
          </w:p>
        </w:tc>
        <w:tc>
          <w:tcPr>
            <w:tcW w:w="0" w:type="dxa"/>
            <w:vAlign w:val="bottom"/>
          </w:tcPr>
          <w:p>
            <w:pPr>
              <w:spacing w:after="0"/>
              <w:rPr>
                <w:sz w:val="1"/>
                <w:szCs w:val="1"/>
                <w:color w:val="auto"/>
              </w:rPr>
            </w:pPr>
          </w:p>
        </w:tc>
      </w:tr>
      <w:tr>
        <w:trPr>
          <w:trHeight w:val="154"/>
        </w:trPr>
        <w:tc>
          <w:tcPr>
            <w:tcW w:w="63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Due to related party</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551</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Deferred revenue</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(2,364)</w:t>
            </w:r>
          </w:p>
        </w:tc>
        <w:tc>
          <w:tcPr>
            <w:tcW w:w="0" w:type="dxa"/>
            <w:vAlign w:val="bottom"/>
          </w:tcPr>
          <w:p>
            <w:pPr>
              <w:spacing w:after="0"/>
              <w:rPr>
                <w:sz w:val="1"/>
                <w:szCs w:val="1"/>
                <w:color w:val="auto"/>
              </w:rPr>
            </w:pPr>
          </w:p>
        </w:tc>
      </w:tr>
      <w:tr>
        <w:trPr>
          <w:trHeight w:val="154"/>
        </w:trPr>
        <w:tc>
          <w:tcPr>
            <w:tcW w:w="63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4,150</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Customer funds payable</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55,641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32,334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54"/>
        </w:trPr>
        <w:tc>
          <w:tcPr>
            <w:tcW w:w="6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Other assets and liabilities</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3,394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(2,433)</w:t>
            </w:r>
          </w:p>
        </w:tc>
        <w:tc>
          <w:tcPr>
            <w:tcW w:w="0" w:type="dxa"/>
            <w:vAlign w:val="bottom"/>
          </w:tcPr>
          <w:p>
            <w:pPr>
              <w:spacing w:after="0"/>
              <w:rPr>
                <w:sz w:val="1"/>
                <w:szCs w:val="1"/>
                <w:color w:val="auto"/>
              </w:rPr>
            </w:pPr>
          </w:p>
        </w:tc>
      </w:tr>
      <w:tr>
        <w:trPr>
          <w:trHeight w:val="15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(21,203)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(60,697)</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(117,597)</w:t>
            </w:r>
          </w:p>
        </w:tc>
        <w:tc>
          <w:tcPr>
            <w:tcW w:w="0" w:type="dxa"/>
            <w:vAlign w:val="bottom"/>
          </w:tcPr>
          <w:p>
            <w:pPr>
              <w:spacing w:after="0"/>
              <w:rPr>
                <w:sz w:val="1"/>
                <w:szCs w:val="1"/>
                <w:color w:val="auto"/>
              </w:rPr>
            </w:pPr>
          </w:p>
        </w:tc>
      </w:tr>
      <w:tr>
        <w:trPr>
          <w:trHeight w:val="13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Capitalized internal-use software development costs and other capital expenditures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(9,433)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(30,543)</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Purchase of available-for-sale securities</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(17,966)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(61,829)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(306,593)</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the maturity of available-for-sale securities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35,187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185,765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165,175</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 of Bumped Financial, LLC</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 of Apex Crypto LLC, net of cash acquired</w:t>
            </w: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(47,902)</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14,134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65,970</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(171,961)</w:t>
            </w:r>
          </w:p>
        </w:tc>
        <w:tc>
          <w:tcPr>
            <w:tcW w:w="0" w:type="dxa"/>
            <w:vAlign w:val="bottom"/>
          </w:tcPr>
          <w:p>
            <w:pPr>
              <w:spacing w:after="0"/>
              <w:rPr>
                <w:sz w:val="1"/>
                <w:szCs w:val="1"/>
                <w:color w:val="auto"/>
              </w:rPr>
            </w:pPr>
          </w:p>
        </w:tc>
      </w:tr>
      <w:tr>
        <w:trPr>
          <w:trHeight w:val="13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Concurrent Offerings, net of issuance costs</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46,505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Withholding tax payments on net share settlements on equity awards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0" w:type="dxa"/>
            <w:vAlign w:val="bottom"/>
          </w:tcPr>
          <w:p>
            <w:pPr>
              <w:spacing w:after="0"/>
              <w:rPr>
                <w:sz w:val="1"/>
                <w:szCs w:val="1"/>
                <w:color w:val="auto"/>
              </w:rPr>
            </w:pPr>
          </w:p>
        </w:tc>
      </w:tr>
      <w:tr>
        <w:trPr>
          <w:trHeight w:val="154"/>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Proceeds from the exercise of warrants</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43,818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(2,634)</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(2,584)</w:t>
            </w:r>
          </w:p>
        </w:tc>
        <w:tc>
          <w:tcPr>
            <w:tcW w:w="0" w:type="dxa"/>
            <w:vAlign w:val="bottom"/>
          </w:tcPr>
          <w:p>
            <w:pPr>
              <w:spacing w:after="0"/>
              <w:rPr>
                <w:sz w:val="1"/>
                <w:szCs w:val="1"/>
                <w:color w:val="auto"/>
              </w:rPr>
            </w:pPr>
          </w:p>
        </w:tc>
      </w:tr>
      <w:tr>
        <w:trPr>
          <w:trHeight w:val="148"/>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Effect of exchange rate changes</w:t>
            </w: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0" w:type="dxa"/>
            <w:vAlign w:val="bottom"/>
          </w:tcPr>
          <w:p>
            <w:pPr>
              <w:spacing w:after="0"/>
              <w:rPr>
                <w:sz w:val="1"/>
                <w:szCs w:val="1"/>
                <w:color w:val="auto"/>
              </w:rPr>
            </w:pPr>
          </w:p>
        </w:tc>
      </w:tr>
      <w:tr>
        <w:trPr>
          <w:trHeight w:val="150"/>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increase (decrease) in cash, cash equivalents, deposits, restricted cash and customer funds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35,248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3,075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(292,992)</w:t>
            </w:r>
          </w:p>
        </w:tc>
        <w:tc>
          <w:tcPr>
            <w:tcW w:w="0" w:type="dxa"/>
            <w:vAlign w:val="bottom"/>
          </w:tcPr>
          <w:p>
            <w:pPr>
              <w:spacing w:after="0"/>
              <w:rPr>
                <w:sz w:val="1"/>
                <w:szCs w:val="1"/>
                <w:color w:val="auto"/>
              </w:rPr>
            </w:pPr>
          </w:p>
        </w:tc>
      </w:tr>
      <w:tr>
        <w:trPr>
          <w:trHeight w:val="15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deposits, restricted cash and customer funds at the beginning of the period</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118,498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115,423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408,415</w:t>
            </w:r>
          </w:p>
        </w:tc>
        <w:tc>
          <w:tcPr>
            <w:tcW w:w="0" w:type="dxa"/>
            <w:vAlign w:val="bottom"/>
          </w:tcPr>
          <w:p>
            <w:pPr>
              <w:spacing w:after="0"/>
              <w:rPr>
                <w:sz w:val="1"/>
                <w:szCs w:val="1"/>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deposits, restricted cash and customer funds at the end of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153,746</w:t>
            </w:r>
          </w:p>
        </w:tc>
        <w:tc>
          <w:tcPr>
            <w:tcW w:w="38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118,498</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115,423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Non-cash operating lease right-of-use asset acquired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3,788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11,006</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and financing activity:</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Capitalized internal-use software development costs and other capital expenditures included in accounts payable and accrued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3,900</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deposits, restricted cash and customer funds to consolidated balance sheets:</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39,049</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52,882</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98,332</w:t>
            </w: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24,889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31,838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16,500</w:t>
            </w:r>
          </w:p>
        </w:tc>
        <w:tc>
          <w:tcPr>
            <w:tcW w:w="0" w:type="dxa"/>
            <w:vAlign w:val="bottom"/>
          </w:tcPr>
          <w:p>
            <w:pPr>
              <w:spacing w:after="0"/>
              <w:rPr>
                <w:sz w:val="1"/>
                <w:szCs w:val="1"/>
                <w:color w:val="auto"/>
              </w:rPr>
            </w:pPr>
          </w:p>
        </w:tc>
      </w:tr>
      <w:tr>
        <w:trPr>
          <w:trHeight w:val="154"/>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Customer funds</w:t>
            </w:r>
          </w:p>
        </w:tc>
        <w:tc>
          <w:tcPr>
            <w:tcW w:w="8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88,566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591</w:t>
            </w:r>
          </w:p>
        </w:tc>
        <w:tc>
          <w:tcPr>
            <w:tcW w:w="0" w:type="dxa"/>
            <w:vAlign w:val="bottom"/>
          </w:tcPr>
          <w:p>
            <w:pPr>
              <w:spacing w:after="0"/>
              <w:rPr>
                <w:sz w:val="1"/>
                <w:szCs w:val="1"/>
                <w:color w:val="auto"/>
              </w:rPr>
            </w:pPr>
          </w:p>
        </w:tc>
      </w:tr>
      <w:tr>
        <w:trPr>
          <w:trHeight w:val="156"/>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Deposits (See Note 7)</w:t>
            </w: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1,242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cash equivalents, deposits, restricted cash and customer funds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153,746</w:t>
            </w:r>
          </w:p>
        </w:tc>
        <w:tc>
          <w:tcPr>
            <w:tcW w:w="3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118,498</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115,423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231F20"/>
        </w:rPr>
        <w:t>The accompanying notes are an integral part of these consolidated financial statements</w:t>
      </w:r>
      <w:r>
        <w:rPr>
          <w:rFonts w:ascii="Times New Roman" w:cs="Times New Roman" w:eastAsia="Times New Roman" w:hAnsi="Times New Roman"/>
          <w:sz w:val="16"/>
          <w:szCs w:val="16"/>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7" w:right="70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Notes to the Consolidated Financial Statements</w:t>
      </w:r>
    </w:p>
    <w:p>
      <w:pPr>
        <w:spacing w:after="0" w:line="188" w:lineRule="exact"/>
        <w:rPr>
          <w:sz w:val="20"/>
          <w:szCs w:val="20"/>
          <w:color w:val="auto"/>
        </w:rPr>
      </w:pPr>
    </w:p>
    <w:p>
      <w:pPr>
        <w:ind w:right="7540" w:firstLine="6"/>
        <w:spacing w:after="0" w:line="518" w:lineRule="auto"/>
        <w:tabs>
          <w:tab w:leader="none" w:pos="288"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Organization</w:t>
      </w: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64"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Unless the context otherwise provides, “we,” “us,” “our,” “Bakkt”, the “Company” and like terms refer to Bakkt Holdings, Inc. and its subsidiaries, including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Opco.</w:t>
      </w:r>
    </w:p>
    <w:p>
      <w:pPr>
        <w:spacing w:after="0" w:line="224"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4" w:lineRule="exact"/>
        <w:rPr>
          <w:sz w:val="20"/>
          <w:szCs w:val="20"/>
          <w:color w:val="auto"/>
        </w:rPr>
      </w:pPr>
    </w:p>
    <w:p>
      <w:pPr>
        <w:jc w:val="both"/>
        <w:ind w:right="20" w:firstLine="576"/>
        <w:spacing w:after="0" w:line="343" w:lineRule="auto"/>
        <w:rPr>
          <w:sz w:val="20"/>
          <w:szCs w:val="20"/>
          <w:color w:val="auto"/>
        </w:rPr>
      </w:pPr>
      <w:r>
        <w:rPr>
          <w:rFonts w:ascii="Times New Roman" w:cs="Times New Roman" w:eastAsia="Times New Roman" w:hAnsi="Times New Roman"/>
          <w:sz w:val="14"/>
          <w:szCs w:val="14"/>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w:t>
      </w:r>
    </w:p>
    <w:p>
      <w:pPr>
        <w:spacing w:after="0" w:line="136" w:lineRule="exact"/>
        <w:rPr>
          <w:sz w:val="20"/>
          <w:szCs w:val="20"/>
          <w:color w:val="auto"/>
        </w:rPr>
      </w:pPr>
    </w:p>
    <w:p>
      <w:pPr>
        <w:ind w:right="40" w:firstLine="576"/>
        <w:spacing w:after="0" w:line="306" w:lineRule="auto"/>
        <w:rPr>
          <w:sz w:val="20"/>
          <w:szCs w:val="20"/>
          <w:color w:val="auto"/>
        </w:rPr>
      </w:pPr>
      <w:r>
        <w:rPr>
          <w:rFonts w:ascii="Times New Roman" w:cs="Times New Roman" w:eastAsia="Times New Roman" w:hAnsi="Times New Roman"/>
          <w:sz w:val="16"/>
          <w:szCs w:val="16"/>
          <w:color w:val="auto"/>
        </w:rPr>
        <w:t>On April 1, 2023 we completed the acquisition of 100% of the ownership interests of Apex Crypto LLC ("Apex Crypto") and subsequently changed the name of the legal entity to Bakkt Crypto Solutions, LLC ("Bakkt Crypto"), effective June 12,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Business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provide, or are working to provide, simplified solutions focused in the following areas: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Crypto</w:t>
      </w:r>
    </w:p>
    <w:p>
      <w:pPr>
        <w:spacing w:after="0" w:line="224" w:lineRule="exact"/>
        <w:rPr>
          <w:sz w:val="20"/>
          <w:szCs w:val="20"/>
          <w:color w:val="auto"/>
        </w:rPr>
      </w:pPr>
    </w:p>
    <w:p>
      <w:pPr>
        <w:jc w:val="both"/>
        <w:ind w:left="580" w:right="40" w:hanging="286"/>
        <w:spacing w:after="0" w:line="296" w:lineRule="auto"/>
        <w:tabs>
          <w:tab w:leader="none" w:pos="580" w:val="left"/>
        </w:tabs>
        <w:numPr>
          <w:ilvl w:val="0"/>
          <w:numId w:val="17"/>
        </w:numPr>
        <w:rPr>
          <w:rFonts w:ascii="Times New Roman" w:cs="Times New Roman" w:eastAsia="Times New Roman" w:hAnsi="Times New Roman"/>
          <w:sz w:val="16"/>
          <w:szCs w:val="16"/>
          <w:color w:val="0C0C0C"/>
        </w:rPr>
      </w:pPr>
      <w:r>
        <w:rPr>
          <w:rFonts w:ascii="Times New Roman" w:cs="Times New Roman" w:eastAsia="Times New Roman" w:hAnsi="Times New Roman"/>
          <w:sz w:val="16"/>
          <w:szCs w:val="16"/>
          <w:b w:val="1"/>
          <w:bCs w:val="1"/>
          <w:i w:val="1"/>
          <w:iCs w:val="1"/>
          <w:color w:val="0C0C0C"/>
        </w:rPr>
        <w:t>Trading</w:t>
      </w:r>
      <w:r>
        <w:rPr>
          <w:rFonts w:ascii="Times New Roman" w:cs="Times New Roman" w:eastAsia="Times New Roman" w:hAnsi="Times New Roman"/>
          <w:sz w:val="16"/>
          <w:szCs w:val="16"/>
          <w:b w:val="1"/>
          <w:bCs w:val="1"/>
          <w:color w:val="0C0C0C"/>
        </w:rPr>
        <w:t>.</w:t>
      </w:r>
      <w:r>
        <w:rPr>
          <w:rFonts w:ascii="Times New Roman" w:cs="Times New Roman" w:eastAsia="Times New Roman" w:hAnsi="Times New Roman"/>
          <w:sz w:val="16"/>
          <w:szCs w:val="16"/>
          <w:b w:val="1"/>
          <w:bCs w:val="1"/>
          <w:i w:val="1"/>
          <w:iCs w:val="1"/>
          <w:color w:val="0C0C0C"/>
        </w:rPr>
        <w:t xml:space="preserve"> </w:t>
      </w:r>
      <w:r>
        <w:rPr>
          <w:rFonts w:ascii="Times New Roman" w:cs="Times New Roman" w:eastAsia="Times New Roman" w:hAnsi="Times New Roman"/>
          <w:sz w:val="16"/>
          <w:szCs w:val="16"/>
          <w:color w:val="0C0C0C"/>
        </w:rPr>
        <w:t>Our platform provides customers with the ability to buy, sell and store crypto via application programming interfaces or embedded web experience.</w:t>
      </w:r>
      <w:r>
        <w:rPr>
          <w:rFonts w:ascii="Times New Roman" w:cs="Times New Roman" w:eastAsia="Times New Roman" w:hAnsi="Times New Roman"/>
          <w:sz w:val="16"/>
          <w:szCs w:val="16"/>
          <w:b w:val="1"/>
          <w:bCs w:val="1"/>
          <w:i w:val="1"/>
          <w:iCs w:val="1"/>
          <w:color w:val="0C0C0C"/>
        </w:rPr>
        <w:t xml:space="preserve"> </w:t>
      </w:r>
      <w:r>
        <w:rPr>
          <w:rFonts w:ascii="Times New Roman" w:cs="Times New Roman" w:eastAsia="Times New Roman" w:hAnsi="Times New Roman"/>
          <w:sz w:val="16"/>
          <w:szCs w:val="16"/>
          <w:color w:val="0C0C0C"/>
        </w:rPr>
        <w:t xml:space="preserve">We enable clients in various industries to provide their customers with the ability to transact in crypto directly in their trusted environments. W </w:t>
      </w:r>
      <w:r>
        <w:rPr>
          <w:rFonts w:ascii="Times New Roman" w:cs="Times New Roman" w:eastAsia="Times New Roman" w:hAnsi="Times New Roman"/>
          <w:sz w:val="16"/>
          <w:szCs w:val="16"/>
          <w:color w:val="000000"/>
        </w:rPr>
        <w:t>e currently</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facilitate transactions in the crypto assets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190" w:type="dxa"/>
        <w:tblCellMar>
          <w:top w:w="0" w:type="dxa"/>
          <w:left w:w="0" w:type="dxa"/>
          <w:bottom w:w="0" w:type="dxa"/>
          <w:right w:w="0" w:type="dxa"/>
        </w:tblCellMar>
      </w:tblPr>
      <w:tr>
        <w:trPr>
          <w:trHeight w:val="227"/>
        </w:trPr>
        <w:tc>
          <w:tcPr>
            <w:tcW w:w="320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3040" w:type="dxa"/>
            <w:vAlign w:val="bottom"/>
            <w:tcBorders>
              <w:top w:val="single" w:sz="8" w:color="auto"/>
              <w:bottom w:val="single" w:sz="8" w:color="auto"/>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6"/>
                <w:szCs w:val="16"/>
                <w:color w:val="auto"/>
              </w:rPr>
              <w:t>Symbol</w:t>
            </w:r>
          </w:p>
        </w:tc>
      </w:tr>
      <w:tr>
        <w:trPr>
          <w:trHeight w:val="197"/>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Aave</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AAVE</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Cardano</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ADA</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Algorand</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ALGO</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Arbitrum</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ARB</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Cosmos</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ATOM</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Avalanche</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AVAX</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Basic Attention Token</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BAT</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BCH</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BONK</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BONK</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BTC</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DOGE</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Polka Dot</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DOT</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EOS</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EOS</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Ethereum Classic</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ETC</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ETH</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Fantom</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FTM**</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Graph</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GRT</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Hedera</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HBAR</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Lido DAO</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LDO</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Chainlink</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LINK</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LTC</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NEAR Protocol</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NEAR</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Optimism</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OP</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Pepe Coin</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PEPE</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SHIB</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Solana</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SOL</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Sui</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SUI</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TRUMP</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$TRUMP</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Uniswap</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USDC</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WIF</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WIF</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Stellar</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XLM</w:t>
            </w:r>
          </w:p>
        </w:tc>
      </w:tr>
      <w:tr>
        <w:trPr>
          <w:trHeight w:val="19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Ripple</w:t>
            </w:r>
          </w:p>
        </w:tc>
        <w:tc>
          <w:tcPr>
            <w:tcW w:w="3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XRP</w:t>
            </w:r>
          </w:p>
        </w:tc>
      </w:tr>
    </w:tbl>
    <w:p>
      <w:pPr>
        <w:spacing w:after="0" w:line="83" w:lineRule="exact"/>
        <w:rPr>
          <w:sz w:val="20"/>
          <w:szCs w:val="20"/>
          <w:color w:val="auto"/>
        </w:rPr>
      </w:pPr>
    </w:p>
    <w:p>
      <w:pPr>
        <w:ind w:left="1780" w:hanging="190"/>
        <w:spacing w:after="0"/>
        <w:tabs>
          <w:tab w:leader="none" w:pos="17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Delisted January 19, 2025</w:t>
      </w:r>
    </w:p>
    <w:p>
      <w:pPr>
        <w:spacing w:after="0" w:line="328" w:lineRule="exact"/>
        <w:rPr>
          <w:rFonts w:ascii="Times New Roman" w:cs="Times New Roman" w:eastAsia="Times New Roman" w:hAnsi="Times New Roman"/>
          <w:sz w:val="16"/>
          <w:szCs w:val="16"/>
          <w:color w:val="auto"/>
        </w:rPr>
      </w:pPr>
    </w:p>
    <w:p>
      <w:pPr>
        <w:jc w:val="both"/>
        <w:ind w:left="580" w:hanging="286"/>
        <w:spacing w:after="0" w:line="286" w:lineRule="auto"/>
        <w:tabs>
          <w:tab w:leader="none" w:pos="580" w:val="left"/>
        </w:tabs>
        <w:numPr>
          <w:ilvl w:val="0"/>
          <w:numId w:val="18"/>
        </w:numPr>
        <w:rPr>
          <w:rFonts w:ascii="Times New Roman" w:cs="Times New Roman" w:eastAsia="Times New Roman" w:hAnsi="Times New Roman"/>
          <w:sz w:val="16"/>
          <w:szCs w:val="16"/>
          <w:color w:val="0C0C0C"/>
        </w:rPr>
      </w:pPr>
      <w:r>
        <w:rPr>
          <w:rFonts w:ascii="Times New Roman" w:cs="Times New Roman" w:eastAsia="Times New Roman" w:hAnsi="Times New Roman"/>
          <w:sz w:val="16"/>
          <w:szCs w:val="16"/>
          <w:b w:val="1"/>
          <w:bCs w:val="1"/>
          <w:i w:val="1"/>
          <w:iCs w:val="1"/>
          <w:color w:val="0C0C0C"/>
        </w:rPr>
        <w:t xml:space="preserve">Custody. </w:t>
      </w:r>
      <w:r>
        <w:rPr>
          <w:rFonts w:ascii="Times New Roman" w:cs="Times New Roman" w:eastAsia="Times New Roman" w:hAnsi="Times New Roman"/>
          <w:sz w:val="16"/>
          <w:szCs w:val="16"/>
          <w:color w:val="0C0C0C"/>
        </w:rPr>
        <w:t>Prior to November 2024, we offered an institutional-grade qualified custody solution through our subsidiary, Bakkt Trust Company LLC (“Bakkt</w:t>
      </w:r>
      <w:r>
        <w:rPr>
          <w:rFonts w:ascii="Times New Roman" w:cs="Times New Roman" w:eastAsia="Times New Roman" w:hAnsi="Times New Roman"/>
          <w:sz w:val="16"/>
          <w:szCs w:val="16"/>
          <w:b w:val="1"/>
          <w:bCs w:val="1"/>
          <w:i w:val="1"/>
          <w:iCs w:val="1"/>
          <w:color w:val="0C0C0C"/>
        </w:rPr>
        <w:t xml:space="preserve"> </w:t>
      </w:r>
      <w:r>
        <w:rPr>
          <w:rFonts w:ascii="Times New Roman" w:cs="Times New Roman" w:eastAsia="Times New Roman" w:hAnsi="Times New Roman"/>
          <w:sz w:val="16"/>
          <w:szCs w:val="16"/>
          <w:color w:val="0C0C0C"/>
        </w:rPr>
        <w:t>Trust”), a limited purpose trust company that is supervised by the New York State Department of Financial Services (“NYDFS”) and governed by an independent Board of Managers. In November 2024, we amended Bakkt Trust’s supervisory agreement with NYDFS; this amendment provides for lower capital requirements for Bakkt Trust in exchange for its suspension of all customer activities. Since that time, we have been investigating a possible sale or wind-down and dissolution of Bakkt Trust due to its lack of market traction and high cost of capital (due to regulatory requirements), and in March 2024, we reached a definitive agreement to sell Bakkt Trust to ICE.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492760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0C0C0C"/>
        </w:rPr>
        <w:t>Until October 2, 2023, Bakkt Trust operated, in conjunction with Intercontinental Exchange, Inc. ("ICE"), regulated infrastructure for trading, clearing, and custody services for physically delivered bitcoin futures. Refer to Note 9 for a description of delisting of certain Bakkt Bitcoin futures and option contracts by ICE Futures U.S., Inc. ("IFUS"). 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December 31, 2024, we offer crypto services in the U.S., Latin America, Europe, and Asia.</w:t>
      </w:r>
    </w:p>
    <w:p>
      <w:pPr>
        <w:spacing w:after="0" w:line="210" w:lineRule="exact"/>
        <w:rPr>
          <w:sz w:val="20"/>
          <w:szCs w:val="20"/>
          <w:color w:val="auto"/>
        </w:rPr>
      </w:pPr>
    </w:p>
    <w:p>
      <w:pPr>
        <w:ind w:right="7340" w:firstLine="6"/>
        <w:spacing w:after="0" w:line="592" w:lineRule="auto"/>
        <w:tabs>
          <w:tab w:leader="none" w:pos="288"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 and Consolidation</w:t>
      </w: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67"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Certain prior period amounts in the consolidated financial statements and notes thereto have been reclassified to conform to the current period’s presentation.</w:t>
      </w:r>
    </w:p>
    <w:p>
      <w:pPr>
        <w:spacing w:after="0" w:line="247"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Form 10-K (unless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26"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our audited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Accounting Principle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Safeguarding Obligation for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576"/>
        <w:spacing w:after="0" w:line="331" w:lineRule="auto"/>
        <w:rPr>
          <w:sz w:val="20"/>
          <w:szCs w:val="20"/>
          <w:color w:val="auto"/>
        </w:rPr>
      </w:pPr>
      <w:r>
        <w:rPr>
          <w:rFonts w:ascii="Times New Roman" w:cs="Times New Roman" w:eastAsia="Times New Roman" w:hAnsi="Times New Roman"/>
          <w:sz w:val="14"/>
          <w:szCs w:val="14"/>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The Company elected to adopt SAB 122 as of December 31, 2024, on a retrospective basis in 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loss, net loss per share, or any components of equity or net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Discontinued Operations</w:t>
      </w:r>
    </w:p>
    <w:p>
      <w:pPr>
        <w:spacing w:after="0" w:line="226"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the Company’s loyalty and travel redemption business (the “Loyalty Business”), and the transaction was a part of the Company’s strategic transformation into a pure-play cryptocurrency infrastructure platform. The sale transaction closed on October 1, 2025.</w:t>
      </w:r>
    </w:p>
    <w:p>
      <w:pPr>
        <w:spacing w:after="0" w:line="168"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In accordance with ASC 205-20, 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will result in the elimination of the operations and cash flows of the Loyalty Business from ongoing operations. As such, the results of operations, financial position, and cash flows of the Loyalty Business have been reclassified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 Refer to Note 3 for additional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Going Concern</w:t>
      </w:r>
    </w:p>
    <w:p>
      <w:pPr>
        <w:spacing w:after="0" w:line="202"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65"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 xml:space="preserve">At each reporting period, in accordance with ASC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xml:space="preserve"> (“ASC 205-40),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169" w:lineRule="exact"/>
        <w:rPr>
          <w:sz w:val="20"/>
          <w:szCs w:val="20"/>
          <w:color w:val="auto"/>
        </w:rPr>
      </w:pPr>
    </w:p>
    <w:p>
      <w:pPr>
        <w:jc w:val="both"/>
        <w:ind w:right="20" w:firstLine="576"/>
        <w:spacing w:after="0" w:line="353" w:lineRule="auto"/>
        <w:rPr>
          <w:sz w:val="20"/>
          <w:szCs w:val="20"/>
          <w:color w:val="auto"/>
        </w:rPr>
      </w:pPr>
      <w:r>
        <w:rPr>
          <w:rFonts w:ascii="Times New Roman" w:cs="Times New Roman" w:eastAsia="Times New Roman" w:hAnsi="Times New Roman"/>
          <w:sz w:val="14"/>
          <w:szCs w:val="14"/>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466725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in conjunction with the issuance of the December 31, 2024 audited consolidated financial statements</w:t>
      </w:r>
    </w:p>
    <w:p>
      <w:pPr>
        <w:spacing w:after="0" w:line="226"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In forecasting our expectation of cash needs for the initial ASC 205-40 evaluation, the Crypto services revenue growth projections exclude activation of new clients or products currently not live on our platform as of the date of release of these audited consolidated financial statements.</w:t>
      </w:r>
    </w:p>
    <w:p>
      <w:pPr>
        <w:spacing w:after="0" w:line="155"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The Company has incurred net losses and consumed cash in excess of cash inflows from operations and fundraising. The Company’s accumulated deficit totaled$798.0 million as of December 31, 2024. Due to these ongoing losses, the Company has been executing a strategic plan to optimize capital allocation and reduce cash expenses since the fourth quarter of 2022. On March 14, 2025, Webull, our largest crypto client, notified us that it will not renew its agreement when it ends on June 14, 2025. Webull’s decision not to renew its agreement with us will materially reduce our Crypto services revenue. Our fully implemented operating budgets and forecasts, which exclude forecasts for new products or markets and reflect the loss of Webull’s Crypto services revenue, raise substantial doubt about our ability to meet our obligations for at least 12 months from the date of issuance of these consolidated financial statements.</w:t>
      </w:r>
    </w:p>
    <w:p>
      <w:pPr>
        <w:spacing w:after="0" w:line="173"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The Company plans to enact cost reduction measures including personnel reductions, a hiring freeze, changes to vendors and additional discretionary spending cuts to preserve and extend cash to fund operations. Significantly expanding our revenue base is critical to the Company’s strategic plan to be able to generate a sustainable operating profit. There is significant uncertainty associated with our projected cash flows in our going concern analysis primarily related to the revenue growth rates for our expansion to new products, as well as the growth of our revenue base, given the uncertain and rapidly evolving environment associated with crypto assets. Historically, the Company’s sources of liquidity included cash and cash equivalents, available-for-sale securities and equity offerings. As discussed, in Note 9, on August 12, 2024, the Company secured a $40 million revolving credit facility with ICE, a major shareholder, that matures on December 31, 2026 (the “ICE Credit Facility”).</w:t>
      </w:r>
    </w:p>
    <w:p>
      <w:pPr>
        <w:spacing w:after="0" w:line="175"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Management believes that its planned cost reduction measures can be successfully implemented and alleviate the substantial doubt that was raised about the Company’s ability to continue as a going concern.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26"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We have one operating and reportable segment. Operating segments are defined as components of an enterprise about which separate financial information is evaluated regularly by the chief operating decision maker (“CODM”), who is our CEO, in deciding how to allocate resources and assessing performance. During the years ended December 31, 2024 and December 31, 2023, all material operations are within the United States. Our chief operating decision maker allocates resources and assesses performance based upon financial information at the consolidated level. Refer to Note 20 for more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p>
      <w:pPr>
        <w:spacing w:after="0" w:line="214" w:lineRule="exact"/>
        <w:rPr>
          <w:sz w:val="20"/>
          <w:szCs w:val="20"/>
          <w:color w:val="auto"/>
        </w:rPr>
      </w:pPr>
    </w:p>
    <w:p>
      <w:pPr>
        <w:ind w:right="280" w:firstLine="576"/>
        <w:spacing w:after="0" w:line="247" w:lineRule="auto"/>
        <w:rPr>
          <w:sz w:val="20"/>
          <w:szCs w:val="20"/>
          <w:color w:val="auto"/>
        </w:rPr>
      </w:pPr>
      <w:r>
        <w:rPr>
          <w:rFonts w:ascii="Times New Roman" w:cs="Times New Roman" w:eastAsia="Times New Roman" w:hAnsi="Times New Roman"/>
          <w:sz w:val="16"/>
          <w:szCs w:val="16"/>
          <w:color w:val="auto"/>
        </w:rPr>
        <w:t>We consider all short-term, highly liquid investments with maturities from the purchase date of three months or less to be cash equivalents. We had $15.0 million and $42.1 million invested in money market funds as of December 31, 2024 and December 31, 2023, respectively, of which $11.4 million and $31.8 million, respectively, was reported as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495935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We classify all cash and cash equivalents that are not available for immediate or general business use as restricted. Restricted cash includes amounts set aside due to regulatory requirements or insurance collateral. Refer to Note 14 for additional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Funds and Customer Funds Payable</w:t>
      </w:r>
    </w:p>
    <w:p>
      <w:pPr>
        <w:spacing w:after="0" w:line="226"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Customer funds represents fiat currency deposited in bank accounts segregated from corporate funds. In accordance with state money transmitter laws, we may invest customer cash deposits in certain permissible investments. As of December 31, 2024, we had not made any such investments. We classify the assets as current since they are readily available for customer use with a corresponding customer funds payable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Translation of Foreign Currencies and Foreign Currency Transactions</w:t>
      </w:r>
    </w:p>
    <w:p>
      <w:pPr>
        <w:spacing w:after="0" w:line="226"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167"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Monetary assets and liabilities are translated at the rate in effect at the balance sheet date, with subsequent changes in exchange rates resulting in transaction gains or losses, which are included in “Other income (expense), net” in the consolidated statements of operations. Non-monetary assets and liabilities are translated at historical rates and revenue and expenses are translated at average rates in effect during each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226"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We classify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Equipment and Software, Net</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Property, equipment and software are stated at cost, less accumulated depreciation and amortization.</w:t>
      </w:r>
    </w:p>
    <w:p>
      <w:pPr>
        <w:spacing w:after="0" w:line="224"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Costs related to software we develop or obtain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240" w:type="dxa"/>
            <w:vAlign w:val="bottom"/>
          </w:tcPr>
          <w:p>
            <w:pPr>
              <w:spacing w:after="0"/>
              <w:rPr>
                <w:sz w:val="17"/>
                <w:szCs w:val="17"/>
                <w:color w:val="auto"/>
              </w:rPr>
            </w:pPr>
          </w:p>
        </w:tc>
      </w:tr>
      <w:tr>
        <w:trPr>
          <w:trHeight w:val="924"/>
        </w:trPr>
        <w:tc>
          <w:tcPr>
            <w:tcW w:w="868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9"/>
              </w:rPr>
              <w:t>Depreciation and amortization are computed using the straight-line method over the following estimated useful lives of assets:</w:t>
            </w:r>
          </w:p>
        </w:tc>
        <w:tc>
          <w:tcPr>
            <w:tcW w:w="124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 use software</w:t>
            </w:r>
          </w:p>
        </w:tc>
        <w:tc>
          <w:tcPr>
            <w:tcW w:w="124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8"/>
              </w:rPr>
              <w:t>3-7 years</w:t>
            </w:r>
          </w:p>
        </w:tc>
      </w:tr>
      <w:tr>
        <w:trPr>
          <w:trHeight w:val="20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 software</w:t>
            </w: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6"/>
              </w:rPr>
              <w:t>3 years</w:t>
            </w:r>
          </w:p>
        </w:tc>
      </w:tr>
      <w:tr>
        <w:trPr>
          <w:trHeight w:val="20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finance lease</w:t>
            </w:r>
          </w:p>
        </w:tc>
        <w:tc>
          <w:tcPr>
            <w:tcW w:w="124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8"/>
              </w:rPr>
              <w:t>2-5 years</w:t>
            </w:r>
          </w:p>
        </w:tc>
      </w:tr>
      <w:tr>
        <w:trPr>
          <w:trHeight w:val="20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5"/>
              </w:rPr>
              <w:t>7-10 years</w:t>
            </w:r>
          </w:p>
        </w:tc>
      </w:tr>
      <w:tr>
        <w:trPr>
          <w:trHeight w:val="20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4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6"/>
              </w:rPr>
              <w:t>7 years</w:t>
            </w:r>
          </w:p>
        </w:tc>
      </w:tr>
      <w:tr>
        <w:trPr>
          <w:trHeight w:val="20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computer and network equipment</w:t>
            </w: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6"/>
              </w:rPr>
              <w:t>3 years</w:t>
            </w: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26"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64"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When determining lease term, we consider renewal options that are reasonably certain to exercise and termination options that are reasonably certain to not be exercised, in addition to the non-cancellable lease term.</w:t>
      </w:r>
    </w:p>
    <w:p>
      <w:pPr>
        <w:spacing w:after="0" w:line="155"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226"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226"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We identify and attribute fair values and estimated lives to the intangible assets acquired and allocate the total cost of an acquisition to the underlying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490220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200"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For business combinations including contingent consideration, we evaluate the contractual terms to determine whether the contingency should be liability or equity classified. For liability classified contingent consideration, we evaluate the fair value of the contingent consideration each reporting period, and record the changes in the fair value through income.</w:t>
      </w:r>
    </w:p>
    <w:p>
      <w:pPr>
        <w:spacing w:after="0" w:line="164"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acquisition-related costs, other than the costs to issue debt or equity securities, are accounted for as expenses in the period in which they are incurred.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224" w:lineRule="exact"/>
        <w:rPr>
          <w:sz w:val="20"/>
          <w:szCs w:val="20"/>
          <w:color w:val="auto"/>
        </w:rPr>
      </w:pPr>
    </w:p>
    <w:p>
      <w:pPr>
        <w:jc w:val="both"/>
        <w:ind w:firstLine="576"/>
        <w:spacing w:after="0" w:line="295" w:lineRule="auto"/>
        <w:rPr>
          <w:sz w:val="20"/>
          <w:szCs w:val="20"/>
          <w:color w:val="auto"/>
        </w:rPr>
      </w:pPr>
      <w:r>
        <w:rPr>
          <w:rFonts w:ascii="Times New Roman" w:cs="Times New Roman" w:eastAsia="Times New Roman" w:hAnsi="Times New Roman"/>
          <w:sz w:val="15"/>
          <w:szCs w:val="15"/>
          <w:color w:val="auto"/>
        </w:rPr>
        <w:t xml:space="preserve">Goodwill and intangible assets that have indefinite useful lives are accounted for in accordance with ASC 350, </w:t>
      </w:r>
      <w:r>
        <w:rPr>
          <w:rFonts w:ascii="Times New Roman" w:cs="Times New Roman" w:eastAsia="Times New Roman" w:hAnsi="Times New Roman"/>
          <w:sz w:val="15"/>
          <w:szCs w:val="15"/>
          <w:i w:val="1"/>
          <w:iCs w:val="1"/>
          <w:color w:val="auto"/>
        </w:rPr>
        <w:t>Intangibles — Goodwill and Other</w:t>
      </w:r>
      <w:r>
        <w:rPr>
          <w:rFonts w:ascii="Times New Roman" w:cs="Times New Roman" w:eastAsia="Times New Roman" w:hAnsi="Times New Roman"/>
          <w:sz w:val="15"/>
          <w:szCs w:val="15"/>
          <w:color w:val="auto"/>
        </w:rPr>
        <w:t xml:space="preserve"> (“ASC 350”).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Our annual testing date is October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5"/>
          <w:szCs w:val="15"/>
          <w:color w:val="auto"/>
        </w:rPr>
        <w:t xml:space="preserve"> of each year.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68"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26"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We recognize revenue when we transfer promised goods or services to customers in an amount that reflects the consideration to which we expect to be entitled in exchange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Crypto Services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Crypto services revenues are derived from our crypto trading and custody services.</w:t>
      </w:r>
    </w:p>
    <w:p>
      <w:pPr>
        <w:spacing w:after="0" w:line="222"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Trading: </w:t>
      </w:r>
      <w:r>
        <w:rPr>
          <w:rFonts w:ascii="Times New Roman" w:cs="Times New Roman" w:eastAsia="Times New Roman" w:hAnsi="Times New Roman"/>
          <w:sz w:val="16"/>
          <w:szCs w:val="16"/>
          <w:color w:val="auto"/>
        </w:rPr>
        <w:t>Bakkt Crypto offers customers the ability to purchase or sell certain crypto on its platform. Bakkt Crypto partners with a number of liquidity providers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provide customers with immediate liquidity and access to crypto. Bakkt Crypto settles with the liquidity partners on a daily basis. The contract with a customer is created when a customer agrees to execute a trade on our platform. Each customer purchase and sale transaction only includes a single performance obligation which is execution of the trade. We consider the sale of customer crypto associated with delisted crypto to be revenue in the context of our contracts with customers.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w:t>
      </w:r>
    </w:p>
    <w:p>
      <w:pPr>
        <w:spacing w:after="0" w:line="172" w:lineRule="exact"/>
        <w:rPr>
          <w:sz w:val="20"/>
          <w:szCs w:val="20"/>
          <w:color w:val="auto"/>
        </w:rPr>
      </w:pPr>
    </w:p>
    <w:p>
      <w:pPr>
        <w:jc w:val="both"/>
        <w:ind w:right="40" w:firstLine="576"/>
        <w:spacing w:after="0" w:line="288" w:lineRule="auto"/>
        <w:rPr>
          <w:sz w:val="20"/>
          <w:szCs w:val="20"/>
          <w:color w:val="auto"/>
        </w:rPr>
      </w:pPr>
      <w:r>
        <w:rPr>
          <w:rFonts w:ascii="Times New Roman" w:cs="Times New Roman" w:eastAsia="Times New Roman" w:hAnsi="Times New Roman"/>
          <w:sz w:val="16"/>
          <w:szCs w:val="16"/>
          <w:color w:val="auto"/>
        </w:rPr>
        <w:t>Judgment is required in determining whether the Company is the principal or the agent in our contracts with customers. We have determined that we are the principal in transactions with customers as we control the crypto during the period of time between the customer transaction and the liquidity provider settlement and we are primarily responsible for the delivery of the crypto to the customer. Accordingly, revenue associated with Bakkt Crypto’s services is presented gross in “Crypto services” revenue in our consolidated statements of operations and the cost basis of acquired cryptocurrency associated with Bakkt Crypto’s services are presented gross in “Crypto costs” in our consolidated statements of operations.</w:t>
      </w:r>
    </w:p>
    <w:p>
      <w:pPr>
        <w:spacing w:after="0" w:line="168"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statements of operations.</w:t>
      </w:r>
    </w:p>
    <w:p>
      <w:pPr>
        <w:spacing w:after="0" w:line="59" w:lineRule="exact"/>
        <w:rPr>
          <w:sz w:val="20"/>
          <w:szCs w:val="20"/>
          <w:color w:val="auto"/>
        </w:rPr>
      </w:pPr>
    </w:p>
    <w:p>
      <w:pPr>
        <w:jc w:val="both"/>
        <w:ind w:right="40" w:firstLine="576"/>
        <w:spacing w:after="0" w:line="288" w:lineRule="auto"/>
        <w:rPr>
          <w:sz w:val="20"/>
          <w:szCs w:val="20"/>
          <w:color w:val="auto"/>
        </w:rPr>
      </w:pPr>
      <w:r>
        <w:rPr>
          <w:rFonts w:ascii="Times New Roman" w:cs="Times New Roman" w:eastAsia="Times New Roman" w:hAnsi="Times New Roman"/>
          <w:sz w:val="16"/>
          <w:szCs w:val="16"/>
          <w:color w:val="auto"/>
        </w:rPr>
        <w:t>We maintain an inventory of crypto to facilitate consumer transactions if needed. We may adjust our inventory levels under our inventory policy. Sales of crypto resulting from inventory adjustments are not part of our normal course of business. Accordingly, proceeds from the sale of crypto outside of the normal course of business are included in “Other income (expense), net,” net of the cost of crypto sold, in the consolidated statements of operations. We recognized income from the sale of crypto in our inventory reserve, net of the cost of crypto sold, of $0.3 million and $0.2 million during the years ended December 31, 2024, and December 31, 2023, respectively. We did not recognize any income from inventory reserve adjustments during the year ended December 31, 2022.</w:t>
      </w:r>
    </w:p>
    <w:p>
      <w:pPr>
        <w:spacing w:after="0" w:line="166"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Custody: </w:t>
      </w:r>
      <w:r>
        <w:rPr>
          <w:rFonts w:ascii="Times New Roman" w:cs="Times New Roman" w:eastAsia="Times New Roman" w:hAnsi="Times New Roman"/>
          <w:sz w:val="16"/>
          <w:szCs w:val="16"/>
          <w:color w:val="auto"/>
        </w:rPr>
        <w:t>For customers that used Bakkt Trust’s custody services on a standalone basis, we charged a fee, which is generally based on a fixed fee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represents fixed consideration. We invoiced customers on a quarterly basis. Our performance obligation related to the storage and custody of a customer’s crypto represented an obligation to provide custody services for crypto. The contract for custodial services could be terminated by the applicable institution or high net worth individual at any time upon final withdrawal of all crypto, without incurring a penalty. As a result, we believe our contracts represented day-to-day contracts with each day representing a renewal. The daily contract consisted of a single performance obligation to provide custodial services, with the transaction price equal to a pro rata portion (i.e., daily) of the annual custody fee. Our performance obligation to provide custodial services met the criterion to be satisfied over time. Revenue from our custodial services is included in “Crypto services” revenues in the statements of operations.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from our custody services is included in “Subscription and services revenue” in the disaggregation of revenue by service type table within Note 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Loyalty redemption platform</w:t>
      </w:r>
    </w:p>
    <w:p>
      <w:pPr>
        <w:spacing w:after="0" w:line="202"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 xml:space="preserve">We host, operate and maintain a loyalty redemption platform connecting loyalty programs to e-commerce merchants allowing loyalty point holders to redeem a spectrum of loyalty currencies for merchandise and services. Our customer in these arrangements is generally the loyalty program sponsor. Our contracts related to our loyalty redemption platform consist of two performance obligations: (1) access to our </w:t>
      </w:r>
      <w:r>
        <w:rPr>
          <w:rFonts w:ascii="Times New Roman" w:cs="Times New Roman" w:eastAsia="Times New Roman" w:hAnsi="Times New Roman"/>
          <w:sz w:val="16"/>
          <w:szCs w:val="16"/>
          <w:color w:val="0C0C0C"/>
        </w:rPr>
        <w:t>software as a service (“SaaS”)</w:t>
      </w:r>
      <w:r>
        <w:rPr>
          <w:rFonts w:ascii="Times New Roman" w:cs="Times New Roman" w:eastAsia="Times New Roman" w:hAnsi="Times New Roman"/>
          <w:sz w:val="16"/>
          <w:szCs w:val="16"/>
          <w:color w:val="auto"/>
        </w:rPr>
        <w:t>-based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loss from discontinued operations, net of tax” in the consolidated statements of operations and include the following:</w:t>
      </w:r>
    </w:p>
    <w:p>
      <w:pPr>
        <w:spacing w:after="0" w:line="66" w:lineRule="exact"/>
        <w:rPr>
          <w:sz w:val="20"/>
          <w:szCs w:val="20"/>
          <w:color w:val="auto"/>
        </w:rPr>
      </w:pPr>
    </w:p>
    <w:p>
      <w:pPr>
        <w:jc w:val="both"/>
        <w:ind w:left="580" w:right="20" w:hanging="286"/>
        <w:spacing w:after="0" w:line="343" w:lineRule="auto"/>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Platform subscription fees: </w:t>
      </w:r>
      <w:r>
        <w:rPr>
          <w:rFonts w:ascii="Times New Roman" w:cs="Times New Roman" w:eastAsia="Times New Roman" w:hAnsi="Times New Roman"/>
          <w:sz w:val="14"/>
          <w:szCs w:val="14"/>
          <w:color w:val="auto"/>
        </w:rPr>
        <w:t>Monthly fixed fee charged to customers to access the redemption platform and receive customer support services. We recognize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4.</w:t>
      </w:r>
    </w:p>
    <w:p>
      <w:pPr>
        <w:spacing w:after="0" w:line="39" w:lineRule="exact"/>
        <w:rPr>
          <w:rFonts w:ascii="Times New Roman" w:cs="Times New Roman" w:eastAsia="Times New Roman" w:hAnsi="Times New Roman"/>
          <w:sz w:val="14"/>
          <w:szCs w:val="14"/>
          <w:color w:val="auto"/>
        </w:rPr>
      </w:pPr>
    </w:p>
    <w:p>
      <w:pPr>
        <w:jc w:val="both"/>
        <w:ind w:left="580" w:right="20" w:hanging="286"/>
        <w:spacing w:after="0" w:line="290"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Transaction fees: </w:t>
      </w:r>
      <w:r>
        <w:rPr>
          <w:rFonts w:ascii="Times New Roman" w:cs="Times New Roman" w:eastAsia="Times New Roman" w:hAnsi="Times New Roman"/>
          <w:sz w:val="16"/>
          <w:szCs w:val="16"/>
          <w:color w:val="auto"/>
        </w:rPr>
        <w:t>Transaction fees are earned for most transactions processed through our platform. These fees are allocated to our performance obligation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4.</w:t>
      </w:r>
    </w:p>
    <w:p>
      <w:pPr>
        <w:spacing w:after="0" w:line="71" w:lineRule="exact"/>
        <w:rPr>
          <w:rFonts w:ascii="Times New Roman" w:cs="Times New Roman" w:eastAsia="Times New Roman" w:hAnsi="Times New Roman"/>
          <w:sz w:val="16"/>
          <w:szCs w:val="16"/>
          <w:color w:val="auto"/>
        </w:rPr>
      </w:pPr>
    </w:p>
    <w:p>
      <w:pPr>
        <w:jc w:val="both"/>
        <w:ind w:left="580" w:right="20" w:hanging="286"/>
        <w:spacing w:after="0" w:line="295"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Revenue share fees: </w:t>
      </w:r>
      <w:r>
        <w:rPr>
          <w:rFonts w:ascii="Times New Roman" w:cs="Times New Roman" w:eastAsia="Times New Roman" w:hAnsi="Times New Roman"/>
          <w:sz w:val="16"/>
          <w:szCs w:val="16"/>
          <w:color w:val="auto"/>
        </w:rPr>
        <w:t>We are entitled to revenue share fees in the form of rebates from third-party commerce merchants and other clients which provide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services facilitating redemption order fulfillment. We allocate revenue share fees to the period in which the related transaction occurs. Revenue from our revenue share fees is included in “Transaction revenue, net” in the disaggregation of revenue table by service type in Note 4.</w:t>
      </w:r>
    </w:p>
    <w:p>
      <w:pPr>
        <w:spacing w:after="0" w:line="65" w:lineRule="exact"/>
        <w:rPr>
          <w:rFonts w:ascii="Times New Roman" w:cs="Times New Roman" w:eastAsia="Times New Roman" w:hAnsi="Times New Roman"/>
          <w:sz w:val="16"/>
          <w:szCs w:val="16"/>
          <w:color w:val="auto"/>
        </w:rPr>
      </w:pPr>
    </w:p>
    <w:p>
      <w:pPr>
        <w:jc w:val="both"/>
        <w:ind w:left="580" w:hanging="286"/>
        <w:spacing w:after="0" w:line="285"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Service fees: </w:t>
      </w:r>
      <w:r>
        <w:rPr>
          <w:rFonts w:ascii="Times New Roman" w:cs="Times New Roman" w:eastAsia="Times New Roman" w:hAnsi="Times New Roman"/>
          <w:sz w:val="16"/>
          <w:szCs w:val="16"/>
          <w:color w:val="auto"/>
        </w:rPr>
        <w:t>We earn fees for certain software development activities associated with the implementation of new customers on our loyalty redemption platform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other development activities if a customer requests that we customize certain features and functionalities for their loyalty program. We recognize revenue from software development activities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We also earn fees for providing call center services for customers. We recognize revenue from call center services in the period in which we provide such services. Revenue from our services fees is included in “Subscription and services revenue” in the disaggregation of revenue table by service type in Note 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Practical expedients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We have elected the following practical expedients under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ind w:left="580" w:hanging="286"/>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sales taxes from the measurement of the transaction price;</w:t>
      </w:r>
    </w:p>
    <w:p>
      <w:pPr>
        <w:spacing w:after="0" w:line="128" w:lineRule="exact"/>
        <w:rPr>
          <w:rFonts w:ascii="Times New Roman" w:cs="Times New Roman" w:eastAsia="Times New Roman" w:hAnsi="Times New Roman"/>
          <w:sz w:val="16"/>
          <w:szCs w:val="16"/>
          <w:color w:val="auto"/>
        </w:rPr>
      </w:pPr>
    </w:p>
    <w:p>
      <w:pPr>
        <w:ind w:left="580" w:right="20" w:hanging="286"/>
        <w:spacing w:after="0" w:line="306"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adjusting the transaction price for the existence of a significant financing component if the timing difference between a customer’s payment and our performance is one year or less; and</w:t>
      </w:r>
    </w:p>
    <w:p>
      <w:pPr>
        <w:spacing w:after="0" w:line="58" w:lineRule="exact"/>
        <w:rPr>
          <w:rFonts w:ascii="Times New Roman" w:cs="Times New Roman" w:eastAsia="Times New Roman" w:hAnsi="Times New Roman"/>
          <w:sz w:val="16"/>
          <w:szCs w:val="16"/>
          <w:color w:val="auto"/>
        </w:rPr>
      </w:pPr>
    </w:p>
    <w:p>
      <w:pPr>
        <w:jc w:val="both"/>
        <w:ind w:left="580" w:hanging="286"/>
        <w:spacing w:after="0" w:line="294"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providing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62" w:lineRule="exact"/>
        <w:rPr>
          <w:sz w:val="20"/>
          <w:szCs w:val="20"/>
          <w:color w:val="auto"/>
        </w:rPr>
      </w:pPr>
    </w:p>
    <w:p>
      <w:pPr>
        <w:ind w:right="20" w:firstLine="576"/>
        <w:spacing w:after="0" w:line="309" w:lineRule="auto"/>
        <w:rPr>
          <w:sz w:val="20"/>
          <w:szCs w:val="20"/>
          <w:color w:val="auto"/>
        </w:rPr>
      </w:pPr>
      <w:r>
        <w:rPr>
          <w:rFonts w:ascii="Times New Roman" w:cs="Times New Roman" w:eastAsia="Times New Roman" w:hAnsi="Times New Roman"/>
          <w:sz w:val="16"/>
          <w:szCs w:val="16"/>
          <w:color w:val="auto"/>
        </w:rPr>
        <w:t xml:space="preserve">Additionally, we elected the practical expedient under ASC 340-40, </w:t>
      </w:r>
      <w:r>
        <w:rPr>
          <w:rFonts w:ascii="Times New Roman" w:cs="Times New Roman" w:eastAsia="Times New Roman" w:hAnsi="Times New Roman"/>
          <w:sz w:val="16"/>
          <w:szCs w:val="16"/>
          <w:i w:val="1"/>
          <w:iCs w:val="1"/>
          <w:color w:val="auto"/>
        </w:rPr>
        <w:t>Other Assets and Deferred Costs-Contracts with Customers</w:t>
      </w:r>
      <w:r>
        <w:rPr>
          <w:rFonts w:ascii="Times New Roman" w:cs="Times New Roman" w:eastAsia="Times New Roman" w:hAnsi="Times New Roman"/>
          <w:sz w:val="16"/>
          <w:szCs w:val="16"/>
          <w:color w:val="auto"/>
        </w:rPr>
        <w:t>, to not capitalize incremental costs to obtain a contract with a customer if the amortization period is one year or less.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Refer to Note 4 for additional disclosures related to our recognition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526415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202" w:lineRule="exact"/>
        <w:rPr>
          <w:sz w:val="20"/>
          <w:szCs w:val="20"/>
          <w:color w:val="auto"/>
        </w:rPr>
      </w:pPr>
    </w:p>
    <w:p>
      <w:pPr>
        <w:jc w:val="both"/>
        <w:ind w:right="20" w:firstLine="576"/>
        <w:spacing w:after="0" w:line="288" w:lineRule="auto"/>
        <w:rPr>
          <w:sz w:val="20"/>
          <w:szCs w:val="20"/>
          <w:color w:val="auto"/>
        </w:rPr>
      </w:pPr>
      <w:r>
        <w:rPr>
          <w:rFonts w:ascii="Times New Roman" w:cs="Times New Roman" w:eastAsia="Times New Roman" w:hAnsi="Times New Roman"/>
          <w:sz w:val="16"/>
          <w:szCs w:val="16"/>
          <w:color w:val="auto"/>
        </w:rPr>
        <w:t>Deferred revenue includes amounts invoiced and collected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We have determined that these arrangements do not contain a significant financing component, and therefore the transaction price is not adjusted.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226"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Compensation and benefits expense primarily consists of salaries and wages, bonuses, contract labor fees, share-based compensation, unit-based compensation, payroll taxes and benefits associated with the compensation of our employees, excluding share-based and unit-based compensation included in “Restructuring expenses” in the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226" w:lineRule="exact"/>
        <w:rPr>
          <w:sz w:val="20"/>
          <w:szCs w:val="20"/>
          <w:color w:val="auto"/>
        </w:rPr>
      </w:pPr>
    </w:p>
    <w:p>
      <w:pPr>
        <w:jc w:val="both"/>
        <w:ind w:right="20" w:firstLine="576"/>
        <w:spacing w:after="0" w:line="285" w:lineRule="auto"/>
        <w:rPr>
          <w:sz w:val="20"/>
          <w:szCs w:val="20"/>
          <w:color w:val="auto"/>
        </w:rPr>
      </w:pPr>
      <w:r>
        <w:rPr>
          <w:rFonts w:ascii="Times New Roman" w:cs="Times New Roman" w:eastAsia="Times New Roman" w:hAnsi="Times New Roman"/>
          <w:sz w:val="16"/>
          <w:szCs w:val="16"/>
          <w:color w:val="auto"/>
        </w:rPr>
        <w:t>Share-based compensation expense relates to the restricted stock units (“RSUs”) and performance stock units (“PSUs”) granted or outstanding during the period. Our RSUs and PSUs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our performance as measured against objective performance goals. We record compensation expense for PSUs on an accelerated attribution basis based on our assessment of the probable outcome of the performance conditions at each reporting period. The fair value of our RSUs and PSUs is determined as the closing price of our Class A Common Stock on the date of grant. We account for forfeitures as they occur. See Note 12 for additional information about share-based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Unit-Based Compensation</w:t>
      </w:r>
    </w:p>
    <w:p>
      <w:pPr>
        <w:spacing w:after="0" w:line="226"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which historically have been classified as liabilities, based on changes to the fair value of the awards at each reporting date. We elect to account for forfeitures as they occur. See Note 12 for additional disclosures related to unit-based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Professional Services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Professional services expenses consist of costs associated with audit, tax, legal and other professional services and are recognized as incurred.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and Communication</w:t>
      </w:r>
    </w:p>
    <w:p>
      <w:pPr>
        <w:spacing w:after="0" w:line="226" w:lineRule="exact"/>
        <w:rPr>
          <w:sz w:val="20"/>
          <w:szCs w:val="20"/>
          <w:color w:val="auto"/>
        </w:rPr>
      </w:pPr>
    </w:p>
    <w:p>
      <w:pPr>
        <w:ind w:right="40" w:firstLine="576"/>
        <w:spacing w:after="0" w:line="306" w:lineRule="auto"/>
        <w:rPr>
          <w:sz w:val="20"/>
          <w:szCs w:val="20"/>
          <w:color w:val="auto"/>
        </w:rPr>
      </w:pPr>
      <w:r>
        <w:rPr>
          <w:rFonts w:ascii="Times New Roman" w:cs="Times New Roman" w:eastAsia="Times New Roman" w:hAnsi="Times New Roman"/>
          <w:sz w:val="16"/>
          <w:szCs w:val="16"/>
          <w:color w:val="auto"/>
        </w:rPr>
        <w:t>Technology and communication expenses include costs incurred in operating and maintaining our platform, including software licenses, software maintenance and support, hosting and infrastructure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p>
      <w:pPr>
        <w:spacing w:after="0" w:line="226"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Selling, general and administrative expenses consist primarily of costs associated with advertising, marketing, insurance and rent. Advertising costs are expensed as incurred. Total advertising costs for the years ended December 31, 2024, December 31, 2023, and December 31, 2022 were $2.5 million, $4.5 million, and $8.8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Acquisition-Related Expenses</w:t>
      </w:r>
    </w:p>
    <w:p>
      <w:pPr>
        <w:spacing w:after="0" w:line="226"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We incur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5 for additional information related to acquisition-related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Expenses</w:t>
      </w:r>
    </w:p>
    <w:p>
      <w:pPr>
        <w:spacing w:after="0" w:line="226"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 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 Accounting</w:t>
      </w:r>
    </w:p>
    <w:p>
      <w:pPr>
        <w:spacing w:after="0" w:line="224"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We account for our Class A common stock warrants in accordance with applicable accounting guidance provided in ASC 815-40,</w:t>
      </w:r>
      <w:r>
        <w:rPr>
          <w:rFonts w:ascii="Times New Roman" w:cs="Times New Roman" w:eastAsia="Times New Roman" w:hAnsi="Times New Roman"/>
          <w:sz w:val="16"/>
          <w:szCs w:val="16"/>
          <w:i w:val="1"/>
          <w:iCs w:val="1"/>
          <w:color w:val="auto"/>
        </w:rPr>
        <w:t>Derivatives and Hedging-Contracts in Entity’s Own Equity</w:t>
      </w:r>
      <w:r>
        <w:rPr>
          <w:rFonts w:ascii="Times New Roman" w:cs="Times New Roman" w:eastAsia="Times New Roman" w:hAnsi="Times New Roman"/>
          <w:sz w:val="16"/>
          <w:szCs w:val="16"/>
          <w:color w:val="auto"/>
        </w:rPr>
        <w:t>, as either derivative liabilities or as equity instruments depending on the specific terms of the warrant agreement. We classify as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and were therefore recorded at fair value at grant date and re-measured to fair value at each reporting date. See Note 10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Noncontrolling Interest</w:t>
      </w:r>
    </w:p>
    <w:p>
      <w:pPr>
        <w:spacing w:after="0" w:line="226" w:lineRule="exact"/>
        <w:rPr>
          <w:sz w:val="20"/>
          <w:szCs w:val="20"/>
          <w:color w:val="auto"/>
        </w:rPr>
      </w:pPr>
    </w:p>
    <w:p>
      <w:pPr>
        <w:jc w:val="both"/>
        <w:ind w:right="20" w:firstLine="576"/>
        <w:spacing w:after="0" w:line="284" w:lineRule="auto"/>
        <w:rPr>
          <w:sz w:val="20"/>
          <w:szCs w:val="20"/>
          <w:color w:val="auto"/>
        </w:rPr>
      </w:pPr>
      <w:r>
        <w:rPr>
          <w:rFonts w:ascii="Times New Roman" w:cs="Times New Roman" w:eastAsia="Times New Roman" w:hAnsi="Times New Roman"/>
          <w:sz w:val="16"/>
          <w:szCs w:val="16"/>
          <w:color w:val="auto"/>
        </w:rPr>
        <w:t>Bakkt Holdings, Inc. is the sole managing member of Opco and, as a result, consolidates the financial results of Opco. We report a noncontrolling interest representing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in the consolidated statements of operations. Each Opco Common Unit, when coupled with one share of our Class V common stock is referred to as a “Paired Interest.” When Paired Interests are exchanged, the Company will receive a corresponding number of Opco Common Units, increasing the Company’s total ownership interest in Opco. Changes in our ownership interest in Opco while we retain a controlling interest in Opco are accounted for as equity transactions. As such,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496570</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16"/>
          <w:szCs w:val="16"/>
          <w:color w:val="auto"/>
        </w:rPr>
        <w:t>redemptions or direct exchanges or Opco Common Units by the noncontrolling members of Opco will result in a change in ownership and reduce the amount recorded as noncontrolling interest and increase additional paid-in capital.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26"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We account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is to include such items in income tax expense. We record deferred tax assets and liabilities on a net basis on the consolidated balance sheets. We recognize interest and penalties related to uncertain tax positions in “Income tax (expense) benefit” in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224" w:lineRule="exact"/>
        <w:rPr>
          <w:sz w:val="20"/>
          <w:szCs w:val="20"/>
          <w:color w:val="auto"/>
        </w:rPr>
      </w:pPr>
    </w:p>
    <w:p>
      <w:pPr>
        <w:jc w:val="both"/>
        <w:ind w:right="20" w:firstLine="576"/>
        <w:spacing w:after="0" w:line="287" w:lineRule="auto"/>
        <w:rPr>
          <w:sz w:val="20"/>
          <w:szCs w:val="20"/>
          <w:color w:val="auto"/>
        </w:rPr>
      </w:pPr>
      <w:r>
        <w:rPr>
          <w:rFonts w:ascii="Times New Roman" w:cs="Times New Roman" w:eastAsia="Times New Roman" w:hAnsi="Times New Roman"/>
          <w:sz w:val="16"/>
          <w:szCs w:val="16"/>
          <w:color w:val="auto"/>
        </w:rPr>
        <w:t>We account for our financial assets and liabilities that are recognized and/or disclosed at fair value on a recurring basis in accordance with ASC 820,</w:t>
      </w:r>
      <w:r>
        <w:rPr>
          <w:rFonts w:ascii="Times New Roman" w:cs="Times New Roman" w:eastAsia="Times New Roman" w:hAnsi="Times New Roman"/>
          <w:sz w:val="16"/>
          <w:szCs w:val="16"/>
          <w:i w:val="1"/>
          <w:iCs w:val="1"/>
          <w:color w:val="auto"/>
        </w:rPr>
        <w:t>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Measurements and Disclosures </w:t>
      </w:r>
      <w:r>
        <w:rPr>
          <w:rFonts w:ascii="Times New Roman" w:cs="Times New Roman" w:eastAsia="Times New Roman" w:hAnsi="Times New Roman"/>
          <w:sz w:val="16"/>
          <w:szCs w:val="16"/>
          <w:color w:val="auto"/>
        </w:rPr>
        <w:t>(“ASC 820”). Fair value is defined as the price that would be received to sell an asset or paid to transfer a liability in an orderly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Level 1 — Quoted prices for identical assets or liabilities in active markets.</w:t>
      </w:r>
    </w:p>
    <w:p>
      <w:pPr>
        <w:spacing w:after="0" w:line="224" w:lineRule="exact"/>
        <w:rPr>
          <w:sz w:val="20"/>
          <w:szCs w:val="20"/>
          <w:color w:val="auto"/>
        </w:rPr>
      </w:pPr>
    </w:p>
    <w:p>
      <w:pPr>
        <w:jc w:val="both"/>
        <w:ind w:left="580" w:right="20"/>
        <w:spacing w:after="0" w:line="353" w:lineRule="auto"/>
        <w:rPr>
          <w:sz w:val="20"/>
          <w:szCs w:val="20"/>
          <w:color w:val="auto"/>
        </w:rPr>
      </w:pPr>
      <w:r>
        <w:rPr>
          <w:rFonts w:ascii="Times New Roman" w:cs="Times New Roman" w:eastAsia="Times New Roman" w:hAnsi="Times New Roman"/>
          <w:sz w:val="14"/>
          <w:szCs w:val="14"/>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30" w:lineRule="exact"/>
        <w:rPr>
          <w:sz w:val="20"/>
          <w:szCs w:val="20"/>
          <w:color w:val="auto"/>
        </w:rPr>
      </w:pPr>
    </w:p>
    <w:p>
      <w:pPr>
        <w:jc w:val="both"/>
        <w:ind w:left="580" w:right="20"/>
        <w:spacing w:after="0" w:line="306" w:lineRule="auto"/>
        <w:rPr>
          <w:sz w:val="20"/>
          <w:szCs w:val="20"/>
          <w:color w:val="auto"/>
        </w:rPr>
      </w:pPr>
      <w:r>
        <w:rPr>
          <w:rFonts w:ascii="Times New Roman" w:cs="Times New Roman" w:eastAsia="Times New Roman" w:hAnsi="Times New Roman"/>
          <w:sz w:val="16"/>
          <w:szCs w:val="16"/>
          <w:color w:val="auto"/>
        </w:rPr>
        <w:t>Level 3 — Unobservable inputs reflecting our view about the assumptions that market participants would use in measuring the fair value of the assets or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226" w:lineRule="exact"/>
        <w:rPr>
          <w:sz w:val="20"/>
          <w:szCs w:val="20"/>
          <w:color w:val="auto"/>
        </w:rPr>
      </w:pPr>
    </w:p>
    <w:p>
      <w:pPr>
        <w:jc w:val="both"/>
        <w:ind w:right="40" w:firstLine="576"/>
        <w:spacing w:after="0" w:line="290" w:lineRule="auto"/>
        <w:rPr>
          <w:sz w:val="20"/>
          <w:szCs w:val="20"/>
          <w:color w:val="auto"/>
        </w:rPr>
      </w:pPr>
      <w:r>
        <w:rPr>
          <w:rFonts w:ascii="Times New Roman" w:cs="Times New Roman" w:eastAsia="Times New Roman" w:hAnsi="Times New Roman"/>
          <w:sz w:val="16"/>
          <w:szCs w:val="16"/>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We classify our investments in debt securities as available-for-sale investments. Our investments in debt securities consist of U.S. Treasury debt securities held in the custody of a major financial institution. Investments are classified as current or non-current depending on their maturity dates and when they are expected to be converted into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610235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Refer to Note 20,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for additional information on customer concentration.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60" w:lineRule="exact"/>
        <w:rPr>
          <w:sz w:val="20"/>
          <w:szCs w:val="20"/>
          <w:color w:val="auto"/>
        </w:rPr>
      </w:pPr>
    </w:p>
    <w:p>
      <w:pPr>
        <w:jc w:val="both"/>
        <w:ind w:right="20" w:firstLine="576"/>
        <w:spacing w:after="0" w:line="288" w:lineRule="auto"/>
        <w:rPr>
          <w:sz w:val="20"/>
          <w:szCs w:val="20"/>
          <w:color w:val="auto"/>
        </w:rPr>
      </w:pPr>
      <w:r>
        <w:rPr>
          <w:rFonts w:ascii="Times New Roman" w:cs="Times New Roman" w:eastAsia="Times New Roman" w:hAnsi="Times New Roman"/>
          <w:sz w:val="16"/>
          <w:szCs w:val="16"/>
          <w:color w:val="auto"/>
        </w:rPr>
        <w:t xml:space="preserve">In November 2023, the FASB issued Accounting Standards Update (“ASU”) 2023-07, </w:t>
      </w:r>
      <w:r>
        <w:rPr>
          <w:rFonts w:ascii="Times New Roman" w:cs="Times New Roman" w:eastAsia="Times New Roman" w:hAnsi="Times New Roman"/>
          <w:sz w:val="16"/>
          <w:szCs w:val="16"/>
          <w:i w:val="1"/>
          <w:iCs w:val="1"/>
          <w:color w:val="auto"/>
        </w:rPr>
        <w:t>Segment Reporting (Topic 280): Improvements to Reportable Segment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2023-07”), requiring public entities to disclose information about their reportable segments’ significant expenses and other segment items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on an interim and annual basis. The Company adopted ASU 2023-07 during the year ended December 31, 2024. The adoption of the ASU did not have a material impact on the Company’s consolidated financial statements.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did not adopt any significant accounting pronouncements during the years ended December 31, 2023 or December 31, 2022.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224"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 xml:space="preserve">In December 2023, the FASB issued ASU No. 2023-08, </w:t>
      </w:r>
      <w:r>
        <w:rPr>
          <w:rFonts w:ascii="Times New Roman" w:cs="Times New Roman" w:eastAsia="Times New Roman" w:hAnsi="Times New Roman"/>
          <w:sz w:val="16"/>
          <w:szCs w:val="16"/>
          <w:i w:val="1"/>
          <w:iCs w:val="1"/>
          <w:color w:val="auto"/>
        </w:rPr>
        <w:t>Intangibles-Goodwill and Other-Crypto Assets (Topic 350-60), Accounting for and Disclosure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Crypto Assets </w:t>
      </w:r>
      <w:r>
        <w:rPr>
          <w:rFonts w:ascii="Times New Roman" w:cs="Times New Roman" w:eastAsia="Times New Roman" w:hAnsi="Times New Roman"/>
          <w:sz w:val="16"/>
          <w:szCs w:val="16"/>
          <w:color w:val="auto"/>
        </w:rPr>
        <w:t>(“ASU 2023-08”), which requires entities measure assets that meet the scope criteria at fair value with changes recognized in net income each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ASU 2023-08 also requires enhanced disclosures for interim and annual periods. The ASU is effective for fiscal years beginning after December 15, 2024, including interim periods within those years. Early adoption is permitted. The adoption of this ASU is not expected to have a material impact on the Company’s consolidated financial statements.</w:t>
      </w:r>
    </w:p>
    <w:p>
      <w:pPr>
        <w:spacing w:after="0" w:line="168"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 xml:space="preserve">In December 2023, the FASB issued ASU No.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which will require additional tax disclosures, predominantly related to the effective income tax rate reconciliation and income taxes paid. The updated standard will be effective for our annual periods beginning in fiscal 2025. Early adoption is permitted. We are currently evaluating the impact that the updated standard will have on our consolidated financial statement disclosures.</w:t>
      </w:r>
    </w:p>
    <w:p>
      <w:pPr>
        <w:spacing w:after="0" w:line="167"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 Disaggregation of Income Statement Expenses</w:t>
      </w:r>
      <w:r>
        <w:rPr>
          <w:rFonts w:ascii="Times New Roman" w:cs="Times New Roman" w:eastAsia="Times New Roman" w:hAnsi="Times New Roman"/>
          <w:sz w:val="16"/>
          <w:szCs w:val="16"/>
          <w:color w:val="auto"/>
        </w:rPr>
        <w:t>, which requires disclosure of additional information about specific expense categories in the notes to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170"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We do not believe that any other recently issued, but not yet effective, accounting standards, if currently adopted, would have a material effect on our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Discontinued Operations</w:t>
      </w:r>
    </w:p>
    <w:p>
      <w:pPr>
        <w:spacing w:after="0" w:line="202"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Our Loyalty Business offered a full spectrum of supplier content through configurable, white-label e-commerce storefronts that end users can acquire via redemption of loyalty points. Our redemption catalog spanned a variety of rewards categories including travel, gift cards and merchandise, including a unique Apple product and services storefront. The travel solution offered a retail e-commerce booking platform with direct supplier integrations, as well as a U.S.-based call center for live-agent booking and servicing. Our platform provided a unified shopping experience that was built to seamlessly extend our customers’ loyalty strategies and user experience for their loyalty programs. Our platform’s functionality included a mobile-optimized user interface, numerous configurations to support diverse program needs, promotional campaign services, comprehensive fraud protection capabilities and the ability to split payments across both loyalty points and credit cards. On July 23, 2025, we agreed to sell the Loyalty Business, and closed the sale on October 1, 2025. In accordance with ASC 205-20, we determined that the Loyalty Business met the criteria for classification as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494030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for sale and a discontinued operation as of September 30, 2025. This determination was based on our commitment to a formal plan to sell the business, the significance of the business to our historical operations, and the expectation that the sale will result in the elimination of the operations and cash flows of the Loyalty Business from ongoing operations. As described in Note 2, the Loyalty business is reported as a discontinued operation. Unless otherwise indicated, the notes to the financial statements herein are presented to reflect continuing operations, subsequent to the sale of the Loyalty Business.</w:t>
      </w:r>
    </w:p>
    <w:p>
      <w:pPr>
        <w:spacing w:after="0" w:line="167" w:lineRule="exact"/>
        <w:rPr>
          <w:sz w:val="20"/>
          <w:szCs w:val="20"/>
          <w:color w:val="auto"/>
        </w:rPr>
      </w:pPr>
    </w:p>
    <w:p>
      <w:pPr>
        <w:ind w:right="340" w:firstLine="576"/>
        <w:spacing w:after="0" w:line="296" w:lineRule="auto"/>
        <w:rPr>
          <w:sz w:val="20"/>
          <w:szCs w:val="20"/>
          <w:color w:val="auto"/>
        </w:rPr>
      </w:pPr>
      <w:r>
        <w:rPr>
          <w:rFonts w:ascii="Times New Roman" w:cs="Times New Roman" w:eastAsia="Times New Roman" w:hAnsi="Times New Roman"/>
          <w:sz w:val="16"/>
          <w:szCs w:val="16"/>
          <w:color w:val="auto"/>
        </w:rPr>
        <w:t>The following table presents the major classes of line items constituting income from discontinued operations, net of tax, in our consolidated statements of income for the years ended December 31, 2024, 2023 and 2022 (in thousands):</w:t>
      </w: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02"/>
              <w:spacing w:after="0" w:line="159"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82"/>
              <w:spacing w:after="0" w:line="159"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82"/>
              <w:spacing w:after="0" w:line="159" w:lineRule="exact"/>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Loyalty services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49,164</w:t>
            </w: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53,148</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54,479</w:t>
            </w:r>
          </w:p>
        </w:tc>
      </w:tr>
      <w:tr>
        <w:trPr>
          <w:trHeight w:val="20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47,093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56,548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66,171</w:t>
            </w:r>
          </w:p>
        </w:tc>
      </w:tr>
      <w:tr>
        <w:trPr>
          <w:trHeight w:val="20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8,349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5,614</w:t>
            </w:r>
          </w:p>
        </w:tc>
      </w:tr>
      <w:tr>
        <w:trPr>
          <w:trHeight w:val="20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1,364</w:t>
            </w: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8,546</w:t>
            </w:r>
          </w:p>
        </w:tc>
      </w:tr>
      <w:tr>
        <w:trPr>
          <w:trHeight w:val="20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204"/>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1,333</w:t>
            </w:r>
          </w:p>
        </w:tc>
      </w:tr>
      <w:tr>
        <w:trPr>
          <w:trHeight w:val="197"/>
        </w:trPr>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59,494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124,794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83,939</w:t>
            </w: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from discontinued operations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(29,460)</w:t>
            </w:r>
          </w:p>
        </w:tc>
      </w:tr>
      <w:tr>
        <w:trPr>
          <w:trHeight w:val="205"/>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04"/>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1,354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19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before income taxes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(29,415)</w:t>
            </w:r>
          </w:p>
        </w:tc>
      </w:tr>
      <w:tr>
        <w:trPr>
          <w:trHeight w:val="204"/>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The following table presents the carrying amounts of the major classes of assets and liabilities held for sale as of December 31, 2024 and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627380</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10"/>
        </w:trPr>
        <w:tc>
          <w:tcPr>
            <w:tcW w:w="7620" w:type="dxa"/>
            <w:vAlign w:val="bottom"/>
          </w:tcPr>
          <w:p>
            <w:pPr>
              <w:spacing w:after="0"/>
              <w:rPr>
                <w:sz w:val="24"/>
                <w:szCs w:val="24"/>
                <w:color w:val="auto"/>
              </w:rPr>
            </w:pP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4"/>
        </w:trPr>
        <w:tc>
          <w:tcPr>
            <w:tcW w:w="7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110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16,965</w:t>
            </w:r>
          </w:p>
        </w:tc>
        <w:tc>
          <w:tcPr>
            <w:tcW w:w="4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22,761</w:t>
            </w:r>
          </w:p>
        </w:tc>
      </w:tr>
      <w:tr>
        <w:trPr>
          <w:trHeight w:val="20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34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553</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w:t>
            </w:r>
          </w:p>
        </w:tc>
      </w:tr>
      <w:tr>
        <w:trPr>
          <w:trHeight w:val="196"/>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 of businesses held for sale</w:t>
            </w:r>
          </w:p>
        </w:tc>
        <w:tc>
          <w:tcPr>
            <w:tcW w:w="34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17,519</w:t>
            </w:r>
          </w:p>
        </w:tc>
        <w:tc>
          <w:tcPr>
            <w:tcW w:w="4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23,132</w:t>
            </w:r>
          </w:p>
        </w:tc>
      </w:tr>
      <w:tr>
        <w:trPr>
          <w:trHeight w:val="217"/>
        </w:trPr>
        <w:tc>
          <w:tcPr>
            <w:tcW w:w="7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2,165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2,255</w:t>
            </w:r>
          </w:p>
        </w:tc>
      </w:tr>
      <w:tr>
        <w:trPr>
          <w:trHeight w:val="196"/>
        </w:trPr>
        <w:tc>
          <w:tcPr>
            <w:tcW w:w="7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assets of businesses held for sale</w:t>
            </w:r>
          </w:p>
        </w:tc>
        <w:tc>
          <w:tcPr>
            <w:tcW w:w="34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2,165</w:t>
            </w:r>
          </w:p>
        </w:tc>
        <w:tc>
          <w:tcPr>
            <w:tcW w:w="4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2,315</w:t>
            </w:r>
          </w:p>
        </w:tc>
      </w:tr>
      <w:tr>
        <w:trPr>
          <w:trHeight w:val="217"/>
        </w:trPr>
        <w:tc>
          <w:tcPr>
            <w:tcW w:w="7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4"/>
        </w:trPr>
        <w:tc>
          <w:tcPr>
            <w:tcW w:w="7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25,651</w:t>
            </w:r>
          </w:p>
        </w:tc>
        <w:tc>
          <w:tcPr>
            <w:tcW w:w="4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40,348</w:t>
            </w:r>
          </w:p>
        </w:tc>
      </w:tr>
      <w:tr>
        <w:trPr>
          <w:trHeight w:val="20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1,605</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4,282</w:t>
            </w:r>
          </w:p>
        </w:tc>
      </w:tr>
      <w:tr>
        <w:trPr>
          <w:trHeight w:val="20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871</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528</w:t>
            </w:r>
          </w:p>
        </w:tc>
      </w:tr>
      <w:tr>
        <w:trPr>
          <w:trHeight w:val="197"/>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of businesses held for sale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28,127</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45,158</w:t>
            </w:r>
          </w:p>
        </w:tc>
      </w:tr>
      <w:tr>
        <w:trPr>
          <w:trHeight w:val="216"/>
        </w:trPr>
        <w:tc>
          <w:tcPr>
            <w:tcW w:w="7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2,621</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3,198</w:t>
            </w:r>
          </w:p>
        </w:tc>
      </w:tr>
      <w:tr>
        <w:trPr>
          <w:trHeight w:val="20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3,157</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3,643</w:t>
            </w:r>
          </w:p>
        </w:tc>
      </w:tr>
      <w:tr>
        <w:trPr>
          <w:trHeight w:val="197"/>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liabilities of businesses held for sale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5,778</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6,841</w:t>
            </w:r>
          </w:p>
        </w:tc>
      </w:tr>
    </w:tbl>
    <w:p>
      <w:pPr>
        <w:spacing w:after="0" w:line="2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Cash flows related to discontinued operations are included in our consolidated statements of cash flows for the years ended December 31, 2024, 2023 and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2022. The following table presents selected items affecting the statements of cash flows (in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360" w:type="dxa"/>
            <w:vAlign w:val="bottom"/>
            <w:gridSpan w:val="3"/>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380" w:type="dxa"/>
            <w:vAlign w:val="bottom"/>
            <w:gridSpan w:val="3"/>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3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activities - operating</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lease expense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578</w:t>
            </w:r>
          </w:p>
        </w:tc>
        <w:tc>
          <w:tcPr>
            <w:tcW w:w="94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1,970</w:t>
            </w:r>
          </w:p>
        </w:tc>
        <w:tc>
          <w:tcPr>
            <w:tcW w:w="920" w:type="dxa"/>
            <w:vAlign w:val="bottom"/>
            <w:gridSpan w:val="2"/>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872</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on long-lived assets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47,839</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58,549</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9,957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activities - investing</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Captialized internal-use software development cost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1,938</w:t>
            </w:r>
          </w:p>
        </w:tc>
        <w:tc>
          <w:tcPr>
            <w:tcW w:w="920" w:type="dxa"/>
            <w:vAlign w:val="bottom"/>
            <w:gridSpan w:val="2"/>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4,081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Revenue from Contracts with Customers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Disaggregation of Revenue</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w w:val="99"/>
              </w:rPr>
              <w:t>We disaggregate revenue by service type and by platform as follows (in thousands):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Service Type</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24"/>
                <w:szCs w:val="24"/>
                <w:color w:val="auto"/>
              </w:rPr>
            </w:pPr>
          </w:p>
        </w:tc>
        <w:tc>
          <w:tcPr>
            <w:tcW w:w="136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24"/>
                <w:szCs w:val="24"/>
                <w:color w:val="auto"/>
              </w:rPr>
            </w:pPr>
          </w:p>
        </w:tc>
        <w:tc>
          <w:tcPr>
            <w:tcW w:w="13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4"/>
        </w:trPr>
        <w:tc>
          <w:tcPr>
            <w:tcW w:w="53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color w:val="auto"/>
              </w:rPr>
              <w:t>Transaction revenue</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3,440,976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726,796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04"/>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Subscription and service revenue</w:t>
            </w: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22"/>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726,988</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53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300" w:hanging="294"/>
        <w:spacing w:after="0" w:line="294" w:lineRule="auto"/>
        <w:tabs>
          <w:tab w:leader="none" w:pos="28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net of rebates and incentive payments of $0.1 million, $0.1 million and $0.6 million for the years ended December 31, 2024, December 31, 2023, and December 31, 2022 respectively. Included in these amounts are amounts earned from related parties of $0.3 million for the year ended December 31, 2024, and less than $0.3 million in aggregate for both years ended December 31, 2023 and December 31, 2022,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Platform</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4"/>
        </w:trPr>
        <w:tc>
          <w:tcPr>
            <w:tcW w:w="6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6"/>
                <w:szCs w:val="16"/>
                <w:color w:val="auto"/>
              </w:rPr>
              <w:t>Crypto services</w:t>
            </w:r>
            <w:r>
              <w:rPr>
                <w:rFonts w:ascii="Times New Roman" w:cs="Times New Roman" w:eastAsia="Times New Roman" w:hAnsi="Times New Roman"/>
                <w:sz w:val="21"/>
                <w:szCs w:val="21"/>
                <w:color w:val="auto"/>
                <w:vertAlign w:val="superscript"/>
              </w:rPr>
              <w:t>(b)</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726,988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726,988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300" w:hanging="294"/>
        <w:spacing w:after="0" w:line="294" w:lineRule="auto"/>
        <w:tabs>
          <w:tab w:leader="none" w:pos="28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net of rebates and incentive payments of $0.1 million and $0.1 million and $0.6 million for the years ended December 31, 2024, December 31, 2023, and December 31, 2022, respectively. Included in these amounts are amounts earned from related parties of less than $0.3 million for each of the years ended December 31, 2024, December 31, 2023, and December 31, 2022.</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one reportable segment. See Note 2 for additional information.</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Refer to Note 20,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for additional information on geographic revenue and customer concentration.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Remaining Performance Obligations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of December 31, 2024 and December 31, 2023, no amount of transaction price was allocated to remaining performance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Costs</w:t>
      </w:r>
    </w:p>
    <w:p>
      <w:pPr>
        <w:spacing w:after="0" w:line="228" w:lineRule="exact"/>
        <w:rPr>
          <w:sz w:val="20"/>
          <w:szCs w:val="20"/>
          <w:color w:val="auto"/>
        </w:rPr>
      </w:pPr>
    </w:p>
    <w:p>
      <w:pPr>
        <w:ind w:firstLine="576"/>
        <w:spacing w:after="0" w:line="306"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we did not incur any incremental costs to obtain and/or fulfill contracts with customers, respectively.</w:t>
      </w:r>
    </w:p>
    <w:p>
      <w:pPr>
        <w:spacing w:after="0" w:line="141" w:lineRule="exact"/>
        <w:rPr>
          <w:sz w:val="20"/>
          <w:szCs w:val="20"/>
          <w:color w:val="auto"/>
        </w:rPr>
      </w:pPr>
    </w:p>
    <w:p>
      <w:pPr>
        <w:ind w:left="300" w:hanging="294"/>
        <w:spacing w:after="0"/>
        <w:tabs>
          <w:tab w:leader="none" w:pos="30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 and Asset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131313"/>
        </w:rPr>
        <w:t>Apex Crypto</w:t>
      </w:r>
    </w:p>
    <w:p>
      <w:pPr>
        <w:spacing w:after="0" w:line="228"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is a reconciliation of the fair value of consideration transferred in the acquisition to the fair value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541020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consideration paid</w:t>
            </w:r>
          </w:p>
        </w:tc>
        <w:tc>
          <w:tcPr>
            <w:tcW w:w="4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4"/>
        </w:trPr>
        <w:tc>
          <w:tcPr>
            <w:tcW w:w="9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working capital and cash</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A common stock at transaction close</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4"/>
        </w:trPr>
        <w:tc>
          <w:tcPr>
            <w:tcW w:w="9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Estimated fair value of Class A common stock contingent consideration</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consideration</w:t>
            </w:r>
          </w:p>
        </w:tc>
        <w:tc>
          <w:tcPr>
            <w:tcW w:w="48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220" w:type="dxa"/>
            <w:vAlign w:val="bottom"/>
            <w:vMerge w:val="continue"/>
          </w:tcPr>
          <w:p>
            <w:pPr>
              <w:spacing w:after="0"/>
              <w:rPr>
                <w:sz w:val="14"/>
                <w:szCs w:val="14"/>
                <w:color w:val="auto"/>
              </w:rPr>
            </w:pPr>
          </w:p>
        </w:tc>
        <w:tc>
          <w:tcPr>
            <w:tcW w:w="480" w:type="dxa"/>
            <w:vAlign w:val="bottom"/>
          </w:tcPr>
          <w:p>
            <w:pPr>
              <w:jc w:val="right"/>
              <w:ind w:right="32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Safeguarding asset for crypto</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0" w:type="dxa"/>
            <w:vAlign w:val="bottom"/>
          </w:tcPr>
          <w:p>
            <w:pPr>
              <w:spacing w:after="0"/>
              <w:rPr>
                <w:sz w:val="1"/>
                <w:szCs w:val="1"/>
                <w:color w:val="auto"/>
              </w:rPr>
            </w:pPr>
          </w:p>
        </w:tc>
      </w:tr>
      <w:tr>
        <w:trPr>
          <w:trHeight w:val="204"/>
        </w:trPr>
        <w:tc>
          <w:tcPr>
            <w:tcW w:w="9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Non-current assets</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 developed technology</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4"/>
        </w:trPr>
        <w:tc>
          <w:tcPr>
            <w:tcW w:w="9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 customer relationships</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4"/>
        </w:trPr>
        <w:tc>
          <w:tcPr>
            <w:tcW w:w="9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4"/>
        </w:trPr>
        <w:tc>
          <w:tcPr>
            <w:tcW w:w="9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Safeguarding obligation for crypto</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0" w:type="dxa"/>
            <w:vAlign w:val="bottom"/>
          </w:tcPr>
          <w:p>
            <w:pPr>
              <w:spacing w:after="0"/>
              <w:rPr>
                <w:sz w:val="1"/>
                <w:szCs w:val="1"/>
                <w:color w:val="auto"/>
              </w:rPr>
            </w:pPr>
          </w:p>
        </w:tc>
      </w:tr>
      <w:tr>
        <w:trPr>
          <w:trHeight w:val="197"/>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right="20" w:firstLine="576"/>
        <w:spacing w:after="0" w:line="337" w:lineRule="auto"/>
        <w:rPr>
          <w:sz w:val="20"/>
          <w:szCs w:val="20"/>
          <w:color w:val="auto"/>
        </w:rPr>
      </w:pPr>
      <w:r>
        <w:rPr>
          <w:rFonts w:ascii="Times New Roman" w:cs="Times New Roman" w:eastAsia="Times New Roman" w:hAnsi="Times New Roman"/>
          <w:sz w:val="14"/>
          <w:szCs w:val="14"/>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142"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The contingent consideration payable in Class A common stock to Apex Crypto's former owners based on the performance of the business in the 2023-2025 annual periods was estimated using a Monte Carlo model given the range of possible outcomes. As of December 31, 2023, we determined the value of the contingent consideration was zero, based on our forward-looking projections and minimum profit requirements associated with the earn-out and reversed the accrual through acquisition expenses. As of December 31, 2024, the value of the contingent consideration continues to be estimated at zero.</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Revenue generated by Apex Crypto from the acquisition date through December 31, 2023 was $725.9 million, and is included in the Company's statements of operations. Net loss generated by Apex Crypto from the acquisition date through December 31, 2023 was $39.9 million, and is included in the Company's statements of operations.</w:t>
      </w:r>
    </w:p>
    <w:p>
      <w:pPr>
        <w:spacing w:after="0" w:line="164"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years ended December 31, 2023 and December 31, 2022 would be $1,225.5 million and $3,127.7 million, respectively. Proforma net loss for the years ended December 31, 2023 and December 31, 2022 would be $219.5 million and $2,004.1 million, respectively.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Subsequent to the acquisition, we changed the name of Apex Crypto to Bakkt Crypto.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131313"/>
        </w:rPr>
        <w:t>Bumped Acquisition</w:t>
      </w:r>
    </w:p>
    <w:p>
      <w:pPr>
        <w:spacing w:after="0" w:line="228"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On February 8, 2023, we acquired 100% of the units of Bumped Financial, LLC, which we subsequently renamed Bakkt Brokerage, LLC (“Bakkt Brokerage”), a broker-dealer registered with the SEC and the Financial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384" w:lineRule="auto"/>
        <w:rPr>
          <w:sz w:val="20"/>
          <w:szCs w:val="20"/>
          <w:color w:val="auto"/>
        </w:rPr>
      </w:pPr>
      <w:r>
        <w:rPr>
          <w:rFonts w:ascii="Times New Roman" w:cs="Times New Roman" w:eastAsia="Times New Roman" w:hAnsi="Times New Roman"/>
          <w:sz w:val="14"/>
          <w:szCs w:val="14"/>
          <w:color w:val="auto"/>
        </w:rPr>
        <w:t>Regulatory 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Goodwill and Intangible Assets, Net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7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Changes in goodwill for the periods presented consisted of the following (in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2"/>
        </w:trPr>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57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1,527,118</w:t>
            </w:r>
          </w:p>
        </w:tc>
      </w:tr>
      <w:tr>
        <w:trPr>
          <w:trHeight w:val="204"/>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Apex acquisition</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52,149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(1,511,264)</w:t>
            </w:r>
          </w:p>
        </w:tc>
      </w:tr>
      <w:tr>
        <w:trPr>
          <w:trHeight w:val="204"/>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right="20" w:firstLine="576"/>
        <w:spacing w:after="0" w:line="306" w:lineRule="auto"/>
        <w:rPr>
          <w:sz w:val="20"/>
          <w:szCs w:val="20"/>
          <w:color w:val="auto"/>
        </w:rPr>
      </w:pPr>
      <w:r>
        <w:rPr>
          <w:rFonts w:ascii="Times New Roman" w:cs="Times New Roman" w:eastAsia="Times New Roman" w:hAnsi="Times New Roman"/>
          <w:sz w:val="16"/>
          <w:szCs w:val="16"/>
          <w:color w:val="auto"/>
        </w:rPr>
        <w:t>We recorded $0, $12.7 million and $1,822.1 million of impairment charges related to goodwill and other intangible assets during the years ended December 31, 2024, December 31, 2023, and December 31, 2022, respectively. Refer to Note 6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Analyses Performed During The Year Ended December 31, 2024</w:t>
      </w:r>
    </w:p>
    <w:p>
      <w:pPr>
        <w:spacing w:after="0" w:line="204" w:lineRule="exact"/>
        <w:rPr>
          <w:sz w:val="20"/>
          <w:szCs w:val="20"/>
          <w:color w:val="auto"/>
        </w:rPr>
      </w:pPr>
    </w:p>
    <w:p>
      <w:pPr>
        <w:ind w:right="20" w:firstLine="576"/>
        <w:spacing w:after="0" w:line="306" w:lineRule="auto"/>
        <w:rPr>
          <w:sz w:val="20"/>
          <w:szCs w:val="20"/>
          <w:color w:val="auto"/>
        </w:rPr>
      </w:pPr>
      <w:r>
        <w:rPr>
          <w:rFonts w:ascii="Times New Roman" w:cs="Times New Roman" w:eastAsia="Times New Roman" w:hAnsi="Times New Roman"/>
          <w:sz w:val="16"/>
          <w:szCs w:val="16"/>
          <w:color w:val="auto"/>
        </w:rPr>
        <w:t>The Company conducts an impairment assessment annually in the fourth quarter, or more frequently if impairment indicators are present. The Company retained a third-party valuation firm to estimate the fair value of its indefinite lived intangible asset (the “Tradename”) and single reporting unit.</w:t>
      </w:r>
    </w:p>
    <w:p>
      <w:pPr>
        <w:spacing w:after="0" w:line="155" w:lineRule="exact"/>
        <w:rPr>
          <w:sz w:val="20"/>
          <w:szCs w:val="20"/>
          <w:color w:val="auto"/>
        </w:rPr>
      </w:pPr>
    </w:p>
    <w:p>
      <w:pPr>
        <w:jc w:val="both"/>
        <w:ind w:firstLine="576"/>
        <w:spacing w:after="0" w:line="293" w:lineRule="auto"/>
        <w:rPr>
          <w:sz w:val="20"/>
          <w:szCs w:val="20"/>
          <w:color w:val="auto"/>
        </w:rPr>
      </w:pPr>
      <w:r>
        <w:rPr>
          <w:rFonts w:ascii="Times New Roman" w:cs="Times New Roman" w:eastAsia="Times New Roman" w:hAnsi="Times New Roman"/>
          <w:sz w:val="16"/>
          <w:szCs w:val="16"/>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October 1, 2024,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68"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discount rate used in the valuations described above was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526415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576"/>
        <w:spacing w:after="0" w:line="289" w:lineRule="auto"/>
        <w:rPr>
          <w:sz w:val="20"/>
          <w:szCs w:val="20"/>
          <w:color w:val="auto"/>
        </w:rPr>
      </w:pPr>
      <w:r>
        <w:rPr>
          <w:rFonts w:ascii="Times New Roman" w:cs="Times New Roman" w:eastAsia="Times New Roman" w:hAnsi="Times New Roman"/>
          <w:sz w:val="16"/>
          <w:szCs w:val="16"/>
          <w:color w:val="auto"/>
        </w:rPr>
        <w:t>The results of the Company’s 2024 quantitative impairment analyses indicated there is no impairment of the Company’s Tradename or goodwill. Bakkt Management considered the existence of material nonpublic information as of December 31, 2024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Analyses Performed During The Year Ended December 31, 2023</w:t>
      </w:r>
    </w:p>
    <w:p>
      <w:pPr>
        <w:spacing w:after="0" w:line="204"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During the third quarter of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determining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(both now presented as part of assets of businesses held for sale) fell below their carrying values as of September 30, 2023 and recorded impairments within “Net loss from discontinued operations, net of tax” on the consolidated statement of operations of $16.6 million and $3.1 million respectively. We concluded in the quantitative assessment that the fair value of our trademark/trade name indefinite-lived intangible asset fell below their carrying values as of September 30, 2023 and recorded impairments within “Goodwill and intangible assets impairments” on the consolidated statement of operations of $3.7 million, respectively. No impairment of other long-lived assets was indicated. No goodwill impairment was indicated by the quantitative assessment.</w:t>
      </w:r>
    </w:p>
    <w:p>
      <w:pPr>
        <w:spacing w:after="0" w:line="175" w:lineRule="exact"/>
        <w:rPr>
          <w:sz w:val="20"/>
          <w:szCs w:val="20"/>
          <w:color w:val="auto"/>
        </w:rPr>
      </w:pPr>
    </w:p>
    <w:p>
      <w:pPr>
        <w:jc w:val="both"/>
        <w:ind w:firstLine="576"/>
        <w:spacing w:after="0" w:line="330" w:lineRule="auto"/>
        <w:rPr>
          <w:sz w:val="20"/>
          <w:szCs w:val="20"/>
          <w:color w:val="auto"/>
        </w:rPr>
      </w:pPr>
      <w:r>
        <w:rPr>
          <w:rFonts w:ascii="Times New Roman" w:cs="Times New Roman" w:eastAsia="Times New Roman" w:hAnsi="Times New Roman"/>
          <w:sz w:val="14"/>
          <w:szCs w:val="14"/>
          <w:color w:val="auto"/>
        </w:rPr>
        <w:t>Our September 30, 2023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spacing w:after="0" w:line="360"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Our quantitative impairment analysis for the loyalty-related customer relationships and developed technology intangible asset involved the use of a market approach which estimated the sale value of the asset group associated with the loyalty business (and is now presented as part of noncurrent assets of businesses held for sale). Significant judgments included the scope of the asset group and the hypothetical proceeds associated with the transaction, which are level 3 inputs.</w:t>
      </w:r>
    </w:p>
    <w:p>
      <w:pPr>
        <w:spacing w:after="0" w:line="164"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firstLine="576"/>
        <w:spacing w:after="0" w:line="288" w:lineRule="auto"/>
        <w:rPr>
          <w:sz w:val="20"/>
          <w:szCs w:val="20"/>
          <w:color w:val="auto"/>
        </w:rPr>
      </w:pPr>
      <w:r>
        <w:rPr>
          <w:rFonts w:ascii="Times New Roman" w:cs="Times New Roman" w:eastAsia="Times New Roman" w:hAnsi="Times New Roman"/>
          <w:sz w:val="16"/>
          <w:szCs w:val="16"/>
          <w:color w:val="auto"/>
        </w:rPr>
        <w:t>The discount rate used in the valuations described above ranged from 13.5% (used in the loyalty asset group valuations, which are now presented as part of noncurrent assets of businesses held for sale) to 35% (used in the crypto services asset group valuations). The crypto services discount rate increased by approximately 400 basis points from the rate used in the Apex Crypto acquisition described in Note 5 due to the additional uncertainty around our international expansion. The discount rate used in the income approach in the goodwill quantitative test and the valuation of the trademark/tradename indefinite-lived intangible asset was a weighted average 25%.</w:t>
      </w:r>
    </w:p>
    <w:p>
      <w:pPr>
        <w:spacing w:after="0" w:line="168" w:lineRule="exact"/>
        <w:rPr>
          <w:sz w:val="20"/>
          <w:szCs w:val="20"/>
          <w:color w:val="auto"/>
        </w:rPr>
      </w:pPr>
    </w:p>
    <w:p>
      <w:pPr>
        <w:jc w:val="both"/>
        <w:ind w:right="20" w:firstLine="576"/>
        <w:spacing w:after="0" w:line="337" w:lineRule="auto"/>
        <w:rPr>
          <w:sz w:val="20"/>
          <w:szCs w:val="20"/>
          <w:color w:val="auto"/>
        </w:rPr>
      </w:pPr>
      <w:r>
        <w:rPr>
          <w:rFonts w:ascii="Times New Roman" w:cs="Times New Roman" w:eastAsia="Times New Roman" w:hAnsi="Times New Roman"/>
          <w:sz w:val="14"/>
          <w:szCs w:val="14"/>
          <w:color w:val="auto"/>
        </w:rPr>
        <w:t>During the fourth quarter of 2023, we determined we would not be able to continue as a going concern for twelve months subsequent to the expected release of the 2023 financial statements absent additional equity financing. We determined this was a triggering event and conducted an additional impairment analysis on our indefinite-lived intangible assets, long-lived assets and goodwill. We determined the carrying value of our tradename exceeded its fair value by approximately $1.4 million and recognized a corresponding impairment loss. The fair value inputs associated with the tradename impairment loss are consistent with those described above, updated for revenue growth consistent with that observed since our impairment analysis performed as of the period ended September 30, 2023.</w:t>
      </w:r>
    </w:p>
    <w:p>
      <w:pPr>
        <w:spacing w:after="0" w:line="142"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The following cash flow discussion relates to discontinued operations. The undiscounted and discounted cashflow analyses conducted for the loyalty asset group indicated that its limited prospects for growth resulted in full impairment of the loyalty intangible and long-lived assets (Level 3 inputs). Accordingly we recognized impairment losses associated with the acquired customer relationships, developed technology, property plant and equipment, and prepaid customer acquisition costs of $16.7 million, $8.6 million, $1.9 million, and $4.4 million, respectively. The right of use assets associated with the leased properties in the loyalty asset group were also impaired based on a fair market value analysis considering a hypothetical sublease of these properties (Level 2 inputs), resulting in an additional impairment loss of $4.5 million.</w:t>
      </w:r>
    </w:p>
    <w:p>
      <w:pPr>
        <w:spacing w:after="0" w:line="173" w:lineRule="exact"/>
        <w:rPr>
          <w:sz w:val="20"/>
          <w:szCs w:val="20"/>
          <w:color w:val="auto"/>
        </w:rPr>
      </w:pPr>
    </w:p>
    <w:p>
      <w:pPr>
        <w:jc w:val="both"/>
        <w:ind w:right="20" w:firstLine="576"/>
        <w:spacing w:after="0" w:line="285" w:lineRule="auto"/>
        <w:rPr>
          <w:sz w:val="20"/>
          <w:szCs w:val="20"/>
          <w:color w:val="auto"/>
        </w:rPr>
      </w:pPr>
      <w:r>
        <w:rPr>
          <w:rFonts w:ascii="Times New Roman" w:cs="Times New Roman" w:eastAsia="Times New Roman" w:hAnsi="Times New Roman"/>
          <w:sz w:val="16"/>
          <w:szCs w:val="16"/>
          <w:color w:val="auto"/>
        </w:rPr>
        <w:t>The following cash flow discussion relates to continuing operations. The undiscounted and discounted cashflow analyses conducted for the crypto asset group used revenue projections that assumed retail trading and engagement metrics would remain at average 2023 levels for a significant period of time and limited the growth associated with our international expansion and institutional businesses given their limited performance track record (Level 3 inputs). The discounted cash flow impairment analysis indicated the acquired customer relationships, developed technology, property, plant and equipment, and licenses were fully impaired, resulting in impairment losses of $9.4 million, $8.0 million, $11.0 million, and $0.6 million, respectively. Certain right of use assets associated with leased properties were also impaired based on a fair market value analysis considering a hypothetical sublease of these properties (level 2 inputs), resulting in an additional impairment loss of $4.4 million.</w:t>
      </w:r>
    </w:p>
    <w:p>
      <w:pPr>
        <w:spacing w:after="0" w:line="175"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After giving effect to the above impairments, we determined that goodwill was not impaired based on a comparison of the remaining book value of equity to our market capitalization. We considered the existence of material nonpublic information as of December 31, 2023 related to going concern risk, the Concurrent Offerings, and subsequent declines in our market capitalization once the going concern risk was disclosed, in reaching this conclusion (Level 3 inputs). Further declines in our market capitalization or the failure to execute on business objectives could result in future goodwill or intangible asset impairments.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Analyses Performed During The Year Ended December 31, 2022</w:t>
      </w:r>
    </w:p>
    <w:p>
      <w:pPr>
        <w:spacing w:after="0" w:line="228" w:lineRule="exact"/>
        <w:rPr>
          <w:sz w:val="20"/>
          <w:szCs w:val="20"/>
          <w:color w:val="auto"/>
        </w:rPr>
      </w:pPr>
    </w:p>
    <w:p>
      <w:pPr>
        <w:jc w:val="both"/>
        <w:ind w:right="40" w:firstLine="576"/>
        <w:spacing w:after="0" w:line="286" w:lineRule="auto"/>
        <w:rPr>
          <w:sz w:val="20"/>
          <w:szCs w:val="20"/>
          <w:color w:val="auto"/>
        </w:rPr>
      </w:pPr>
      <w:r>
        <w:rPr>
          <w:rFonts w:ascii="Times New Roman" w:cs="Times New Roman" w:eastAsia="Times New Roman" w:hAnsi="Times New Roman"/>
          <w:sz w:val="16"/>
          <w:szCs w:val="16"/>
          <w:color w:val="auto"/>
        </w:rPr>
        <w:t>During the third quarter of 2022, we commenced our annual strategic planning process which included updating expected crypto product activations in light of the crypto market volatility and elongation of decision timeframes for activations of crypto strategy by our clients.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determining factors, including the elongated timing for expected crypto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494030</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2022. We then performed quantitative impairment tests of the indefinite-lived intangible assets, long-lived assets, and goodwill.</w:t>
      </w:r>
    </w:p>
    <w:p>
      <w:pPr>
        <w:spacing w:after="0" w:line="224" w:lineRule="exact"/>
        <w:rPr>
          <w:sz w:val="20"/>
          <w:szCs w:val="20"/>
          <w:color w:val="auto"/>
        </w:rPr>
      </w:pPr>
    </w:p>
    <w:p>
      <w:pPr>
        <w:jc w:val="both"/>
        <w:ind w:right="40" w:firstLine="576"/>
        <w:spacing w:after="0" w:line="306" w:lineRule="auto"/>
        <w:rPr>
          <w:sz w:val="20"/>
          <w:szCs w:val="20"/>
          <w:color w:val="auto"/>
        </w:rPr>
      </w:pPr>
      <w:r>
        <w:rPr>
          <w:rFonts w:ascii="Times New Roman" w:cs="Times New Roman" w:eastAsia="Times New Roman" w:hAnsi="Times New Roman"/>
          <w:sz w:val="16"/>
          <w:szCs w:val="16"/>
          <w:color w:val="auto"/>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spacing w:after="0" w:line="155" w:lineRule="exact"/>
        <w:rPr>
          <w:sz w:val="20"/>
          <w:szCs w:val="20"/>
          <w:color w:val="auto"/>
        </w:rPr>
      </w:pPr>
    </w:p>
    <w:p>
      <w:pPr>
        <w:jc w:val="both"/>
        <w:ind w:right="40" w:firstLine="576"/>
        <w:spacing w:after="0" w:line="290" w:lineRule="auto"/>
        <w:rPr>
          <w:sz w:val="20"/>
          <w:szCs w:val="20"/>
          <w:color w:val="auto"/>
        </w:rPr>
      </w:pPr>
      <w:r>
        <w:rPr>
          <w:rFonts w:ascii="Times New Roman" w:cs="Times New Roman" w:eastAsia="Times New Roman" w:hAnsi="Times New Roman"/>
          <w:sz w:val="16"/>
          <w:szCs w:val="16"/>
          <w:color w:val="auto"/>
        </w:rPr>
        <w:t>During the fourth quarter of 2022 a number of high-profile bankruptcies among crypto companies exacerbated the volatility in the market for our services we observed earlier in the year. This created a further depression of our stock price and created additional uncertainty about our ability to achieve the growth we expected when the impairment test as of September 30, 2022 was performed. Accordingly, we concluded our indefinite-lived intangible assets, long-lived assets and goodwill should be quantitatively tested for impairment as of December 31, 2022.</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concluded the carrying value of the reporting unit exceeded its fair value and recorded an incremental goodwill impairment of $121.4 million.</w:t>
      </w:r>
    </w:p>
    <w:p>
      <w:pPr>
        <w:spacing w:after="0" w:line="224" w:lineRule="exact"/>
        <w:rPr>
          <w:sz w:val="20"/>
          <w:szCs w:val="20"/>
          <w:color w:val="auto"/>
        </w:rPr>
      </w:pPr>
    </w:p>
    <w:p>
      <w:pPr>
        <w:jc w:val="both"/>
        <w:ind w:right="20" w:firstLine="576"/>
        <w:spacing w:after="0" w:line="284" w:lineRule="auto"/>
        <w:rPr>
          <w:sz w:val="20"/>
          <w:szCs w:val="20"/>
          <w:color w:val="auto"/>
        </w:rPr>
      </w:pPr>
      <w:r>
        <w:rPr>
          <w:rFonts w:ascii="Times New Roman" w:cs="Times New Roman" w:eastAsia="Times New Roman" w:hAnsi="Times New Roman"/>
          <w:sz w:val="16"/>
          <w:szCs w:val="16"/>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EBITDA and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were intended to be commensurate with the risks and uncertainty inherent in our business. Assumptions used, such as forecasted growth rates, capital expenditures, and our cost of capital, are consistent with our internal projections and operating plans at the time.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spacing w:after="0" w:line="172"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For the impairment analysis conducted as of September 30, 2022 we also concluded that the fair value of our licenses and trademark/trade name indefinite-lived intangible assets fell below their carrying values and recorded impairments of $131.3 million and $26.5 million, respectively.</w:t>
      </w:r>
    </w:p>
    <w:p>
      <w:pPr>
        <w:spacing w:after="0" w:line="155"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For the impairment analysis conducted as of December 31, 2022 we also concluded that the fair value of our licenses, trademark/trade name indefinite lived intangible assets and the technology finite lived intangible asset associated with our mobile app fell below their carrying values and recorded impairments of $110.0 million, $5.0 million, and $38.0 million, respectively.</w:t>
      </w:r>
    </w:p>
    <w:p>
      <w:pPr>
        <w:spacing w:after="0" w:line="164"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Our impairment analysis for the licenses intangible asset involved the use of an income approach which estimated the value of the in-place licenses as compared to cash flows if the licenses had to be obtained at a delay. Significant judgments used in this analysis are consistent with the inputs used in the income approach for the goodwill impairment analysis and the assumed time to obtain the licenses.</w:t>
      </w:r>
    </w:p>
    <w:p>
      <w:pPr>
        <w:spacing w:after="0" w:line="164" w:lineRule="exact"/>
        <w:rPr>
          <w:sz w:val="20"/>
          <w:szCs w:val="20"/>
          <w:color w:val="auto"/>
        </w:rPr>
      </w:pPr>
    </w:p>
    <w:p>
      <w:pPr>
        <w:ind w:right="40" w:firstLine="576"/>
        <w:spacing w:after="0" w:line="384" w:lineRule="auto"/>
        <w:rPr>
          <w:sz w:val="20"/>
          <w:szCs w:val="20"/>
          <w:color w:val="auto"/>
        </w:rPr>
      </w:pPr>
      <w:r>
        <w:rPr>
          <w:rFonts w:ascii="Times New Roman" w:cs="Times New Roman" w:eastAsia="Times New Roman" w:hAnsi="Times New Roman"/>
          <w:sz w:val="14"/>
          <w:szCs w:val="14"/>
          <w:color w:val="auto"/>
        </w:rPr>
        <w:t>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453390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discount rate used in the valuations conducted during 2022 was 15.5%, which was 400 basis points higher than the discount rate assumed in the valuation of these intangibles for the VIH Business Combination. The higher discount rate reflects the higher risk-free rate and beta observed as of September 30, 2022 and December 31, 2022 as compared to the October 15, 2021 VIH Business Combination valuation date.</w:t>
      </w:r>
    </w:p>
    <w:p>
      <w:pPr>
        <w:spacing w:after="0" w:line="164"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Our goodwill was not impacted by foreign currency translation during the year ended December 31, 2024. Our goodwill was impacted by foreign currency translation of less than $0.1 million during the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62"/>
              <w:spacing w:after="0" w:line="156"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42"/>
              <w:spacing w:after="0" w:line="156"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182"/>
              <w:spacing w:after="0" w:line="15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22"/>
              <w:spacing w:after="0" w:line="15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 trade names</w:t>
            </w: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ind w:right="162"/>
              <w:spacing w:after="0"/>
              <w:rPr>
                <w:sz w:val="20"/>
                <w:szCs w:val="20"/>
                <w:color w:val="auto"/>
              </w:rPr>
            </w:pPr>
            <w:r>
              <w:rPr>
                <w:rFonts w:ascii="Times New Roman" w:cs="Times New Roman" w:eastAsia="Times New Roman" w:hAnsi="Times New Roman"/>
                <w:sz w:val="16"/>
                <w:szCs w:val="16"/>
                <w:color w:val="auto"/>
                <w:w w:val="96"/>
              </w:rPr>
              <w:t>Indefinite</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19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left="22"/>
              <w:spacing w:after="0" w:line="156"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left="42"/>
              <w:spacing w:after="0" w:line="156" w:lineRule="exact"/>
              <w:rPr>
                <w:sz w:val="20"/>
                <w:szCs w:val="20"/>
                <w:color w:val="auto"/>
              </w:rPr>
            </w:pPr>
            <w:r>
              <w:rPr>
                <w:rFonts w:ascii="Times New Roman" w:cs="Times New Roman" w:eastAsia="Times New Roman" w:hAnsi="Times New Roman"/>
                <w:sz w:val="16"/>
                <w:szCs w:val="16"/>
                <w:b w:val="1"/>
                <w:bCs w:val="1"/>
                <w:color w:val="auto"/>
                <w:w w:val="95"/>
              </w:rPr>
              <w:t>Useful Life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left="62"/>
              <w:spacing w:after="0" w:line="15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62"/>
              <w:spacing w:after="0" w:line="15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0" w:type="dxa"/>
            <w:vAlign w:val="bottom"/>
          </w:tcPr>
          <w:p>
            <w:pPr>
              <w:spacing w:after="0"/>
              <w:rPr>
                <w:sz w:val="1"/>
                <w:szCs w:val="1"/>
                <w:color w:val="auto"/>
              </w:rPr>
            </w:pPr>
          </w:p>
        </w:tc>
      </w:tr>
      <w:tr>
        <w:trPr>
          <w:trHeight w:val="204"/>
        </w:trPr>
        <w:tc>
          <w:tcPr>
            <w:tcW w:w="3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Indefinite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 / trade names</w:t>
            </w:r>
          </w:p>
        </w:tc>
        <w:tc>
          <w:tcPr>
            <w:tcW w:w="160" w:type="dxa"/>
            <w:vAlign w:val="bottom"/>
          </w:tcPr>
          <w:p>
            <w:pPr>
              <w:spacing w:after="0"/>
              <w:rPr>
                <w:sz w:val="17"/>
                <w:szCs w:val="17"/>
                <w:color w:val="auto"/>
              </w:rPr>
            </w:pPr>
          </w:p>
        </w:tc>
        <w:tc>
          <w:tcPr>
            <w:tcW w:w="14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Indefinite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20" w:type="dxa"/>
            <w:vAlign w:val="bottom"/>
          </w:tcPr>
          <w:p>
            <w:pPr>
              <w:spacing w:after="0"/>
              <w:rPr>
                <w:sz w:val="17"/>
                <w:szCs w:val="17"/>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0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600" w:type="dxa"/>
            <w:vAlign w:val="bottom"/>
            <w:gridSpan w:val="2"/>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w w:val="89"/>
              </w:rPr>
              <w:t>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8"/>
              </w:rPr>
              <w:t>(1,242)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0" w:type="dxa"/>
            <w:vAlign w:val="bottom"/>
            <w:tcBorders>
              <w:bottom w:val="single" w:sz="8" w:color="CCEEFF"/>
            </w:tcBorders>
            <w:gridSpan w:val="2"/>
          </w:tcPr>
          <w:p>
            <w:pPr>
              <w:jc w:val="center"/>
              <w:ind w:left="182"/>
              <w:spacing w:after="0"/>
              <w:rPr>
                <w:sz w:val="20"/>
                <w:szCs w:val="20"/>
                <w:color w:val="auto"/>
              </w:rPr>
            </w:pPr>
            <w:r>
              <w:rPr>
                <w:rFonts w:ascii="Times New Roman" w:cs="Times New Roman" w:eastAsia="Times New Roman" w:hAnsi="Times New Roman"/>
                <w:sz w:val="16"/>
                <w:szCs w:val="16"/>
                <w:color w:val="auto"/>
                <w:w w:val="89"/>
              </w:rPr>
              <w:t>8.4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gridSpan w:val="2"/>
            <w:shd w:val="clear" w:color="auto" w:fill="CCEEFF"/>
          </w:tcPr>
          <w:p>
            <w:pPr>
              <w:jc w:val="center"/>
              <w:ind w:left="662"/>
              <w:spacing w:after="0"/>
              <w:rPr>
                <w:sz w:val="20"/>
                <w:szCs w:val="20"/>
                <w:color w:val="auto"/>
              </w:rPr>
            </w:pPr>
            <w:r>
              <w:rPr>
                <w:rFonts w:ascii="Times New Roman" w:cs="Times New Roman" w:eastAsia="Times New Roman" w:hAnsi="Times New Roman"/>
                <w:sz w:val="16"/>
                <w:szCs w:val="16"/>
                <w:color w:val="auto"/>
                <w:w w:val="98"/>
              </w:rPr>
              <w:t>(1,242)</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300" w:type="dxa"/>
            <w:vAlign w:val="bottom"/>
            <w:tcBorders>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We did not record any amortization of intangible assets for the year ended December 31, 2024. Amortization of intangible assets for the years ended December 31, 2023 and December 31, 2022 was $2.7 million and $13.6 million, respectively, and is included in “Depreciation and amortization” in the consolidated statements of operations.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finite lived intangible assets have been fully impaired, therefore there is no future amortization for definite-lived intangible assets as of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224"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Intangible assets also include crypto assets we own, which are accounted for as indefinite-lived intangible assets and are initially measured at cost (under a first-in, first-out basis) under the guidance in ASC 350. These assets are not amortized, but assessed for impairment regularly given the volatility of markets for these assets. Impairment exists when the carrying amount exceeds its fair value. The fair value of crypto assets is determined as the lowest price of executed transactions during the measurement or holding period using the quoted price of the crypto asset in our principal market. The carrying amount of a crypto asset after its impairment becomes its new cost basis. Impairment losses are not reversible or recoverable and are included in “Crypto costs” in the consolidated statement of operations. Impairment losses were not material for the years ended December 31, 2024 and December 31, 2023. Our owned crypto assets are typically liquidated on a daily basis during the fulfillment of customer orders and settlement with our liquidity providers. We classify cash flows from crypto assets within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494030</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912"/>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Consolidated Balance Sheet Components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2"/>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2"/>
        </w:trPr>
        <w:tc>
          <w:tcPr>
            <w:tcW w:w="6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Accounts receivable, net consisted of the following (in thousands):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9"/>
        </w:trPr>
        <w:tc>
          <w:tcPr>
            <w:tcW w:w="67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Customers, clients and liquidity providers</w:t>
            </w: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4,121</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2,166</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7,424</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7,683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6,903</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6"/>
          <w:szCs w:val="16"/>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67"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We wrote-off $0.4 million of receivables during the year ended December 31, 2024. There were no write-offs of receivables during the years ended December 31, 2023, and December 31, 2022.</w:t>
      </w:r>
    </w:p>
    <w:p>
      <w:pPr>
        <w:spacing w:after="0" w:line="155"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As of December 31, 2024, the three largest customer balances represented approximately 99.95%, respectively, of total trade accounts receivable. As of December 31, 2023, there were only two customer balances, the larger of which represented approximately 98.71%, respectively, of total trade accounts receivable.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Current Assets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6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current assets consisted of the following (in thousands):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6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2,936</w:t>
            </w:r>
          </w:p>
        </w:tc>
        <w:tc>
          <w:tcPr>
            <w:tcW w:w="0" w:type="dxa"/>
            <w:vAlign w:val="bottom"/>
          </w:tcPr>
          <w:p>
            <w:pPr>
              <w:spacing w:after="0"/>
              <w:rPr>
                <w:sz w:val="1"/>
                <w:szCs w:val="1"/>
                <w:color w:val="auto"/>
              </w:rPr>
            </w:pPr>
          </w:p>
        </w:tc>
      </w:tr>
      <w:tr>
        <w:trPr>
          <w:trHeight w:val="204"/>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Equipment and Software,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6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Property, equipment and software, net consisted of the following (in thousands):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7"/>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Internal-use software</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1,917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computer and network equipment</w:t>
            </w: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equipment and software, gross</w:t>
            </w: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 and depreciation.</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196"/>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For the years ended December 31, 2024, December 31, 2023, and December 31, 2022 depreciation and amortization expense related to property, equipment and software amounted to $0.3 million, $5.1 million, and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of which $0.2 million, $0.2 million, and $1.3 million respectively, related to amortization expense of capitalized internal-use software placed in service.</w:t>
      </w:r>
    </w:p>
    <w:p>
      <w:pPr>
        <w:spacing w:after="0" w:line="247"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Company conducted a quantitative impairment test of long-lived assets as of December 31, 2024 and concluded certain leasehold improvements, office furniture and equipment and internal use software were fully impaired. An impairment charge of $0.9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67"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Company conducted a quantitative impairment test of long-lived assets as of December 31, 2023 and concluded certain leasehold improvements, office furniture and equipment and internal use software were fully impaired. An impairment charge of $21.3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67"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Company conducted a quantitative impairment test of long-lived assets as of December 31, 2022 and concluded certain internal use software was fully impaired. An impairment charge of $8.7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6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assets consisted of the following (in thousands):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7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9,356</w:t>
            </w:r>
          </w:p>
        </w:tc>
        <w:tc>
          <w:tcPr>
            <w:tcW w:w="0" w:type="dxa"/>
            <w:vAlign w:val="bottom"/>
          </w:tcPr>
          <w:p>
            <w:pPr>
              <w:spacing w:after="0"/>
              <w:rPr>
                <w:sz w:val="1"/>
                <w:szCs w:val="1"/>
                <w:color w:val="auto"/>
              </w:rPr>
            </w:pPr>
          </w:p>
        </w:tc>
      </w:tr>
      <w:tr>
        <w:trPr>
          <w:trHeight w:val="20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1,651</w:t>
            </w: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Payable and Accrued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Accounts payable and accrued liabilities consisted of the following (in thousands):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7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7,639</w:t>
            </w:r>
          </w:p>
        </w:tc>
        <w:tc>
          <w:tcPr>
            <w:tcW w:w="0" w:type="dxa"/>
            <w:vAlign w:val="bottom"/>
          </w:tcPr>
          <w:p>
            <w:pPr>
              <w:spacing w:after="0"/>
              <w:rPr>
                <w:sz w:val="1"/>
                <w:szCs w:val="1"/>
                <w:color w:val="auto"/>
              </w:rPr>
            </w:pP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Payables to clients and customers</w:t>
            </w: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4,707</w:t>
            </w: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0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222"/>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80"/>
          </w:cols>
          <w:pgMar w:left="660" w:top="557" w:right="660" w:bottom="14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Current Liabilities</w:t>
      </w:r>
    </w:p>
    <w:p>
      <w:pPr>
        <w:spacing w:after="0" w:line="192"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6"/>
          <w:szCs w:val="16"/>
          <w:color w:val="auto"/>
        </w:rPr>
        <w:t>Other current liabilities consisted of the following (in thousands):</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maturities of operating lease liability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129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579755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20" w:type="dxa"/>
            <w:vAlign w:val="bottom"/>
          </w:tcPr>
          <w:p>
            <w:pPr>
              <w:spacing w:after="0"/>
              <w:rPr>
                <w:sz w:val="17"/>
                <w:szCs w:val="17"/>
                <w:color w:val="auto"/>
              </w:rPr>
            </w:pPr>
          </w:p>
        </w:tc>
        <w:tc>
          <w:tcPr>
            <w:tcW w:w="17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4"/>
        </w:trPr>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3,508</w:t>
            </w:r>
          </w:p>
        </w:tc>
      </w:tr>
      <w:tr>
        <w:trPr>
          <w:trHeight w:val="205"/>
        </w:trPr>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197"/>
        </w:trPr>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4,406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4,174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40" w:orient="portrait"/>
          <w:cols w:equalWidth="0" w:num="2">
            <w:col w:w="5940" w:space="720"/>
            <w:col w:w="3920"/>
          </w:cols>
          <w:pgMar w:left="660" w:top="557" w:right="660" w:bottom="1440" w:gutter="0" w:footer="0" w:header="0"/>
          <w:type w:val="continuous"/>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912"/>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Noncurrent Liabilities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2"/>
        </w:trPr>
        <w:tc>
          <w:tcPr>
            <w:tcW w:w="6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noncurrent liabilities consisted of the following (in thousands):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9"/>
        </w:trPr>
        <w:tc>
          <w:tcPr>
            <w:tcW w:w="67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19,882</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6"/>
          <w:szCs w:val="16"/>
          <w:color w:val="auto"/>
        </w:rPr>
        <w:t>Amounts receivable and payable included in the tables above related to our crypto transactions pending settlement with our customers and liquidity providers were settled in early 2024 in amounts consistent with those reflected above.</w:t>
      </w:r>
    </w:p>
    <w:p>
      <w:pPr>
        <w:spacing w:after="0" w:line="153" w:lineRule="exact"/>
        <w:rPr>
          <w:sz w:val="20"/>
          <w:szCs w:val="20"/>
          <w:color w:val="auto"/>
        </w:rPr>
      </w:pPr>
    </w:p>
    <w:p>
      <w:pPr>
        <w:ind w:left="300" w:hanging="294"/>
        <w:spacing w:after="0"/>
        <w:tabs>
          <w:tab w:leader="none" w:pos="30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 Receivable Agreement</w:t>
      </w:r>
    </w:p>
    <w:p>
      <w:pPr>
        <w:spacing w:after="0" w:line="202" w:lineRule="exact"/>
        <w:rPr>
          <w:sz w:val="20"/>
          <w:szCs w:val="20"/>
          <w:color w:val="auto"/>
        </w:rPr>
      </w:pPr>
    </w:p>
    <w:p>
      <w:pPr>
        <w:jc w:val="both"/>
        <w:ind w:right="20" w:firstLine="576"/>
        <w:spacing w:after="0" w:line="355" w:lineRule="auto"/>
        <w:rPr>
          <w:sz w:val="20"/>
          <w:szCs w:val="20"/>
          <w:color w:val="auto"/>
        </w:rPr>
      </w:pPr>
      <w:r>
        <w:rPr>
          <w:rFonts w:ascii="Times New Roman" w:cs="Times New Roman" w:eastAsia="Times New Roman" w:hAnsi="Times New Roman"/>
          <w:sz w:val="14"/>
          <w:szCs w:val="14"/>
          <w:color w:val="auto"/>
        </w:rPr>
        <w:t>On October 15, 2021, we entered into a Tax Receivable Agreement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30"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4"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2024, 1,059,848 Opco common units were exchanged for Class A common stock. Refer to Note 15 regarding the contingency related to the TRA.</w:t>
      </w:r>
    </w:p>
    <w:p>
      <w:pPr>
        <w:spacing w:after="0" w:line="163" w:lineRule="exact"/>
        <w:rPr>
          <w:sz w:val="20"/>
          <w:szCs w:val="20"/>
          <w:color w:val="auto"/>
        </w:rPr>
      </w:pPr>
    </w:p>
    <w:p>
      <w:pPr>
        <w:ind w:left="300" w:hanging="294"/>
        <w:spacing w:after="0"/>
        <w:tabs>
          <w:tab w:leader="none" w:pos="30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ICE Credit Facility</w:t>
      </w:r>
    </w:p>
    <w:p>
      <w:pPr>
        <w:spacing w:after="0" w:line="226"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On August 12, 2024, Bakkt and Opco entered into the ICE Credit Facility, with certain subsidiaries of Bakkt party thereto from time to time, as guarantors, whereby the Lender agreed to provide for a $40.0 million secured revolving line of credit to us for working capital and general corporate purposes. Any borrowings under the facility made prior to December 31, 2024 require the consent of the Lender in its sole discretion.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494030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6"/>
          <w:szCs w:val="16"/>
          <w:color w:val="auto"/>
        </w:rPr>
        <w:t>after September 30, 2025, Opco can borrow up to an aggregate principal amount (excluding any capitalized interest) of $40.0 million. As of December 31, 2024, no loans were outstanding under the ICE Credit Facility.</w:t>
      </w:r>
    </w:p>
    <w:p>
      <w:pPr>
        <w:spacing w:after="0" w:line="155" w:lineRule="exact"/>
        <w:rPr>
          <w:sz w:val="20"/>
          <w:szCs w:val="20"/>
          <w:color w:val="auto"/>
        </w:rPr>
      </w:pPr>
    </w:p>
    <w:p>
      <w:pPr>
        <w:jc w:val="both"/>
        <w:ind w:firstLine="576"/>
        <w:spacing w:after="0" w:line="285" w:lineRule="auto"/>
        <w:rPr>
          <w:sz w:val="20"/>
          <w:szCs w:val="20"/>
          <w:color w:val="auto"/>
        </w:rPr>
      </w:pPr>
      <w:r>
        <w:rPr>
          <w:rFonts w:ascii="Times New Roman" w:cs="Times New Roman" w:eastAsia="Times New Roman" w:hAnsi="Times New Roman"/>
          <w:sz w:val="16"/>
          <w:szCs w:val="16"/>
          <w:color w:val="auto"/>
        </w:rPr>
        <w:t>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175"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67"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173"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The obligations under the ICE Credit Facility are required to be guaranteed by Bakkt and certain material domestic subsidiaries of the Company and secured by substantially all of the personal property of the Company and such subsidiary guarantors.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Bakkt Crypto Solutions Technical Support</w:t>
      </w:r>
    </w:p>
    <w:p>
      <w:pPr>
        <w:spacing w:after="0" w:line="226" w:lineRule="exact"/>
        <w:rPr>
          <w:sz w:val="20"/>
          <w:szCs w:val="20"/>
          <w:color w:val="auto"/>
        </w:rPr>
      </w:pPr>
    </w:p>
    <w:p>
      <w:pPr>
        <w:jc w:val="both"/>
        <w:ind w:right="20" w:firstLine="576"/>
        <w:spacing w:after="0" w:line="288" w:lineRule="auto"/>
        <w:rPr>
          <w:sz w:val="20"/>
          <w:szCs w:val="20"/>
          <w:color w:val="auto"/>
        </w:rPr>
      </w:pPr>
      <w:r>
        <w:rPr>
          <w:rFonts w:ascii="Times New Roman" w:cs="Times New Roman" w:eastAsia="Times New Roman" w:hAnsi="Times New Roman"/>
          <w:sz w:val="16"/>
          <w:szCs w:val="16"/>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$0.6 million, $1.1 million and $0 of expense related to the Apex TSA during the years ended December 31, 2024, December 31, 2023, and December 31, 2022, respectively which is reflected as “Related party expenses” in the consolidated statements of operations. As of December 31, 2024 and December 31, 2023, we had $0.2 million and $0.2 million, respectively reflected as “Due to related party” in the consolidated balance sheets related to the Apex TSA.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ICE Management and Technical Support</w:t>
      </w:r>
    </w:p>
    <w:p>
      <w:pPr>
        <w:spacing w:after="0" w:line="202"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$0, $2.8 million, and $1.2 million of expense related to the ICE TSA for the years ended December 31, 2024, December 31, 2023, and December 31, 2022 respectively, which are reflected as “Related party expenses” in the consolidated statements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490220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6"/>
          <w:szCs w:val="16"/>
          <w:color w:val="auto"/>
        </w:rPr>
        <w:t>operations. As of December 31, 2024 and December 31, 2023, we had $2.2 million and $3.1 million, respectively, reflected as “Due to related party” in the consolidated balance sheets related to the ICE TSA. The agreement terminated in December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Triparty Agreement</w:t>
      </w:r>
    </w:p>
    <w:p>
      <w:pPr>
        <w:spacing w:after="0" w:line="226" w:lineRule="exact"/>
        <w:rPr>
          <w:sz w:val="20"/>
          <w:szCs w:val="20"/>
          <w:color w:val="auto"/>
        </w:rPr>
      </w:pPr>
    </w:p>
    <w:p>
      <w:pPr>
        <w:ind w:right="60" w:firstLine="576"/>
        <w:spacing w:after="0" w:line="384" w:lineRule="auto"/>
        <w:rPr>
          <w:sz w:val="20"/>
          <w:szCs w:val="20"/>
          <w:color w:val="auto"/>
        </w:rPr>
      </w:pPr>
      <w:r>
        <w:rPr>
          <w:rFonts w:ascii="Times New Roman" w:cs="Times New Roman" w:eastAsia="Times New Roman" w:hAnsi="Times New Roman"/>
          <w:sz w:val="14"/>
          <w:szCs w:val="14"/>
          <w:color w:val="auto"/>
        </w:rPr>
        <w:t>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w:t>
      </w:r>
    </w:p>
    <w:p>
      <w:pPr>
        <w:spacing w:after="0" w:line="109" w:lineRule="exact"/>
        <w:rPr>
          <w:sz w:val="20"/>
          <w:szCs w:val="20"/>
          <w:color w:val="auto"/>
        </w:rPr>
      </w:pPr>
    </w:p>
    <w:p>
      <w:pPr>
        <w:jc w:val="both"/>
        <w:ind w:firstLine="576"/>
        <w:spacing w:after="0" w:line="334" w:lineRule="auto"/>
        <w:rPr>
          <w:sz w:val="20"/>
          <w:szCs w:val="20"/>
          <w:color w:val="auto"/>
        </w:rPr>
      </w:pPr>
      <w:r>
        <w:rPr>
          <w:rFonts w:ascii="Times New Roman" w:cs="Times New Roman" w:eastAsia="Times New Roman" w:hAnsi="Times New Roman"/>
          <w:sz w:val="14"/>
          <w:szCs w:val="14"/>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2024 and December 31, 2023,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Warrants</w:t>
      </w:r>
    </w:p>
    <w:p>
      <w:pPr>
        <w:spacing w:after="0" w:line="226"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As of December 31, 2024 and December 31, 2023, there were 7,140,483 and 7,140,808 warrants to purchase Class A Common Stock (“Public Warrants”) outstanding, respectively. The Public Warrants may only be exercised for a whole number of shares. No fractional shares will be issued upon exercise of a Public Warrant.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73"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color w:val="auto"/>
        </w:rPr>
        <w:t>During the year ended December 31, 2024, we issued 301 shares of Class A common stock in exchange for the exercise of Public Warrants and received an immaterial amount in proceeds from the exercise of the Public Warrants. During the year ended December 31, 2023, we did not issue any shares of Class A common stock in exchange for the exercise of Public Warrants, nor did we receive any proceeds from the exercise of the Public Warrants. During the year ended December 31, 2022, we issued 8 shares of Class A common stock in exchange for the exercise of 221 Public Warrants. We received less than $0.1 million in proceeds from the exercise of the Public Warrants. We recognized a loss from the change in fair value of the warrant liability during the year ended December 31, 2024 of $1.8 million, which is reflected in “(Loss) gain from change in fair value of warrant liability” in the consolidated statements of operations. We recognized a loss from the change in fair value of the warrant liability during the year ended December 31, 2023 of $1.6 million, which is reflected in “(Loss) gain from change in fair value of warrant liability” in the consolidated statements of operations. We recognized a gain from the change in fair value of the warrant liability during the year ended December 31, 2022 of $16.6 million, which is reflected in “(Loss) gain from change in fair value of warrant liability” in the consolidated statements of operations.</w:t>
      </w:r>
    </w:p>
    <w:p>
      <w:pPr>
        <w:spacing w:after="0" w:line="177" w:lineRule="exact"/>
        <w:rPr>
          <w:sz w:val="20"/>
          <w:szCs w:val="20"/>
          <w:color w:val="auto"/>
        </w:rPr>
      </w:pPr>
    </w:p>
    <w:p>
      <w:pPr>
        <w:ind w:firstLine="576"/>
        <w:spacing w:after="0" w:line="288" w:lineRule="auto"/>
        <w:rPr>
          <w:sz w:val="20"/>
          <w:szCs w:val="20"/>
          <w:color w:val="auto"/>
        </w:rPr>
      </w:pPr>
      <w:r>
        <w:rPr>
          <w:rFonts w:ascii="Times New Roman" w:cs="Times New Roman" w:eastAsia="Times New Roman" w:hAnsi="Times New Roman"/>
          <w:sz w:val="16"/>
          <w:szCs w:val="16"/>
          <w:color w:val="auto"/>
        </w:rPr>
        <w:t>In connection with the Concurrent Offerings (Note 11), we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491490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576"/>
        <w:spacing w:after="0" w:line="343" w:lineRule="auto"/>
        <w:rPr>
          <w:sz w:val="20"/>
          <w:szCs w:val="20"/>
          <w:color w:val="auto"/>
        </w:rPr>
      </w:pPr>
      <w:r>
        <w:rPr>
          <w:rFonts w:ascii="Times New Roman" w:cs="Times New Roman" w:eastAsia="Times New Roman" w:hAnsi="Times New Roman"/>
          <w:sz w:val="14"/>
          <w:szCs w:val="14"/>
          <w:color w:val="auto"/>
        </w:rPr>
        <w:t>Concurrently, under the terms of the ICE Offering we entered into a securities purchase agreement (the “ICE Purchase Agreement” and, together with the Third-Party Purchase Agreement, the “Purchase Agreements”)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136" w:lineRule="exact"/>
        <w:rPr>
          <w:sz w:val="20"/>
          <w:szCs w:val="20"/>
          <w:color w:val="auto"/>
        </w:rPr>
      </w:pPr>
    </w:p>
    <w:p>
      <w:pPr>
        <w:jc w:val="both"/>
        <w:ind w:right="60" w:firstLine="576"/>
        <w:spacing w:after="0" w:line="290" w:lineRule="auto"/>
        <w:rPr>
          <w:sz w:val="20"/>
          <w:szCs w:val="20"/>
          <w:color w:val="auto"/>
        </w:rPr>
      </w:pPr>
      <w:r>
        <w:rPr>
          <w:rFonts w:ascii="Times New Roman" w:cs="Times New Roman" w:eastAsia="Times New Roman" w:hAnsi="Times New Roman"/>
          <w:sz w:val="16"/>
          <w:szCs w:val="16"/>
          <w:color w:val="auto"/>
        </w:rPr>
        <w:t>The Class 1 Warrants and Class 2 Warrants each have an exercise price of $25.50 and have a five-and-a-half year term. The Class 1 Warrants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Warrants and Class 2 Warrants issued in the Concurrent Offerings are initially recorded as a liability at fair value and reflected as “Warrant liability” in the consolidated balance sheets.</w:t>
      </w:r>
    </w:p>
    <w:p>
      <w:pPr>
        <w:spacing w:after="0" w:line="167" w:lineRule="exact"/>
        <w:rPr>
          <w:sz w:val="20"/>
          <w:szCs w:val="20"/>
          <w:color w:val="auto"/>
        </w:rPr>
      </w:pPr>
    </w:p>
    <w:p>
      <w:pPr>
        <w:jc w:val="both"/>
        <w:ind w:right="40" w:firstLine="576"/>
        <w:spacing w:after="0" w:line="288" w:lineRule="auto"/>
        <w:rPr>
          <w:sz w:val="20"/>
          <w:szCs w:val="20"/>
          <w:color w:val="auto"/>
        </w:rPr>
      </w:pPr>
      <w:r>
        <w:rPr>
          <w:rFonts w:ascii="Times New Roman" w:cs="Times New Roman" w:eastAsia="Times New Roman" w:hAnsi="Times New Roman"/>
          <w:sz w:val="16"/>
          <w:szCs w:val="16"/>
          <w:color w:val="auto"/>
        </w:rPr>
        <w:t>The warrants issued on April 25, 2024 were valued at $2.6 million using the Black-Scholes-Merton model for Class 1 Warrants and a binomial lattice model for the Class 2 Warrants. Prior to the second quarter of 2024, we used a Monte Carlo simulation to measure the fair value of the Class 2 Warrants. During the second quarter of 2024, we adopted a binomial lattice model as our valuation technique as we believe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168" w:lineRule="exact"/>
        <w:rPr>
          <w:sz w:val="20"/>
          <w:szCs w:val="20"/>
          <w:color w:val="auto"/>
        </w:rPr>
      </w:pPr>
    </w:p>
    <w:p>
      <w:pPr>
        <w:jc w:val="both"/>
        <w:ind w:right="80" w:firstLine="576"/>
        <w:spacing w:after="0" w:line="286" w:lineRule="auto"/>
        <w:rPr>
          <w:sz w:val="20"/>
          <w:szCs w:val="20"/>
          <w:color w:val="auto"/>
        </w:rPr>
      </w:pPr>
      <w:r>
        <w:rPr>
          <w:rFonts w:ascii="Times New Roman" w:cs="Times New Roman" w:eastAsia="Times New Roman" w:hAnsi="Times New Roman"/>
          <w:sz w:val="16"/>
          <w:szCs w:val="16"/>
          <w:color w:val="auto"/>
        </w:rPr>
        <w:t>During the year ended December 31, 2024, Class 1 and Class 2 warrants exercisable for 288,950 shares of Class A Common Stock were exercised, with substantially all under an alternate cashless exercise, resulting in us issuing 144,675 shares of Class A Common Stock. As of December 31, 2024, Class 1 Warrants and Class 2 Warrants exercisable for 2,017,850 shares of Class A Common Stock remain outstanding. During the year ended December 31, 2024, holders exercised all of the Pre-Funded Warrants. The proceeds received from the exercise of Pre-Funded Warrants were immaterial. We recognized a loss from the change in fair value of the warrant liability associated with the Class 1 Warrants and Class 2 Warrants during the year ended December 31, 2024 of $15.4 million, which is reflected in “(Loss) gain from change in fair value of warrant liability” in the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Stockholders’ Equity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Registered Direct Offering</w:t>
      </w:r>
    </w:p>
    <w:p>
      <w:pPr>
        <w:spacing w:after="0" w:line="202" w:lineRule="exact"/>
        <w:rPr>
          <w:sz w:val="20"/>
          <w:szCs w:val="20"/>
          <w:color w:val="auto"/>
        </w:rPr>
      </w:pPr>
    </w:p>
    <w:p>
      <w:pPr>
        <w:jc w:val="both"/>
        <w:ind w:right="40" w:firstLine="576"/>
        <w:spacing w:after="0" w:line="284" w:lineRule="auto"/>
        <w:rPr>
          <w:sz w:val="20"/>
          <w:szCs w:val="20"/>
          <w:color w:val="auto"/>
        </w:rPr>
      </w:pPr>
      <w:r>
        <w:rPr>
          <w:rFonts w:ascii="Times New Roman" w:cs="Times New Roman" w:eastAsia="Times New Roman" w:hAnsi="Times New Roman"/>
          <w:sz w:val="16"/>
          <w:szCs w:val="16"/>
          <w:color w:val="auto"/>
        </w:rPr>
        <w:t>On February 29, 2024, we entered into a securities purchase agreement with certain institutional investors (the “Third-Party Purchasers”),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 which we agreed to sell and issue a combination of Class A Common Stock, Class 1 Warrants and Class 2 Warrants. We raised net proceeds from the Third-Party Offering of approximately $37.6 million, after deducting the placement agent’s fees and offering expenses payable by us, and raised net proceeds from the ICE Offering of approximately $9.8 million, after deducting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226" w:lineRule="exact"/>
        <w:rPr>
          <w:sz w:val="20"/>
          <w:szCs w:val="20"/>
          <w:color w:val="auto"/>
        </w:rPr>
      </w:pPr>
    </w:p>
    <w:p>
      <w:pPr>
        <w:ind w:right="60" w:firstLine="576"/>
        <w:spacing w:after="0" w:line="306" w:lineRule="auto"/>
        <w:rPr>
          <w:sz w:val="20"/>
          <w:szCs w:val="20"/>
          <w:color w:val="auto"/>
        </w:rPr>
      </w:pPr>
      <w:r>
        <w:rPr>
          <w:rFonts w:ascii="Times New Roman" w:cs="Times New Roman" w:eastAsia="Times New Roman" w:hAnsi="Times New Roman"/>
          <w:sz w:val="16"/>
          <w:szCs w:val="16"/>
          <w:color w:val="auto"/>
        </w:rPr>
        <w:t>We are authorized to issue 1,000,000 shares of preferred stock with a par value of $0.0001 per share. The holders of a series of preferred stock shall be entitled only to such voting rights as shall expressly be granted thereto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7" w:right="62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6"/>
          <w:szCs w:val="16"/>
          <w:color w:val="auto"/>
        </w:rPr>
        <w:t>Certificate of Incorporation (including any certificate of designation relating to such series of preferred stock). As of December 31, 2024, no shares of preferred stock have been issued.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p>
      <w:pPr>
        <w:spacing w:after="0" w:line="228"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2024 and December 31, 2023, there were 6,510,885 and 3,793,837 shares of Class A common stock issued and outstanding,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26"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December 31, 2024, no dividends have been declared.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226"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 V Common Stock</w:t>
      </w:r>
    </w:p>
    <w:p>
      <w:pPr>
        <w:spacing w:after="0" w:line="228" w:lineRule="exact"/>
        <w:rPr>
          <w:sz w:val="20"/>
          <w:szCs w:val="20"/>
          <w:color w:val="auto"/>
        </w:rPr>
      </w:pPr>
    </w:p>
    <w:p>
      <w:pPr>
        <w:jc w:val="both"/>
        <w:ind w:right="20" w:firstLine="576"/>
        <w:spacing w:after="0" w:line="285" w:lineRule="auto"/>
        <w:rPr>
          <w:sz w:val="20"/>
          <w:szCs w:val="20"/>
          <w:color w:val="auto"/>
        </w:rPr>
      </w:pPr>
      <w:r>
        <w:rPr>
          <w:rFonts w:ascii="Times New Roman" w:cs="Times New Roman" w:eastAsia="Times New Roman" w:hAnsi="Times New Roman"/>
          <w:sz w:val="16"/>
          <w:szCs w:val="16"/>
          <w:color w:val="auto"/>
        </w:rPr>
        <w:t>We are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(the “Opco LLC Agreement”) and the Amended and Restated Exchange Agreement (the “Exchange Agreement”). Holders of Paired Interests became eligible on April 16, 2022 under the Exchange Agreement to exchange their Paired Interests for Class A common stock, or, at our election, cash in lieu thereof. During the year ended December 31, 2024, December 31, 2023, and December 31, 2022, there were 21,761, 139,053, and 899,035 Paired Interests exchanged for our Class A common stock, and the Company did not elect to settle any such exchanges in cash. As of December 31, 2024 and December 31, 2023, there were 7,178,303 and 7,200,064 shares of Class V common stock issued and outstanding,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Dividends will not be declared or paid on the Class V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226"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our affairs, the holders of Class V common stock shall not be entitled to receive any of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Restrictions</w:t>
      </w:r>
    </w:p>
    <w:p>
      <w:pPr>
        <w:spacing w:after="0" w:line="226"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the ownership interest in Opco as of December 31, 2024 and December 31,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spacing w:after="0"/>
              <w:rPr>
                <w:sz w:val="17"/>
                <w:szCs w:val="17"/>
                <w:color w:val="auto"/>
              </w:rPr>
            </w:pPr>
          </w:p>
        </w:tc>
        <w:tc>
          <w:tcPr>
            <w:tcW w:w="2940" w:type="dxa"/>
            <w:vAlign w:val="bottom"/>
            <w:tcBorders>
              <w:bottom w:val="single" w:sz="8" w:color="auto"/>
            </w:tcBorders>
            <w:gridSpan w:val="2"/>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auto"/>
            </w:tcBorders>
            <w:gridSpan w:val="2"/>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40" w:type="dxa"/>
            <w:vAlign w:val="bottom"/>
          </w:tcPr>
          <w:p>
            <w:pPr>
              <w:jc w:val="right"/>
              <w:ind w:right="682"/>
              <w:spacing w:after="0" w:line="149" w:lineRule="exact"/>
              <w:rPr>
                <w:sz w:val="20"/>
                <w:szCs w:val="20"/>
                <w:color w:val="auto"/>
              </w:rPr>
            </w:pPr>
            <w:r>
              <w:rPr>
                <w:rFonts w:ascii="Times New Roman" w:cs="Times New Roman" w:eastAsia="Times New Roman" w:hAnsi="Times New Roman"/>
                <w:sz w:val="16"/>
                <w:szCs w:val="16"/>
                <w:b w:val="1"/>
                <w:bCs w:val="1"/>
                <w:color w:val="auto"/>
              </w:rPr>
              <w:t>Opco</w:t>
            </w:r>
          </w:p>
        </w:tc>
        <w:tc>
          <w:tcPr>
            <w:tcW w:w="12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Ownership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right"/>
              <w:ind w:right="682"/>
              <w:spacing w:after="0" w:line="149" w:lineRule="exact"/>
              <w:rPr>
                <w:sz w:val="20"/>
                <w:szCs w:val="20"/>
                <w:color w:val="auto"/>
              </w:rPr>
            </w:pPr>
            <w:r>
              <w:rPr>
                <w:rFonts w:ascii="Times New Roman" w:cs="Times New Roman" w:eastAsia="Times New Roman" w:hAnsi="Times New Roman"/>
                <w:sz w:val="16"/>
                <w:szCs w:val="16"/>
                <w:b w:val="1"/>
                <w:bCs w:val="1"/>
                <w:color w:val="auto"/>
              </w:rPr>
              <w:t>Opco</w:t>
            </w:r>
          </w:p>
        </w:tc>
        <w:tc>
          <w:tcPr>
            <w:tcW w:w="12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Ownership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14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Common Units</w:t>
            </w:r>
          </w:p>
        </w:tc>
        <w:tc>
          <w:tcPr>
            <w:tcW w:w="1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Common Units</w:t>
            </w:r>
          </w:p>
        </w:tc>
        <w:tc>
          <w:tcPr>
            <w:tcW w:w="12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Opco common units held by Bakkt Holdings, Inc.</w:t>
            </w:r>
          </w:p>
        </w:tc>
        <w:tc>
          <w:tcPr>
            <w:tcW w:w="17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6,510,885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3,793,837</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Opco common units held by noncontrolling interest holders</w:t>
            </w:r>
          </w:p>
        </w:tc>
        <w:tc>
          <w:tcPr>
            <w:tcW w:w="17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7,178,303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7,200,064</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Opco common units outstanding</w:t>
            </w:r>
          </w:p>
        </w:tc>
        <w:tc>
          <w:tcPr>
            <w:tcW w:w="17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13,689,188</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10,993,901</w:t>
            </w: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2024, December 31, 2023, and December 31, 2022 was 55.1%, 67.0%, and 72.6%,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Members’ Equity</w:t>
      </w:r>
    </w:p>
    <w:p>
      <w:pPr>
        <w:spacing w:after="0" w:line="226"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Prior to the VIH Business Combination, Opco had three classes of voting units – Class A, Class B and Class C voting units – and incentive units granted under the Opco Incentive Equity Plan (the “Opco Plan”).</w:t>
      </w:r>
    </w:p>
    <w:p>
      <w:pPr>
        <w:spacing w:after="0" w:line="155" w:lineRule="exact"/>
        <w:rPr>
          <w:sz w:val="20"/>
          <w:szCs w:val="20"/>
          <w:color w:val="auto"/>
        </w:rPr>
      </w:pPr>
    </w:p>
    <w:p>
      <w:pPr>
        <w:jc w:val="both"/>
        <w:ind w:right="40" w:firstLine="576"/>
        <w:spacing w:after="0" w:line="294" w:lineRule="auto"/>
        <w:rPr>
          <w:sz w:val="20"/>
          <w:szCs w:val="20"/>
          <w:color w:val="auto"/>
        </w:rPr>
      </w:pPr>
      <w:r>
        <w:rPr>
          <w:rFonts w:ascii="Times New Roman" w:cs="Times New Roman" w:eastAsia="Times New Roman" w:hAnsi="Times New Roman"/>
          <w:sz w:val="16"/>
          <w:szCs w:val="16"/>
          <w:color w:val="auto"/>
        </w:rPr>
        <w:t>In connection with the VIH Business Combination, the Opco equity holders converted 16,000,000 Opco Class A voting units, 7,698,138 Opco Class B voting units, and 10,810,810 Opco Class C voting units to 7,597,331 shares of Class V common stock on a pro rata basis. Additionally, we issued 698,934 shares of Class V common stock related to the outstanding Opco incentive units.</w:t>
      </w:r>
    </w:p>
    <w:p>
      <w:pPr>
        <w:spacing w:after="0" w:line="164" w:lineRule="exact"/>
        <w:rPr>
          <w:sz w:val="20"/>
          <w:szCs w:val="20"/>
          <w:color w:val="auto"/>
        </w:rPr>
      </w:pPr>
    </w:p>
    <w:p>
      <w:pPr>
        <w:jc w:val="both"/>
        <w:ind w:right="20" w:firstLine="576"/>
        <w:spacing w:after="0" w:line="288" w:lineRule="auto"/>
        <w:rPr>
          <w:sz w:val="20"/>
          <w:szCs w:val="20"/>
          <w:color w:val="auto"/>
        </w:rPr>
      </w:pPr>
      <w:r>
        <w:rPr>
          <w:rFonts w:ascii="Times New Roman" w:cs="Times New Roman" w:eastAsia="Times New Roman" w:hAnsi="Times New Roman"/>
          <w:sz w:val="16"/>
          <w:szCs w:val="16"/>
          <w:color w:val="auto"/>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No expenses were recorded in the years ended December 31, 2024, December 31, 2023, or December 31, 2022 since the service conditions were not probable of being met in those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Share-Based and Unit-Based Compensation</w:t>
      </w:r>
    </w:p>
    <w:p>
      <w:pPr>
        <w:spacing w:after="0" w:line="202"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The following discussion of our share-based and unit-based compensation awards includes awards related to continuing and discontinuing operations, unless otherwise clarified.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2021 Incentive Plan</w:t>
      </w:r>
    </w:p>
    <w:p>
      <w:pPr>
        <w:spacing w:after="0" w:line="202"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Our 2021 Omnibus Incentive Plan, as amended (the “2021 Incentive Plan”), became effective on the Closing Date with the approval of VIH’s shareholders and the Board. The 2021 Incentive Plan allows us to make equity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337" w:lineRule="auto"/>
        <w:rPr>
          <w:sz w:val="20"/>
          <w:szCs w:val="20"/>
          <w:color w:val="auto"/>
        </w:rPr>
      </w:pPr>
      <w:r>
        <w:rPr>
          <w:rFonts w:ascii="Times New Roman" w:cs="Times New Roman" w:eastAsia="Times New Roman" w:hAnsi="Times New Roman"/>
          <w:sz w:val="14"/>
          <w:szCs w:val="14"/>
          <w:color w:val="auto"/>
        </w:rPr>
        <w:t>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1,063,618 shares. On May 31, 2024, the 2021 Incentive Plan was amended to increase by 938,625 shares the number of authorized shares of Class A common Stock available for issuance for a new aggregate total of 3,034,920 shares authorized. No award may vest earlier than the first anniversary of the date of grant, subject to limited conditions.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 Expense</w:t>
      </w:r>
    </w:p>
    <w:p>
      <w:pPr>
        <w:spacing w:after="0" w:line="228"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During the year ended December 31, 2024, we granted 1,263,155 RSUs and 248,170 PSUs, which represents 100% of the target award, to employees and directors. During the year ended December 31, 2023, we granted 311,323 RSUs and 26,945 PSUs, which represents 100% of the target award, to employees and directors. During the year ended December 31, 2022, we granted 410,069 RSUs and 204,679 PSUs, which represents 100% of the target award, to employees and directors.</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share-based compensation expense recognized for our share-based awards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 from continuing operations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23.4</w:t>
            </w:r>
          </w:p>
        </w:tc>
      </w:tr>
      <w:tr>
        <w:trPr>
          <w:trHeight w:val="204"/>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 from discontinued operations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r>
      <w:tr>
        <w:trPr>
          <w:trHeight w:val="197"/>
        </w:trPr>
        <w:tc>
          <w:tcPr>
            <w:tcW w:w="6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23.9</w:t>
            </w:r>
          </w:p>
        </w:tc>
      </w:tr>
    </w:tbl>
    <w:p>
      <w:pPr>
        <w:spacing w:after="0" w:line="263"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We recorded $15.1 million, $15.1 million, and $23.9 million of share-based compensation expense related to RSUs for the years ended December 31, 2024, December 31, 2023, and December 31, 2022, respectively. We recorded $0.7 million, $0.3 million, and $7.7 million of share-based compensation expense related to PSUs for the years ended December 31, 2024, December 31, 2023, and December 31, 2022, respectively. Share-based compensation expense for both RSUs and PSUs is included in “Compensation and benefits” in the consolidated statements of operations.</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Unrecognized compensation expense as of December 31, 2024 and December 31, 2023, respectively, was $12.9 million and $14.3 million for the RSUs and PSUs. The unrecognized compensation expense as of December 31, 2024 and December 31, 2023 will be recognized over a weighted-average period of 1.36 years and 1.38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RSU and PSU Activity</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summarizes RSU and PSU activity under the 2021 Incentive Plan for the years ended December 31, 2024, December 31, 2023,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(in thousands, except per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ind w:left="282"/>
              <w:spacing w:after="0" w:line="156"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ind w:left="282"/>
              <w:spacing w:after="0" w:line="156"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42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3"/>
                <w:szCs w:val="13"/>
                <w:color w:val="auto"/>
              </w:rPr>
            </w:pPr>
          </w:p>
        </w:tc>
        <w:tc>
          <w:tcPr>
            <w:tcW w:w="1320" w:type="dxa"/>
            <w:vAlign w:val="bottom"/>
          </w:tcPr>
          <w:p>
            <w:pPr>
              <w:jc w:val="center"/>
              <w:ind w:left="282"/>
              <w:spacing w:after="0" w:line="156"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2"/>
              <w:spacing w:after="0" w:line="156"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b w:val="1"/>
                <w:bCs w:val="1"/>
                <w:color w:val="auto"/>
              </w:rPr>
              <w:t>RSUs and PSUs</w:t>
            </w:r>
          </w:p>
        </w:tc>
        <w:tc>
          <w:tcPr>
            <w:tcW w:w="1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ind w:left="282"/>
              <w:spacing w:after="0" w:line="156"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2"/>
              <w:spacing w:after="0" w:line="156" w:lineRule="exact"/>
              <w:rPr>
                <w:sz w:val="20"/>
                <w:szCs w:val="20"/>
                <w:color w:val="auto"/>
              </w:rPr>
            </w:pPr>
            <w:r>
              <w:rPr>
                <w:rFonts w:ascii="Times New Roman" w:cs="Times New Roman" w:eastAsia="Times New Roman" w:hAnsi="Times New Roman"/>
                <w:sz w:val="16"/>
                <w:szCs w:val="16"/>
                <w:b w:val="1"/>
                <w:bCs w:val="1"/>
                <w:color w:val="auto"/>
                <w:w w:val="97"/>
              </w:rPr>
              <w:t>Grant Date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22"/>
              <w:spacing w:after="0" w:line="156"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4"/>
        </w:trPr>
        <w:tc>
          <w:tcPr>
            <w:tcW w:w="46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98.50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60,583</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205.00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37.25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95.50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1,511</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21,951</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54.04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1,421</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20" w:firstLine="576"/>
        <w:spacing w:after="0" w:line="285" w:lineRule="auto"/>
        <w:rPr>
          <w:sz w:val="20"/>
          <w:szCs w:val="20"/>
          <w:color w:val="auto"/>
        </w:rPr>
      </w:pPr>
      <w:r>
        <w:rPr>
          <w:rFonts w:ascii="Times New Roman" w:cs="Times New Roman" w:eastAsia="Times New Roman" w:hAnsi="Times New Roman"/>
          <w:sz w:val="16"/>
          <w:szCs w:val="16"/>
          <w:color w:val="auto"/>
        </w:rPr>
        <w:t>During the years ended December 31, 2024, December 31, 2023, and December 31, 2022, we recorded $4.9 million, $2.3 million, and $2.0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$1.1 million, $2.0 million, and $1.9 million during the years ended December 31, 2024, December 31, 2023, and December 31, 2022,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175"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Total fair value of vested RSU and PSU awards was $7.3 million, $8.7 million, and $6.5 million for the years ended December 31, 2024, December 31, 2023, and December 31, 2022, respectively.</w:t>
      </w:r>
    </w:p>
    <w:p>
      <w:pPr>
        <w:spacing w:after="0" w:line="155"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During the fourth quarter of 2022, the Company announced a restructuring plan to further focus the business. This restructuring plan included a reduction in workforce, impacting 22 employees that had outstanding RSUs. We modified the terms of the awards with these employees waiving the continued service requirement for the first tranche of outstanding RSUs if those awards would vest during the 60 days following their separation date. Any awards vesting after the 60 days would be forfeit, consistent with the terms of the 2021 Incentive Plan. We accounted for the modification of these awards as a new grant, including determining the grant date fair value on the date of the modification. The modified grant date fair value, combined with the forfeitures of the awards, resulted in a reversal of $1.0 million of previously recognized share-based compensation expense.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fair value of the RSUs and PSUs used in determining share-based compensation expense is based on the closing price of our common stock on the grant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24"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color w:val="auto"/>
        </w:rPr>
        <w:t>performance conditions. The metrics for PSUs granted during 2024 relate to our performance during fiscal year 2024, as measured against objective performance goals approved by the Board. The actual number of units earned may range from —% to 150% or 200% of the target number of units depending on the metric and depending upon achievement of the 2024 performance goals. PSUs granted in 2024 vest in two equal annual installments from 2025 to 2026. The metrics for PSUs granted during 2023 relate to our performance during fiscal year 2023, as measured against objective performance goals approved by the Board. The actual number of units earned may range from —% to 150% of the target number of units depending upon achievement of the 2023 performance goals. PSUs granted in 2023 vest in three equal annual installments from 2024 to 2026. The metrics for PSUs granted during 2022 relate to our performance during fiscal years 2022, 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Opco Plan</w:t>
      </w:r>
    </w:p>
    <w:p>
      <w:pPr>
        <w:spacing w:after="0" w:line="226" w:lineRule="exact"/>
        <w:rPr>
          <w:sz w:val="20"/>
          <w:szCs w:val="20"/>
          <w:color w:val="auto"/>
        </w:rPr>
      </w:pPr>
    </w:p>
    <w:p>
      <w:pPr>
        <w:jc w:val="both"/>
        <w:ind w:right="20" w:firstLine="576"/>
        <w:spacing w:after="0" w:line="285" w:lineRule="auto"/>
        <w:rPr>
          <w:sz w:val="20"/>
          <w:szCs w:val="20"/>
          <w:color w:val="auto"/>
        </w:rPr>
      </w:pPr>
      <w:r>
        <w:rPr>
          <w:rFonts w:ascii="Times New Roman" w:cs="Times New Roman" w:eastAsia="Times New Roman" w:hAnsi="Times New Roman"/>
          <w:sz w:val="16"/>
          <w:szCs w:val="16"/>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the Company classified participation units as liability awards on its consolidated balance sheets as of December 31, 2023. At the Company’s discretion, the Company settled the final tranche of vested participation units in October 2023 by issuing 4,472 shares of Class A common stock in lieu of making cash payments.</w:t>
      </w:r>
    </w:p>
    <w:p>
      <w:pPr>
        <w:spacing w:after="0" w:line="175"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VIH Business Combination was an initial public offering vesting event contemplated in the Opco Plan.</w:t>
      </w:r>
    </w:p>
    <w:p>
      <w:pPr>
        <w:spacing w:after="0" w:line="173" w:lineRule="exact"/>
        <w:rPr>
          <w:sz w:val="20"/>
          <w:szCs w:val="20"/>
          <w:color w:val="auto"/>
        </w:rPr>
      </w:pPr>
    </w:p>
    <w:p>
      <w:pPr>
        <w:jc w:val="both"/>
        <w:ind w:firstLine="576"/>
        <w:spacing w:after="0" w:line="331" w:lineRule="auto"/>
        <w:rPr>
          <w:sz w:val="20"/>
          <w:szCs w:val="20"/>
          <w:color w:val="auto"/>
        </w:rPr>
      </w:pPr>
      <w:r>
        <w:rPr>
          <w:rFonts w:ascii="Times New Roman" w:cs="Times New Roman" w:eastAsia="Times New Roman" w:hAnsi="Times New Roman"/>
          <w:sz w:val="14"/>
          <w:szCs w:val="14"/>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granted incentive units to the Management Vehicle, which is a member of Opco, and the Management Vehicle issued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due to the VIH Business Combination, the Management Vehicle no longer has the right to require Opco to purchase all of the incentive units held by the Management Vehicle. Accordingly, since the Closing Date, the Company classifies the incentive units as “Noncontrolling interest” in the consolidated balance sheets.</w:t>
      </w:r>
    </w:p>
    <w:p>
      <w:pPr>
        <w:spacing w:after="0" w:line="360"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color w:val="auto"/>
        </w:rPr>
        <w:t>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55"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In anticipation of the VIH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VIH Business Combination.</w:t>
      </w:r>
    </w:p>
    <w:p>
      <w:pPr>
        <w:spacing w:after="0" w:line="164"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are terminated without cause after the Closing Date vest in the unvested portion of their awards immediately upon their termination date. There has not been, and will not be, any additional awards made under the Opco Plan following the VIH Business Combination.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Unit-Based Compensation Expense</w:t>
      </w:r>
    </w:p>
    <w:p>
      <w:pPr>
        <w:spacing w:after="0" w:line="228" w:lineRule="exact"/>
        <w:rPr>
          <w:sz w:val="20"/>
          <w:szCs w:val="20"/>
          <w:color w:val="auto"/>
        </w:rPr>
      </w:pPr>
    </w:p>
    <w:p>
      <w:pPr>
        <w:ind w:firstLine="576"/>
        <w:spacing w:after="0" w:line="306" w:lineRule="auto"/>
        <w:rPr>
          <w:sz w:val="20"/>
          <w:szCs w:val="20"/>
          <w:color w:val="auto"/>
        </w:rPr>
      </w:pPr>
      <w:r>
        <w:rPr>
          <w:rFonts w:ascii="Times New Roman" w:cs="Times New Roman" w:eastAsia="Times New Roman" w:hAnsi="Times New Roman"/>
          <w:sz w:val="16"/>
          <w:szCs w:val="16"/>
          <w:color w:val="auto"/>
        </w:rPr>
        <w:t>There was no Unit-based compensation expense for the year ended December 31, 2024. Unit-based compensation expense for the years ended December 31, 2023 and December 31, 2022,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vMerge w:val="restart"/>
          </w:tcPr>
          <w:p>
            <w:pPr>
              <w:ind w:left="3460"/>
              <w:spacing w:after="0"/>
              <w:rPr>
                <w:sz w:val="20"/>
                <w:szCs w:val="20"/>
                <w:color w:val="auto"/>
              </w:rPr>
            </w:pPr>
            <w:r>
              <w:rPr>
                <w:rFonts w:ascii="Times New Roman" w:cs="Times New Roman" w:eastAsia="Times New Roman" w:hAnsi="Times New Roman"/>
                <w:sz w:val="16"/>
                <w:szCs w:val="16"/>
                <w:b w:val="1"/>
                <w:bCs w:val="1"/>
                <w:color w:val="auto"/>
              </w:rPr>
              <w:t>Type of unit</w:t>
            </w:r>
          </w:p>
        </w:tc>
        <w:tc>
          <w:tcPr>
            <w:tcW w:w="100" w:type="dxa"/>
            <w:vAlign w:val="bottom"/>
          </w:tcPr>
          <w:p>
            <w:pPr>
              <w:spacing w:after="0"/>
              <w:rPr>
                <w:sz w:val="13"/>
                <w:szCs w:val="13"/>
                <w:color w:val="auto"/>
              </w:rPr>
            </w:pPr>
          </w:p>
        </w:tc>
        <w:tc>
          <w:tcPr>
            <w:tcW w:w="130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1"/>
        </w:trPr>
        <w:tc>
          <w:tcPr>
            <w:tcW w:w="7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incentive unit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3,663</w:t>
            </w:r>
          </w:p>
        </w:tc>
        <w:tc>
          <w:tcPr>
            <w:tcW w:w="0" w:type="dxa"/>
            <w:vAlign w:val="bottom"/>
          </w:tcPr>
          <w:p>
            <w:pPr>
              <w:spacing w:after="0"/>
              <w:rPr>
                <w:sz w:val="1"/>
                <w:szCs w:val="1"/>
                <w:color w:val="auto"/>
              </w:rPr>
            </w:pPr>
          </w:p>
        </w:tc>
      </w:tr>
      <w:tr>
        <w:trPr>
          <w:trHeight w:val="204"/>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Participation unit</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222"/>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77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firstLine="576"/>
        <w:spacing w:after="0" w:line="306" w:lineRule="auto"/>
        <w:rPr>
          <w:sz w:val="20"/>
          <w:szCs w:val="20"/>
          <w:color w:val="auto"/>
        </w:rPr>
      </w:pPr>
      <w:r>
        <w:rPr>
          <w:rFonts w:ascii="Times New Roman" w:cs="Times New Roman" w:eastAsia="Times New Roman" w:hAnsi="Times New Roman"/>
          <w:sz w:val="16"/>
          <w:szCs w:val="16"/>
          <w:color w:val="auto"/>
        </w:rPr>
        <w:t>There was no unrecognized compensation expense for participation units as of December 31, 2024. As of December 31, 2023, all Common Incentive Units and Participation Units had vested or been forfeited and there was no unrecognized unit-based compensation expense.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Incentive Unit Activity</w:t>
      </w:r>
    </w:p>
    <w:p>
      <w:pPr>
        <w:spacing w:after="0" w:line="228"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The following table summarizes incentive unit activity under the Opco Plan for the years ended December 31, 2024 and December 31, 2023 (in thousands, except per unit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center"/>
              <w:ind w:left="302"/>
              <w:spacing w:after="0" w:line="156"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20" w:type="dxa"/>
            <w:vAlign w:val="bottom"/>
          </w:tcPr>
          <w:p>
            <w:pPr>
              <w:jc w:val="center"/>
              <w:ind w:left="282"/>
              <w:spacing w:after="0" w:line="156"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20" w:type="dxa"/>
            <w:vAlign w:val="bottom"/>
          </w:tcPr>
          <w:p>
            <w:pPr>
              <w:jc w:val="center"/>
              <w:ind w:left="282"/>
              <w:spacing w:after="0" w:line="156"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22"/>
              <w:spacing w:after="0" w:line="156" w:lineRule="exact"/>
              <w:rPr>
                <w:sz w:val="20"/>
                <w:szCs w:val="20"/>
                <w:color w:val="auto"/>
              </w:rPr>
            </w:pPr>
            <w:r>
              <w:rPr>
                <w:rFonts w:ascii="Times New Roman" w:cs="Times New Roman" w:eastAsia="Times New Roman" w:hAnsi="Times New Roman"/>
                <w:sz w:val="16"/>
                <w:szCs w:val="16"/>
                <w:b w:val="1"/>
                <w:bCs w:val="1"/>
                <w:color w:val="auto"/>
                <w:w w:val="97"/>
              </w:rPr>
              <w:t>Average Grant</w:t>
            </w:r>
          </w:p>
        </w:tc>
        <w:tc>
          <w:tcPr>
            <w:tcW w:w="2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vMerge w:val="restart"/>
          </w:tcPr>
          <w:p>
            <w:pPr>
              <w:ind w:left="1900"/>
              <w:spacing w:after="0"/>
              <w:rPr>
                <w:sz w:val="20"/>
                <w:szCs w:val="20"/>
                <w:color w:val="auto"/>
              </w:rPr>
            </w:pPr>
            <w:r>
              <w:rPr>
                <w:rFonts w:ascii="Times New Roman" w:cs="Times New Roman" w:eastAsia="Times New Roman" w:hAnsi="Times New Roman"/>
                <w:sz w:val="16"/>
                <w:szCs w:val="16"/>
                <w:b w:val="1"/>
                <w:bCs w:val="1"/>
                <w:color w:val="auto"/>
              </w:rPr>
              <w:t>Incentive Units</w:t>
            </w:r>
          </w:p>
        </w:tc>
        <w:tc>
          <w:tcPr>
            <w:tcW w:w="1060" w:type="dxa"/>
            <w:vAlign w:val="bottom"/>
          </w:tcPr>
          <w:p>
            <w:pPr>
              <w:jc w:val="center"/>
              <w:ind w:left="322"/>
              <w:spacing w:after="0" w:line="156" w:lineRule="exact"/>
              <w:rPr>
                <w:sz w:val="20"/>
                <w:szCs w:val="20"/>
                <w:color w:val="auto"/>
              </w:rPr>
            </w:pPr>
            <w:r>
              <w:rPr>
                <w:rFonts w:ascii="Times New Roman" w:cs="Times New Roman" w:eastAsia="Times New Roman" w:hAnsi="Times New Roman"/>
                <w:sz w:val="16"/>
                <w:szCs w:val="16"/>
                <w:b w:val="1"/>
                <w:bCs w:val="1"/>
                <w:color w:val="auto"/>
                <w:w w:val="98"/>
              </w:rPr>
              <w:t>Incentive</w:t>
            </w:r>
          </w:p>
        </w:tc>
        <w:tc>
          <w:tcPr>
            <w:tcW w:w="400" w:type="dxa"/>
            <w:vAlign w:val="bottom"/>
          </w:tcPr>
          <w:p>
            <w:pPr>
              <w:spacing w:after="0"/>
              <w:rPr>
                <w:sz w:val="13"/>
                <w:szCs w:val="13"/>
                <w:color w:val="auto"/>
              </w:rPr>
            </w:pPr>
          </w:p>
        </w:tc>
        <w:tc>
          <w:tcPr>
            <w:tcW w:w="1320" w:type="dxa"/>
            <w:vAlign w:val="bottom"/>
          </w:tcPr>
          <w:p>
            <w:pPr>
              <w:jc w:val="center"/>
              <w:ind w:left="302"/>
              <w:spacing w:after="0" w:line="156"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22"/>
              <w:spacing w:after="0" w:line="156" w:lineRule="exact"/>
              <w:rPr>
                <w:sz w:val="20"/>
                <w:szCs w:val="20"/>
                <w:color w:val="auto"/>
              </w:rPr>
            </w:pPr>
            <w:r>
              <w:rPr>
                <w:rFonts w:ascii="Times New Roman" w:cs="Times New Roman" w:eastAsia="Times New Roman" w:hAnsi="Times New Roman"/>
                <w:sz w:val="16"/>
                <w:szCs w:val="16"/>
                <w:b w:val="1"/>
                <w:bCs w:val="1"/>
                <w:color w:val="auto"/>
                <w:w w:val="97"/>
              </w:rPr>
              <w:t>Date Fair</w:t>
            </w:r>
          </w:p>
        </w:tc>
        <w:tc>
          <w:tcPr>
            <w:tcW w:w="240" w:type="dxa"/>
            <w:vAlign w:val="bottom"/>
          </w:tcPr>
          <w:p>
            <w:pPr>
              <w:spacing w:after="0"/>
              <w:rPr>
                <w:sz w:val="13"/>
                <w:szCs w:val="13"/>
                <w:color w:val="auto"/>
              </w:rPr>
            </w:pPr>
          </w:p>
        </w:tc>
        <w:tc>
          <w:tcPr>
            <w:tcW w:w="1100" w:type="dxa"/>
            <w:vAlign w:val="bottom"/>
          </w:tcPr>
          <w:p>
            <w:pPr>
              <w:jc w:val="center"/>
              <w:ind w:right="122"/>
              <w:spacing w:after="0" w:line="156"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4"/>
        </w:trPr>
        <w:tc>
          <w:tcPr>
            <w:tcW w:w="4800" w:type="dxa"/>
            <w:vAlign w:val="bottom"/>
            <w:vMerge w:val="continue"/>
          </w:tcPr>
          <w:p>
            <w:pPr>
              <w:spacing w:after="0"/>
              <w:rPr>
                <w:sz w:val="17"/>
                <w:szCs w:val="17"/>
                <w:color w:val="auto"/>
              </w:rPr>
            </w:pPr>
          </w:p>
        </w:tc>
        <w:tc>
          <w:tcPr>
            <w:tcW w:w="106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400" w:type="dxa"/>
            <w:vAlign w:val="bottom"/>
          </w:tcPr>
          <w:p>
            <w:pPr>
              <w:spacing w:after="0"/>
              <w:rPr>
                <w:sz w:val="17"/>
                <w:szCs w:val="17"/>
                <w:color w:val="auto"/>
              </w:rPr>
            </w:pPr>
          </w:p>
        </w:tc>
        <w:tc>
          <w:tcPr>
            <w:tcW w:w="132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40" w:type="dxa"/>
            <w:vAlign w:val="bottom"/>
          </w:tcPr>
          <w:p>
            <w:pPr>
              <w:spacing w:after="0"/>
              <w:rPr>
                <w:sz w:val="17"/>
                <w:szCs w:val="17"/>
                <w:color w:val="auto"/>
              </w:rPr>
            </w:pPr>
          </w:p>
        </w:tc>
        <w:tc>
          <w:tcPr>
            <w:tcW w:w="110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654</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133,240</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Exchanged</w:t>
            </w: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(309)</w:t>
            </w:r>
          </w:p>
        </w:tc>
        <w:tc>
          <w:tcPr>
            <w:tcW w:w="13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332</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67,635</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Exchanged</w:t>
            </w: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309</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51,467</w:t>
            </w: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Exchanged</w:t>
            </w: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287</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were no unvested Incentive Units as of December 31, 2024.</w:t>
      </w:r>
    </w:p>
    <w:p>
      <w:pPr>
        <w:spacing w:after="0" w:line="260"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There were no participation units granted during the years ended December 31, 2024, December 31, 2023, or December 31, 2022. As of December 31, 2024, there were no participation units outstanding. During the years ended December 31, 2024, December 31, 2023, and December 31, 2022, we made cash payments of less than $0.0 million, $0.1 million, and $0.5 million respectively, to settle vested participation units. At the Company’s discretion, the Company settled the final tranche of vested participation units in October 2023 by issuing 4,472 shares of Class A common stock in lieu of making cash 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Determination of Fair Value</w:t>
      </w:r>
    </w:p>
    <w:p>
      <w:pPr>
        <w:spacing w:after="0" w:line="228"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71" w:lineRule="exact"/>
        <w:rPr>
          <w:sz w:val="20"/>
          <w:szCs w:val="20"/>
          <w:color w:val="auto"/>
        </w:rPr>
      </w:pPr>
    </w:p>
    <w:p>
      <w:pPr>
        <w:ind w:left="580" w:hanging="28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 The expected term represents the period that a unit is expected to be outstanding.</w:t>
      </w:r>
    </w:p>
    <w:p>
      <w:pPr>
        <w:spacing w:after="0" w:line="128" w:lineRule="exact"/>
        <w:rPr>
          <w:rFonts w:ascii="Times New Roman" w:cs="Times New Roman" w:eastAsia="Times New Roman" w:hAnsi="Times New Roman"/>
          <w:sz w:val="16"/>
          <w:szCs w:val="16"/>
          <w:color w:val="auto"/>
        </w:rPr>
      </w:pPr>
    </w:p>
    <w:p>
      <w:pPr>
        <w:ind w:left="580" w:right="60" w:hanging="286"/>
        <w:spacing w:after="0" w:line="306"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58" w:lineRule="exact"/>
        <w:rPr>
          <w:rFonts w:ascii="Times New Roman" w:cs="Times New Roman" w:eastAsia="Times New Roman" w:hAnsi="Times New Roman"/>
          <w:sz w:val="16"/>
          <w:szCs w:val="16"/>
          <w:color w:val="auto"/>
        </w:rPr>
      </w:pPr>
    </w:p>
    <w:p>
      <w:pPr>
        <w:ind w:left="580" w:right="20" w:hanging="286"/>
        <w:spacing w:after="0" w:line="306"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The risk-free rate is based on the U.S. Treasury yield curve in effect on the grant date for securities with similar expected terms to the term of Opco’s incentive units.</w:t>
      </w:r>
    </w:p>
    <w:p>
      <w:pPr>
        <w:spacing w:after="0" w:line="58" w:lineRule="exact"/>
        <w:rPr>
          <w:rFonts w:ascii="Times New Roman" w:cs="Times New Roman" w:eastAsia="Times New Roman" w:hAnsi="Times New Roman"/>
          <w:sz w:val="16"/>
          <w:szCs w:val="16"/>
          <w:color w:val="auto"/>
        </w:rPr>
      </w:pPr>
    </w:p>
    <w:p>
      <w:pPr>
        <w:ind w:left="580" w:hanging="286"/>
        <w:spacing w:after="0" w:line="306"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dividends – Expected dividends is assumed to be zero as Opco has not paid and does not expect to pay cash dividends or non-liquidating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hanging="286"/>
        <w:spacing w:after="0" w:line="306"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for lack of marketability – an estimated two year time to exit certain awards and the six month lock-up restriction on certain awards is reflected as a discount for lack of marketability estimated using the Finnerty model.</w:t>
      </w:r>
    </w:p>
    <w:p>
      <w:pPr>
        <w:spacing w:after="0" w:line="155"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inputs used in the models to estimate the fair value of the common incentive units and participation units granted in 2022 are summarized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4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 - 0.36%</w:t>
            </w:r>
          </w:p>
        </w:tc>
      </w:tr>
      <w:tr>
        <w:trPr>
          <w:trHeight w:val="23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 - 53.00%</w:t>
            </w:r>
          </w:p>
        </w:tc>
      </w:tr>
      <w:tr>
        <w:trPr>
          <w:trHeight w:val="22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4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0.50 - 2.00</w:t>
            </w:r>
          </w:p>
        </w:tc>
      </w:tr>
      <w:tr>
        <w:trPr>
          <w:trHeight w:val="23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for lack of marketability</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Net Loss per Share</w:t>
      </w:r>
    </w:p>
    <w:p>
      <w:pPr>
        <w:spacing w:after="0" w:line="202"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491490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is a reconciliation of the denominators of the basic and diluted per share computations for net loss (in thousands, except share and per share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4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r>
      <w:tr>
        <w:trPr>
          <w:trHeight w:val="18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4"/>
        </w:trPr>
        <w:tc>
          <w:tcPr>
            <w:tcW w:w="64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(1,960,449)</w:t>
            </w:r>
          </w:p>
        </w:tc>
      </w:tr>
      <w:tr>
        <w:trPr>
          <w:trHeight w:val="204"/>
        </w:trPr>
        <w:tc>
          <w:tcPr>
            <w:tcW w:w="6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Less: Net loss from continuing operations attributable to noncontrolling interest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(1,390,910)</w:t>
            </w:r>
          </w:p>
        </w:tc>
      </w:tr>
      <w:tr>
        <w:trPr>
          <w:trHeight w:val="205"/>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from continuing operations attributable to Bakkt Holdings, Inc.</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(42,583)</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(50,934)</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(569,539)</w:t>
            </w: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(72,159)</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(29,485)</w:t>
            </w:r>
          </w:p>
        </w:tc>
      </w:tr>
      <w:tr>
        <w:trPr>
          <w:trHeight w:val="204"/>
        </w:trPr>
        <w:tc>
          <w:tcPr>
            <w:tcW w:w="6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Less: Net loss from discontinued operations attributable to noncontrolling interest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(20,919)</w:t>
            </w:r>
          </w:p>
        </w:tc>
      </w:tr>
      <w:tr>
        <w:trPr>
          <w:trHeight w:val="205"/>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from discontinued operations attributable to Bakkt Holdings, Inc.</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(23,920)</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w:t>
            </w:r>
          </w:p>
        </w:tc>
      </w:tr>
      <w:tr>
        <w:trPr>
          <w:trHeight w:val="216"/>
        </w:trPr>
        <w:tc>
          <w:tcPr>
            <w:tcW w:w="6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21"/>
        </w:trPr>
        <w:tc>
          <w:tcPr>
            <w:tcW w:w="6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364"/>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4"/>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6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5,855,083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3,563,333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2,846,719</w:t>
            </w:r>
          </w:p>
        </w:tc>
      </w:tr>
      <w:tr>
        <w:trPr>
          <w:trHeight w:val="205"/>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5,855,083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3,563,333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2,846,719</w:t>
            </w: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4"/>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loss per share attributable to Bakkt Holdings, Inc.</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6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(200.07)</w:t>
            </w:r>
          </w:p>
        </w:tc>
      </w:tr>
      <w:tr>
        <w:trPr>
          <w:trHeight w:val="205"/>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196"/>
        </w:trPr>
        <w:tc>
          <w:tcPr>
            <w:tcW w:w="6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basic net loss per share attributable to Bakkt Holdings Inc.</w:t>
            </w: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0"/>
        </w:trPr>
        <w:tc>
          <w:tcPr>
            <w:tcW w:w="6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4"/>
        </w:trPr>
        <w:tc>
          <w:tcPr>
            <w:tcW w:w="6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loss per share attributable to Bakkt Holdings, Inc.</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6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(200.07)</w:t>
            </w:r>
          </w:p>
        </w:tc>
      </w:tr>
      <w:tr>
        <w:trPr>
          <w:trHeight w:val="204"/>
        </w:trPr>
        <w:tc>
          <w:tcPr>
            <w:tcW w:w="6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22"/>
        </w:trPr>
        <w:tc>
          <w:tcPr>
            <w:tcW w:w="6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basic net loss per share attributable to Bakkt Holdings Inc.</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No shares that are contingently issuable as part of the Bakkt Crypto acquisition have been included in the calculation of diluted EPS as no amounts are payable as of December 31, 2024. The following table summarizes the total potential common shares excluded from diluted loss per common share as their effect would be anti-dilutive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Year Ended December</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Year Ended December</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Year Ended December</w:t>
            </w:r>
          </w:p>
        </w:tc>
      </w:tr>
      <w:tr>
        <w:trPr>
          <w:trHeight w:val="204"/>
        </w:trPr>
        <w:tc>
          <w:tcPr>
            <w:tcW w:w="5800" w:type="dxa"/>
            <w:vAlign w:val="bottom"/>
          </w:tcPr>
          <w:p>
            <w:pPr>
              <w:spacing w:after="0"/>
              <w:rPr>
                <w:sz w:val="17"/>
                <w:szCs w:val="17"/>
                <w:color w:val="auto"/>
              </w:rPr>
            </w:pPr>
          </w:p>
        </w:tc>
        <w:tc>
          <w:tcPr>
            <w:tcW w:w="15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620" w:type="dxa"/>
            <w:vAlign w:val="bottom"/>
            <w:gridSpan w:val="2"/>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62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31, 2022</w:t>
            </w:r>
          </w:p>
        </w:tc>
      </w:tr>
      <w:tr>
        <w:trPr>
          <w:trHeight w:val="196"/>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Opco warrants</w:t>
            </w:r>
          </w:p>
        </w:tc>
        <w:tc>
          <w:tcPr>
            <w:tcW w:w="1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1 and Class 2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7"/>
                <w:szCs w:val="17"/>
                <w:color w:val="auto"/>
              </w:rPr>
            </w:pPr>
          </w:p>
        </w:tc>
        <w:tc>
          <w:tcPr>
            <w:tcW w:w="1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Opco unvested incentive units</w:t>
            </w:r>
          </w:p>
        </w:tc>
        <w:tc>
          <w:tcPr>
            <w:tcW w:w="1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Opco common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7,250</w:t>
            </w:r>
          </w:p>
        </w:tc>
      </w:tr>
      <w:tr>
        <w:trPr>
          <w:trHeight w:val="222"/>
        </w:trPr>
        <w:tc>
          <w:tcPr>
            <w:tcW w:w="5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Capital Requirements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Bakkt Trust </w:t>
      </w:r>
      <w:r>
        <w:rPr>
          <w:rFonts w:ascii="Times New Roman" w:cs="Times New Roman" w:eastAsia="Times New Roman" w:hAnsi="Times New Roman"/>
          <w:sz w:val="16"/>
          <w:szCs w:val="16"/>
          <w:color w:val="auto"/>
        </w:rPr>
        <w:t>is subject to certain reduced regulatory capital requirements imposed by NYDFS given its current state of not conducting business operations.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capital requirements require Bakkt Trust to maintain in cash an amount sufficient for its estimated wind-down costs, as calculated by NYDFS.</w:t>
      </w:r>
    </w:p>
    <w:p>
      <w:pPr>
        <w:spacing w:after="0" w:line="222" w:lineRule="exact"/>
        <w:rPr>
          <w:sz w:val="20"/>
          <w:szCs w:val="20"/>
          <w:color w:val="auto"/>
        </w:rPr>
      </w:pPr>
    </w:p>
    <w:p>
      <w:pPr>
        <w:jc w:val="both"/>
        <w:ind w:firstLine="576"/>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Bakkt Crypto </w:t>
      </w:r>
      <w:r>
        <w:rPr>
          <w:rFonts w:ascii="Times New Roman" w:cs="Times New Roman" w:eastAsia="Times New Roman" w:hAnsi="Times New Roman"/>
          <w:sz w:val="16"/>
          <w:szCs w:val="16"/>
          <w:color w:val="0C0C0C"/>
        </w:rPr>
        <w:t>holds a BitLicense from NYDFS, which subjects it to NYDFS’s oversight with respect to business activities conducted in New York State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0C0C0C"/>
        </w:rPr>
        <w:t xml:space="preserve">with New York residents, and </w:t>
      </w:r>
      <w:r>
        <w:rPr>
          <w:rFonts w:ascii="Times New Roman" w:cs="Times New Roman" w:eastAsia="Times New Roman" w:hAnsi="Times New Roman"/>
          <w:sz w:val="16"/>
          <w:szCs w:val="16"/>
          <w:color w:val="000000"/>
        </w:rPr>
        <w:t>is required to maintain a capital balance equal to the greater of a predefined minimum amount or the sum of the required percentages</w:t>
      </w:r>
      <w:r>
        <w:rPr>
          <w:rFonts w:ascii="Times New Roman" w:cs="Times New Roman" w:eastAsia="Times New Roman" w:hAnsi="Times New Roman"/>
          <w:sz w:val="16"/>
          <w:szCs w:val="16"/>
          <w:color w:val="0C0C0C"/>
        </w:rPr>
        <w:t xml:space="preserve"> </w:t>
      </w:r>
      <w:r>
        <w:rPr>
          <w:rFonts w:ascii="Times New Roman" w:cs="Times New Roman" w:eastAsia="Times New Roman" w:hAnsi="Times New Roman"/>
          <w:sz w:val="16"/>
          <w:szCs w:val="16"/>
          <w:color w:val="000000"/>
        </w:rPr>
        <w:t>established for transmitted assets, cold wallet and hot wallet custody assets, and predefined wind-down costs,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spacing w:after="0" w:line="175"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Bakkt Brokerage </w:t>
      </w:r>
      <w:r>
        <w:rPr>
          <w:rFonts w:ascii="Times New Roman" w:cs="Times New Roman" w:eastAsia="Times New Roman" w:hAnsi="Times New Roman"/>
          <w:sz w:val="16"/>
          <w:szCs w:val="16"/>
          <w:color w:val="auto"/>
        </w:rPr>
        <w:t>was registered as a broker-dealer with the Financial Industry Regulatory Authority (“FINRA”) and was required to maintain a non-material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minimum amount of net capital. Bakkt Brokerage filed for a withdrawal of its membership with FINRA on July 16, 2024. Following Bakkt Brokerage’s withdrawal filing, FINRA expelled Bakkt Brokerage for a failure to file independently audited financial statements for 2023, a period when Bakkt Brokerage was inactive. Bakkt Brokerage has not received approval to correct this filing and is in the process of winding down its business.</w:t>
      </w:r>
    </w:p>
    <w:p>
      <w:pPr>
        <w:spacing w:after="0" w:line="169"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As of December 31, 2024 and December 31,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401(k) Plan</w:t>
      </w:r>
    </w:p>
    <w:p>
      <w:pPr>
        <w:spacing w:after="0" w:line="228"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We sponsor a 401(k) defined contribution plan covering all eligible U.S. employees. Both Company and employee contributions to the 401(k) plan are discretionary. For the years ended December 31, 2024, December 31, 2023, and December 31, 2022 we recorded $0.8 million and $1.0 million, and $1.1 million respectively, of expenses related to the 401(k) plan, which is included in “Compensation and benefits” in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228" w:lineRule="exact"/>
        <w:rPr>
          <w:sz w:val="20"/>
          <w:szCs w:val="20"/>
          <w:color w:val="auto"/>
        </w:rPr>
      </w:pPr>
    </w:p>
    <w:p>
      <w:pPr>
        <w:jc w:val="both"/>
        <w:ind w:right="40" w:firstLine="576"/>
        <w:spacing w:after="0" w:line="288" w:lineRule="auto"/>
        <w:rPr>
          <w:sz w:val="20"/>
          <w:szCs w:val="20"/>
          <w:color w:val="auto"/>
        </w:rPr>
      </w:pPr>
      <w:r>
        <w:rPr>
          <w:rFonts w:ascii="Times New Roman" w:cs="Times New Roman" w:eastAsia="Times New Roman" w:hAnsi="Times New Roman"/>
          <w:sz w:val="16"/>
          <w:szCs w:val="16"/>
          <w:color w:val="auto"/>
        </w:rPr>
        <w:t>The Company is party to a TRA with certain Opco Equity Holders. As of December 31, 2024,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204" w:lineRule="exact"/>
        <w:rPr>
          <w:sz w:val="20"/>
          <w:szCs w:val="20"/>
          <w:color w:val="auto"/>
        </w:rPr>
      </w:pPr>
    </w:p>
    <w:p>
      <w:pPr>
        <w:jc w:val="both"/>
        <w:ind w:firstLine="576"/>
        <w:spacing w:after="0" w:line="283" w:lineRule="auto"/>
        <w:rPr>
          <w:sz w:val="20"/>
          <w:szCs w:val="20"/>
          <w:color w:val="auto"/>
        </w:rPr>
      </w:pPr>
      <w:r>
        <w:rPr>
          <w:rFonts w:ascii="Times New Roman" w:cs="Times New Roman" w:eastAsia="Times New Roman" w:hAnsi="Times New Roman"/>
          <w:sz w:val="16"/>
          <w:szCs w:val="16"/>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The Court has not yet issued a final approval order. We expect the settlement will be covered by our insurance less our contractual retention.</w:t>
      </w:r>
    </w:p>
    <w:p>
      <w:pPr>
        <w:spacing w:after="0" w:line="179"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167"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7" w:right="6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6"/>
          <w:szCs w:val="16"/>
          <w:color w:val="auto"/>
        </w:rPr>
        <w:t>2023, the parties filed with the Court a stipulation of a voluntary dismissal of the action without a settlement or compromise between them. On July 31, 2023, the Court issued an order to dismiss the action.</w:t>
      </w:r>
    </w:p>
    <w:p>
      <w:pPr>
        <w:spacing w:after="0" w:line="155"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 xml:space="preserve">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follow-up requests for additional documents and information, and the Company responded to those requests on a timely basis. Refer to Note 21,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for further details of the SEC inquiry.</w:t>
      </w:r>
    </w:p>
    <w:p>
      <w:pPr>
        <w:spacing w:after="0" w:line="167" w:lineRule="exact"/>
        <w:rPr>
          <w:sz w:val="20"/>
          <w:szCs w:val="20"/>
          <w:color w:val="auto"/>
        </w:rPr>
      </w:pPr>
    </w:p>
    <w:p>
      <w:pPr>
        <w:jc w:val="both"/>
        <w:ind w:right="60" w:firstLine="576"/>
        <w:spacing w:after="0" w:line="294" w:lineRule="auto"/>
        <w:rPr>
          <w:sz w:val="20"/>
          <w:szCs w:val="20"/>
          <w:color w:val="auto"/>
        </w:rPr>
      </w:pPr>
      <w:r>
        <w:rPr>
          <w:rFonts w:ascii="Times New Roman" w:cs="Times New Roman" w:eastAsia="Times New Roman" w:hAnsi="Times New Roman"/>
          <w:sz w:val="16"/>
          <w:szCs w:val="16"/>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2004, we settled the matter for $1.1 million.</w:t>
      </w:r>
    </w:p>
    <w:p>
      <w:pPr>
        <w:spacing w:after="0" w:line="164"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Cryptocurrency Held on Platform</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Company is obligated to securely store crypto assets that it holds for customers, a substantial portion of which are held in cold storage. As such, the Company may be liable to users of its platform for losses arising from the Company’s failure to secure crypto assets from theft or loss. The Company has not incurred any losses related to such an obligation and therefore has not accrued a liability for losses as of December 31, 2024 and 2023. The Company has no reason to believe it will incur any expense associated with such potential liability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Commercial Purchasing Card Facility</w:t>
      </w:r>
    </w:p>
    <w:p>
      <w:pPr>
        <w:spacing w:after="0" w:line="204"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7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 xml:space="preserve">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Refer to Note 21, </w:t>
      </w:r>
      <w:r>
        <w:rPr>
          <w:rFonts w:ascii="Times New Roman" w:cs="Times New Roman" w:eastAsia="Times New Roman" w:hAnsi="Times New Roman"/>
          <w:sz w:val="16"/>
          <w:szCs w:val="16"/>
          <w:i w:val="1"/>
          <w:iCs w:val="1"/>
          <w:color w:val="auto"/>
        </w:rPr>
        <w:t>Subsequent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Events </w:t>
      </w:r>
      <w:r>
        <w:rPr>
          <w:rFonts w:ascii="Times New Roman" w:cs="Times New Roman" w:eastAsia="Times New Roman" w:hAnsi="Times New Roman"/>
          <w:sz w:val="16"/>
          <w:szCs w:val="16"/>
          <w:color w:val="auto"/>
        </w:rPr>
        <w:t>for further details of the purchasing card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 Obligations</w:t>
      </w:r>
    </w:p>
    <w:p>
      <w:pPr>
        <w:spacing w:after="0" w:line="228"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2024, we entered into a five-year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488315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6"/>
          <w:szCs w:val="16"/>
          <w:color w:val="auto"/>
        </w:rPr>
        <w:t>marketing agreement which required a committed spend. As of December 31, 2024, our outstanding purchase obligations consist of the following future minimum commitments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w w:val="97"/>
              </w:rPr>
              <w:t>Payments Due by Period</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7"/>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Less than 1 year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4"/>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More than 5 years</w:t>
            </w: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202" w:lineRule="exact"/>
        <w:rPr>
          <w:sz w:val="20"/>
          <w:szCs w:val="20"/>
          <w:color w:val="auto"/>
        </w:rPr>
      </w:pPr>
    </w:p>
    <w:p>
      <w:pPr>
        <w:jc w:val="both"/>
        <w:ind w:firstLine="576"/>
        <w:spacing w:after="0" w:line="334" w:lineRule="auto"/>
        <w:rPr>
          <w:sz w:val="20"/>
          <w:szCs w:val="20"/>
          <w:color w:val="auto"/>
        </w:rPr>
      </w:pPr>
      <w:r>
        <w:rPr>
          <w:rFonts w:ascii="Times New Roman" w:cs="Times New Roman" w:eastAsia="Times New Roman" w:hAnsi="Times New Roman"/>
          <w:sz w:val="14"/>
          <w:szCs w:val="14"/>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44" w:lineRule="exact"/>
        <w:rPr>
          <w:sz w:val="20"/>
          <w:szCs w:val="20"/>
          <w:color w:val="auto"/>
        </w:rPr>
      </w:pPr>
    </w:p>
    <w:p>
      <w:pPr>
        <w:ind w:right="20" w:firstLine="576"/>
        <w:spacing w:after="0" w:line="306" w:lineRule="auto"/>
        <w:rPr>
          <w:sz w:val="20"/>
          <w:szCs w:val="20"/>
          <w:color w:val="auto"/>
        </w:rPr>
      </w:pPr>
      <w:r>
        <w:rPr>
          <w:rFonts w:ascii="Times New Roman" w:cs="Times New Roman" w:eastAsia="Times New Roman" w:hAnsi="Times New Roman"/>
          <w:sz w:val="16"/>
          <w:szCs w:val="16"/>
          <w:color w:val="auto"/>
        </w:rPr>
        <w:t>The domestic and foreign components of income (loss) from continuing operations before income taxes for the following periods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63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(1,971,836)</w:t>
            </w:r>
          </w:p>
        </w:tc>
      </w:tr>
      <w:tr>
        <w:trPr>
          <w:trHeight w:val="20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provision for income taxes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(1,971,839)</w:t>
            </w:r>
          </w:p>
        </w:tc>
      </w:tr>
      <w:tr>
        <w:trPr>
          <w:trHeight w:val="20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before provision for income taxes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(29,415)</w:t>
            </w:r>
          </w:p>
        </w:tc>
      </w:tr>
      <w:tr>
        <w:trPr>
          <w:trHeight w:val="22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loss before income taxes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(2,001,254)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Details of the income tax expense (benefit) from continuing operations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8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1"/>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4"/>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19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184"/>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28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w:t>
            </w:r>
          </w:p>
        </w:tc>
      </w:tr>
      <w:tr>
        <w:trPr>
          <w:trHeight w:val="20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19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income tax expense (benefit)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(11,572)</w:t>
            </w:r>
          </w:p>
        </w:tc>
      </w:tr>
      <w:tr>
        <w:trPr>
          <w:trHeight w:val="19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continuing operations</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(11,390)</w:t>
            </w:r>
          </w:p>
        </w:tc>
      </w:tr>
      <w:tr>
        <w:trPr>
          <w:trHeight w:val="19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from discontinued operations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2"/>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68"/>
        </w:trPr>
        <w:tc>
          <w:tcPr>
            <w:tcW w:w="6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2"/>
        </w:trPr>
        <w:tc>
          <w:tcPr>
            <w:tcW w:w="6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provision at federal statutory rate</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(19,803)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(32,193)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(414,086)</w:t>
            </w: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income tax resulting from:</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tax effect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(3,175)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(34,267)</w:t>
            </w: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10,871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21,517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293,795</w:t>
            </w:r>
          </w:p>
        </w:tc>
      </w:tr>
      <w:tr>
        <w:trPr>
          <w:trHeight w:val="20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warrant liability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(3,494)</w:t>
            </w: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200" w:type="dxa"/>
            <w:vAlign w:val="bottom"/>
          </w:tcPr>
          <w:p>
            <w:pPr>
              <w:spacing w:after="0"/>
              <w:rPr>
                <w:sz w:val="17"/>
                <w:szCs w:val="17"/>
                <w:color w:val="auto"/>
              </w:rPr>
            </w:pP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7,078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5,860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142,503</w:t>
            </w:r>
          </w:p>
        </w:tc>
      </w:tr>
      <w:tr>
        <w:trPr>
          <w:trHeight w:val="20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2,097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3,862</w:t>
            </w: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Subsidiary liquidation</w:t>
            </w:r>
          </w:p>
        </w:tc>
        <w:tc>
          <w:tcPr>
            <w:tcW w:w="200" w:type="dxa"/>
            <w:vAlign w:val="bottom"/>
          </w:tcPr>
          <w:p>
            <w:pPr>
              <w:spacing w:after="0"/>
              <w:rPr>
                <w:sz w:val="17"/>
                <w:szCs w:val="17"/>
                <w:color w:val="auto"/>
              </w:rPr>
            </w:pPr>
          </w:p>
        </w:tc>
        <w:tc>
          <w:tcPr>
            <w:tcW w:w="1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297</w:t>
            </w:r>
          </w:p>
        </w:tc>
      </w:tr>
      <w:tr>
        <w:trPr>
          <w:trHeight w:val="19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(11,390)</w:t>
            </w:r>
          </w:p>
        </w:tc>
      </w:tr>
      <w:tr>
        <w:trPr>
          <w:trHeight w:val="19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0.58 %</w:t>
            </w:r>
          </w:p>
        </w:tc>
      </w:tr>
    </w:tbl>
    <w:p>
      <w:pPr>
        <w:spacing w:after="0" w:line="263" w:lineRule="exact"/>
        <w:rPr>
          <w:sz w:val="20"/>
          <w:szCs w:val="20"/>
          <w:color w:val="auto"/>
        </w:rPr>
      </w:pPr>
    </w:p>
    <w:p>
      <w:pPr>
        <w:jc w:val="both"/>
        <w:ind w:firstLine="576"/>
        <w:spacing w:after="0" w:line="343" w:lineRule="auto"/>
        <w:rPr>
          <w:sz w:val="20"/>
          <w:szCs w:val="20"/>
          <w:color w:val="auto"/>
        </w:rPr>
      </w:pPr>
      <w:r>
        <w:rPr>
          <w:rFonts w:ascii="Times New Roman" w:cs="Times New Roman" w:eastAsia="Times New Roman" w:hAnsi="Times New Roman"/>
          <w:sz w:val="14"/>
          <w:szCs w:val="14"/>
          <w:color w:val="auto"/>
        </w:rPr>
        <w:t>The effective tax rate differs from the federal statutory rate primarily due to the loss allocated to noncontrolling interest that is not taxed to the Company and changes to the Company’s valuation allowance. While Opco incurred a net loss before income taxes of $94.3 million for the year ended December 31, 2024, only $42.5 million was allocated to Bakkt Holdings, Inc. The remaining $51.8 million is benefited for tax purposes by members outside of the reporting group. The tax expense of $0.1 million relates to state and foreign tax expense since the Company has recorded a full valuation allowance that offsets the tax benefit of its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following summarizes the significant components of our deferred tax assets and liabilities (in thousands):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33"/>
        </w:trPr>
        <w:tc>
          <w:tcPr>
            <w:tcW w:w="774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partnership</w:t>
            </w: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124,810</w:t>
            </w:r>
          </w:p>
        </w:tc>
        <w:tc>
          <w:tcPr>
            <w:tcW w:w="4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114,641</w:t>
            </w: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share-based compensation</w:t>
            </w:r>
          </w:p>
        </w:tc>
        <w:tc>
          <w:tcPr>
            <w:tcW w:w="4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2,360</w:t>
            </w: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42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161,596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140,861</w:t>
            </w:r>
          </w:p>
        </w:tc>
      </w:tr>
      <w:tr>
        <w:trPr>
          <w:trHeight w:val="20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(152,453)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(139,331)</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9,143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1,530</w:t>
            </w:r>
          </w:p>
        </w:tc>
      </w:tr>
      <w:tr>
        <w:trPr>
          <w:trHeight w:val="18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4"/>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Intercompany asset with Opco</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9,143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1,530</w:t>
            </w:r>
          </w:p>
        </w:tc>
      </w:tr>
      <w:tr>
        <w:trPr>
          <w:trHeight w:val="19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9,143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1,530</w:t>
            </w: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tax assets (liabilities)</w:t>
            </w: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Deferred income taxes reflect the net tax effects of temporary differences between the carrying amounts of assets and liabilities for financial reporting purposes and the amounts used for income tax purposes.</w:t>
      </w:r>
    </w:p>
    <w:p>
      <w:pPr>
        <w:spacing w:after="0" w:line="155"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6"/>
          <w:szCs w:val="16"/>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such. the Company had a valuation allowance of $152.5 million and $139.3 million as of December 31, 2024 and December 31, 2023, respectively. The increase in the valuation allowance during the year was primarily related to the generation of net operating losses that are not expected to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494030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As of December 31, 2024, the Company had gross federal net operating loss carryforwards (“NOLs”) of $122.7 million, all of which can be carried forward indefinitely. The Company also had state NOLs of $115.7 million which will begin to expire in 2031. As of December 31, 2023, the Company had gross federal NOL carryforwards of $90.0 million, all of which can be carried forward indefinitely. The Company also had state NOLs of $79.9 million which will begin to expire in 2037. The Company had capital loss carryforwards of $3.0 million which will expire in 2028 and tax credits of $0.4 million that begin to expire in 2031.</w:t>
      </w:r>
    </w:p>
    <w:p>
      <w:pPr>
        <w:spacing w:after="0" w:line="167"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Company files income tax returns in the U.S., as well as various state and foreign jurisdictions. While the Company is not currently under examination in any of the applicable taxing jurisdictions, the Company is open to examination for federal, state, and foreign jurisdictions beginning in 2021 with a few state jurisdictions open to examination beginning in 2020.</w:t>
      </w:r>
    </w:p>
    <w:p>
      <w:pPr>
        <w:spacing w:after="0" w:line="164"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Company is open to examination for federal, state, and foreign jurisdictions beginning in tax year 2021. The following state jurisdictions are open to examination beginning in tax year 2020 for Bakkt Opco: Arizona, California, Kentucky, Minnesota, New Jersey, and Texas. Note that the corporate entity (Bakkt Holdings, Inc.) was not formed until 2021 so only the partnership returns for these jurisdictions would be open.</w:t>
      </w:r>
    </w:p>
    <w:p>
      <w:pPr>
        <w:spacing w:after="0" w:line="164" w:lineRule="exact"/>
        <w:rPr>
          <w:sz w:val="20"/>
          <w:szCs w:val="20"/>
          <w:color w:val="auto"/>
        </w:rPr>
      </w:pPr>
    </w:p>
    <w:p>
      <w:pPr>
        <w:jc w:val="both"/>
        <w:ind w:right="20" w:firstLine="576"/>
        <w:spacing w:after="0" w:line="343" w:lineRule="auto"/>
        <w:rPr>
          <w:sz w:val="20"/>
          <w:szCs w:val="20"/>
          <w:color w:val="auto"/>
        </w:rPr>
      </w:pPr>
      <w:r>
        <w:rPr>
          <w:rFonts w:ascii="Times New Roman" w:cs="Times New Roman" w:eastAsia="Times New Roman" w:hAnsi="Times New Roman"/>
          <w:sz w:val="14"/>
          <w:szCs w:val="14"/>
          <w:color w:val="auto"/>
        </w:rPr>
        <w:t>Our non-U.S. subsidiaries are subject to Global Intangible Low-Taxed Income (“GILTI”) provisions under the Tax Cuts and Jobs Act. The Company has elected to recognize the tax expense related to GILTI as a period cost in the period incurred. 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spacing w:after="0" w:line="136"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where the Company cannot conclude “more-likely-than-not” to be realized upon ultimate settlement. The Company had no unrecognized tax benefits or related interest and penalties accrued as of both December 31, 2024 and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Fair Value Measurements</w:t>
      </w:r>
    </w:p>
    <w:p>
      <w:pPr>
        <w:spacing w:after="0" w:line="226"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 xml:space="preserve">The Company groups its assets and liabilities measured at fair value in three levels based on the nature of the inputs and assumptions used to determine fair value. Refer to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for additional information on the accounting policies related to fair value.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Financial assets and liabilities that are measured at fair value on a recurring basis are classified as Level 1, Level 2 and Level 3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7"/>
        </w:trPr>
        <w:tc>
          <w:tcPr>
            <w:tcW w:w="51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8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4"/>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liability - Class 1 and Class 2 warrants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42,782</w:t>
            </w:r>
          </w:p>
        </w:tc>
        <w:tc>
          <w:tcPr>
            <w:tcW w:w="9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42,782</w:t>
            </w:r>
          </w:p>
        </w:tc>
      </w:tr>
      <w:tr>
        <w:trPr>
          <w:trHeight w:val="204"/>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Warrant liability - public warrants</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9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4,141</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46,923</w:t>
            </w:r>
          </w:p>
        </w:tc>
        <w:tc>
          <w:tcPr>
            <w:tcW w:w="96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4,141</w:t>
            </w:r>
          </w:p>
        </w:tc>
        <w:tc>
          <w:tcPr>
            <w:tcW w:w="106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42,782</w:t>
            </w:r>
          </w:p>
        </w:tc>
      </w:tr>
      <w:tr>
        <w:trPr>
          <w:trHeight w:val="20"/>
        </w:trPr>
        <w:tc>
          <w:tcPr>
            <w:tcW w:w="5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88"/>
        </w:trPr>
        <w:tc>
          <w:tcPr>
            <w:tcW w:w="51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7"/>
        </w:trPr>
        <w:tc>
          <w:tcPr>
            <w:tcW w:w="5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4"/>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U.S. Treasury debt securities</w:t>
            </w:r>
          </w:p>
        </w:tc>
        <w:tc>
          <w:tcPr>
            <w:tcW w:w="8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17,398</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17,398</w:t>
            </w:r>
          </w:p>
        </w:tc>
        <w:tc>
          <w:tcPr>
            <w:tcW w:w="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6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17,398</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17,398</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5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4"/>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Warrant liability - public warrants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6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2,356</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2,356</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The carrying amounts of certain financial instruments, including cash and cash equivalents, accounts receivables, unbilled accounts receivables,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64"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Our investments in debt securities consist of U.S. Treasury debt securities held in the custody of a major financial institution. As of December 31, 2023, our investment in available-for-sale debt securities was determined to be a Level 1 investment based on quoted prices in active markets and was recorded in the consolidated balance sheets at fair value.</w:t>
      </w:r>
    </w:p>
    <w:p>
      <w:pPr>
        <w:spacing w:after="0" w:line="164" w:lineRule="exact"/>
        <w:rPr>
          <w:sz w:val="20"/>
          <w:szCs w:val="20"/>
          <w:color w:val="auto"/>
        </w:rPr>
      </w:pPr>
    </w:p>
    <w:p>
      <w:pPr>
        <w:jc w:val="both"/>
        <w:ind w:right="20" w:firstLine="576"/>
        <w:spacing w:after="0" w:line="286" w:lineRule="auto"/>
        <w:rPr>
          <w:sz w:val="20"/>
          <w:szCs w:val="20"/>
          <w:color w:val="auto"/>
        </w:rPr>
      </w:pPr>
      <w:r>
        <w:rPr>
          <w:rFonts w:ascii="Times New Roman" w:cs="Times New Roman" w:eastAsia="Times New Roman" w:hAnsi="Times New Roman"/>
          <w:sz w:val="16"/>
          <w:szCs w:val="16"/>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2024, we determined the value of the contingent consideration was zero, based on our forward-looking projections and minimum profit requirements associated with the contingent consideration.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Public Warrant liability is valued based on quoted prices in active markets and is classified within Level 1.</w:t>
      </w:r>
    </w:p>
    <w:p>
      <w:pPr>
        <w:spacing w:after="0" w:line="248" w:lineRule="exact"/>
        <w:rPr>
          <w:sz w:val="20"/>
          <w:szCs w:val="20"/>
          <w:color w:val="auto"/>
        </w:rPr>
      </w:pPr>
    </w:p>
    <w:p>
      <w:pPr>
        <w:jc w:val="both"/>
        <w:ind w:right="40" w:firstLine="576"/>
        <w:spacing w:after="0" w:line="289" w:lineRule="auto"/>
        <w:rPr>
          <w:sz w:val="20"/>
          <w:szCs w:val="20"/>
          <w:color w:val="auto"/>
        </w:rPr>
      </w:pPr>
      <w:r>
        <w:rPr>
          <w:rFonts w:ascii="Times New Roman" w:cs="Times New Roman" w:eastAsia="Times New Roman" w:hAnsi="Times New Roman"/>
          <w:sz w:val="14"/>
          <w:szCs w:val="14"/>
          <w:color w:val="auto"/>
        </w:rPr>
        <w:t>Since the second quarter 2024, our Class 1 Warrants and Class 2 Warrants were valued using the Black-Scholes-Merton model and a binomial lattice model, respectively, both of which utilize certain Level 3 inputs. Prior to the second quarter of 2024, our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our Class A Common Stock over the contractual period of the warrant.</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inputs used for the fair value measurement of our Class 1 Warrants and Class 2 Warrants liabilities as of December 31, 2024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2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Continuous risk-free rate</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4.27 %</w:t>
            </w:r>
          </w:p>
        </w:tc>
      </w:tr>
      <w:tr>
        <w:trPr>
          <w:trHeight w:val="23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bl>
    <w:p>
      <w:pPr>
        <w:spacing w:after="0" w:line="287"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The preceding methods described may produce fair value calculations that may not be indicative of net realizable value or reflective of future fair values. Furthermore, although we believe our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jc w:val="both"/>
        <w:ind w:firstLine="576"/>
        <w:spacing w:after="0" w:line="247" w:lineRule="auto"/>
        <w:rPr>
          <w:sz w:val="20"/>
          <w:szCs w:val="20"/>
          <w:color w:val="auto"/>
        </w:rPr>
      </w:pPr>
      <w:r>
        <w:rPr>
          <w:rFonts w:ascii="Times New Roman" w:cs="Times New Roman" w:eastAsia="Times New Roman" w:hAnsi="Times New Roman"/>
          <w:sz w:val="16"/>
          <w:szCs w:val="16"/>
          <w:color w:val="auto"/>
        </w:rPr>
        <w:t>As described in Note 6,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640715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Leases</w:t>
      </w:r>
    </w:p>
    <w:p>
      <w:pPr>
        <w:spacing w:after="0" w:line="202" w:lineRule="exact"/>
        <w:rPr>
          <w:sz w:val="20"/>
          <w:szCs w:val="20"/>
          <w:color w:val="auto"/>
        </w:rPr>
      </w:pPr>
    </w:p>
    <w:p>
      <w:pPr>
        <w:jc w:val="both"/>
        <w:ind w:firstLine="576"/>
        <w:spacing w:after="0" w:line="332" w:lineRule="auto"/>
        <w:rPr>
          <w:sz w:val="20"/>
          <w:szCs w:val="20"/>
          <w:color w:val="auto"/>
        </w:rPr>
      </w:pPr>
      <w:r>
        <w:rPr>
          <w:rFonts w:ascii="Times New Roman" w:cs="Times New Roman" w:eastAsia="Times New Roman" w:hAnsi="Times New Roman"/>
          <w:sz w:val="14"/>
          <w:szCs w:val="14"/>
          <w:color w:val="auto"/>
        </w:rPr>
        <w:t>The Company leases real estate for office space under operating leases. On December 21, 2023, we signed an agreement to sublease a portion of our corporate headquarters office space in Alpharetta, Georgia. The sublease commenced in March 2024. During the year ended December 31, 2022, we entered into a real estate lease for office space in New York, New York, that commenced on January 31, 2022. The lease has a term of 76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December 31, 2024 and December 31, 2023, we did not have any active finance leases.</w:t>
      </w:r>
    </w:p>
    <w:p>
      <w:pPr>
        <w:spacing w:after="0" w:line="146"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Our real estate leases have remaining lease terms as of December 31, 2024 ranging from 16 months to 93 months, with two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164" w:lineRule="exact"/>
        <w:rPr>
          <w:sz w:val="20"/>
          <w:szCs w:val="20"/>
          <w:color w:val="auto"/>
        </w:rPr>
      </w:pPr>
    </w:p>
    <w:p>
      <w:pPr>
        <w:jc w:val="both"/>
        <w:ind w:right="20" w:firstLine="576"/>
        <w:spacing w:after="0" w:line="353" w:lineRule="auto"/>
        <w:rPr>
          <w:sz w:val="20"/>
          <w:szCs w:val="20"/>
          <w:color w:val="auto"/>
        </w:rPr>
      </w:pPr>
      <w:r>
        <w:rPr>
          <w:rFonts w:ascii="Times New Roman" w:cs="Times New Roman" w:eastAsia="Times New Roman" w:hAnsi="Times New Roman"/>
          <w:sz w:val="14"/>
          <w:szCs w:val="14"/>
          <w:color w:val="auto"/>
        </w:rPr>
        <w:t>Certain of our real estate leasing agreements include terms requiring us to reimburse the lessor for our share of real estate taxes, insurance, operating costs and utilities which we account for as variable lease costs when incurred since we have elected not to separate lease and non-lease components, and hence are not included in the measurement of lease liability. There are no restrictions or covenants imposed by any of the leases, and none of our leases contain material residual value guarantees.</w:t>
      </w:r>
    </w:p>
    <w:p>
      <w:pPr>
        <w:spacing w:after="0" w:line="130"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64"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ectPr>
          <w:pgSz w:w="11900" w:h="16840" w:orient="portrait"/>
          <w:cols w:equalWidth="0" w:num="1">
            <w:col w:w="10580"/>
          </w:cols>
          <w:pgMar w:left="660" w:top="557" w:right="66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cost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Short-term lease cost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Variable lease cost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lease cost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6"/>
              </w:rPr>
              <w:t>Year Ended December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Year Ended December</w:t>
            </w:r>
          </w:p>
        </w:tc>
      </w:tr>
      <w:tr>
        <w:trPr>
          <w:trHeight w:val="204"/>
        </w:trPr>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31, 2022</w:t>
            </w:r>
          </w:p>
        </w:tc>
      </w:tr>
      <w:tr>
        <w:trPr>
          <w:trHeight w:val="195"/>
        </w:trPr>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3,831</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3,108</w:t>
            </w:r>
          </w:p>
        </w:tc>
      </w:tr>
      <w:tr>
        <w:trPr>
          <w:trHeight w:val="203"/>
        </w:trPr>
        <w:tc>
          <w:tcPr>
            <w:tcW w:w="32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2,466</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3,904</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3,121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-563245</wp:posOffset>
            </wp:positionV>
            <wp:extent cx="670750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3716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-296545</wp:posOffset>
            </wp:positionV>
            <wp:extent cx="6707505" cy="129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4620" w:space="720"/>
            <w:col w:w="5240"/>
          </w:cols>
          <w:pgMar w:left="660" w:top="557" w:right="660" w:bottom="1440" w:gutter="0" w:footer="0" w:header="0"/>
          <w:type w:val="continuous"/>
        </w:sectPr>
      </w:pP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short-term lease cost disclosed in the table above reflects our ongoing short-term lease commitments.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6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1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0" w:type="dxa"/>
            <w:vAlign w:val="bottom"/>
          </w:tcPr>
          <w:p>
            <w:pPr>
              <w:spacing w:after="0"/>
              <w:rPr>
                <w:sz w:val="1"/>
                <w:szCs w:val="1"/>
                <w:color w:val="auto"/>
              </w:rPr>
            </w:pPr>
          </w:p>
        </w:tc>
      </w:tr>
      <w:tr>
        <w:trPr>
          <w:trHeight w:val="204"/>
        </w:trPr>
        <w:tc>
          <w:tcPr>
            <w:tcW w:w="5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0" w:type="dxa"/>
            <w:vAlign w:val="bottom"/>
          </w:tcPr>
          <w:p>
            <w:pPr>
              <w:spacing w:after="0"/>
              <w:rPr>
                <w:sz w:val="1"/>
                <w:szCs w:val="1"/>
                <w:color w:val="auto"/>
              </w:rPr>
            </w:pPr>
          </w:p>
        </w:tc>
      </w:tr>
      <w:tr>
        <w:trPr>
          <w:trHeight w:val="18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00" w:type="dxa"/>
            <w:vAlign w:val="bottom"/>
          </w:tcPr>
          <w:p>
            <w:pPr>
              <w:ind w:left="120"/>
              <w:spacing w:after="0" w:line="204" w:lineRule="exact"/>
              <w:rPr>
                <w:sz w:val="20"/>
                <w:szCs w:val="20"/>
                <w:color w:val="auto"/>
              </w:rPr>
            </w:pPr>
            <w:r>
              <w:rPr>
                <w:rFonts w:ascii="Times New Roman" w:cs="Times New Roman" w:eastAsia="Times New Roman" w:hAnsi="Times New Roman"/>
                <w:sz w:val="16"/>
                <w:szCs w:val="16"/>
                <w:color w:val="auto"/>
              </w:rPr>
              <w:t>Cash flow from operating activities</w:t>
            </w:r>
            <w:r>
              <w:rPr>
                <w:rFonts w:ascii="Times New Roman" w:cs="Times New Roman" w:eastAsia="Times New Roman" w:hAnsi="Times New Roman"/>
                <w:sz w:val="21"/>
                <w:szCs w:val="21"/>
                <w:color w:val="auto"/>
                <w:vertAlign w:val="superscript"/>
              </w:rPr>
              <w:t>(1)</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3,058</w:t>
            </w:r>
          </w:p>
        </w:tc>
        <w:tc>
          <w:tcPr>
            <w:tcW w:w="4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4,056</w:t>
            </w:r>
          </w:p>
        </w:tc>
        <w:tc>
          <w:tcPr>
            <w:tcW w:w="42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Supplemental non-cash information on lease liabilities arising from obtaining right-</w:t>
            </w:r>
          </w:p>
        </w:tc>
        <w:tc>
          <w:tcPr>
            <w:tcW w:w="34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of-use assets</w:t>
            </w:r>
          </w:p>
        </w:tc>
        <w:tc>
          <w:tcPr>
            <w:tcW w:w="3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00"/>
        </w:trPr>
        <w:tc>
          <w:tcPr>
            <w:tcW w:w="54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300" w:right="20" w:hanging="294"/>
        <w:spacing w:after="0" w:line="294" w:lineRule="auto"/>
        <w:tabs>
          <w:tab w:leader="none" w:pos="28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real estate lease for office space in Alpharetta, Georgia required the landlord to reimburse certain expenditures incurred by us towards construction of improvements. The reimbursement was received during the year ended December 31, 2022 and exceeded the payments required to be made pursuant to the lease during the year.</w:t>
      </w:r>
    </w:p>
    <w:p>
      <w:pPr>
        <w:spacing w:after="0" w:line="164" w:lineRule="exact"/>
        <w:rPr>
          <w:sz w:val="20"/>
          <w:szCs w:val="20"/>
          <w:color w:val="auto"/>
        </w:rPr>
      </w:pPr>
    </w:p>
    <w:p>
      <w:pPr>
        <w:jc w:val="both"/>
        <w:ind w:right="20" w:firstLine="576"/>
        <w:spacing w:after="0" w:line="294" w:lineRule="auto"/>
        <w:rPr>
          <w:sz w:val="20"/>
          <w:szCs w:val="20"/>
          <w:color w:val="auto"/>
        </w:rPr>
      </w:pPr>
      <w:r>
        <w:rPr>
          <w:rFonts w:ascii="Times New Roman" w:cs="Times New Roman" w:eastAsia="Times New Roman" w:hAnsi="Times New Roman"/>
          <w:sz w:val="16"/>
          <w:szCs w:val="16"/>
          <w:color w:val="auto"/>
        </w:rPr>
        <w:t>As of December 31, 2024, the weighted average remaining lease term for our operating leases was 65 months, and the weighted average discount rate for our operating leases was 4.2%. As of December 31, 2023, the weighted average remaining lease term for our operating leases was 73 months, and the weighted average discount rate for our operating leases was 4.3%.</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shows balance sheet information about our leases: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60" w:type="dxa"/>
            <w:vAlign w:val="bottom"/>
          </w:tcPr>
          <w:p>
            <w:pPr>
              <w:spacing w:after="0"/>
              <w:rPr>
                <w:sz w:val="13"/>
                <w:szCs w:val="13"/>
                <w:color w:val="auto"/>
              </w:rPr>
            </w:pPr>
          </w:p>
        </w:tc>
        <w:tc>
          <w:tcPr>
            <w:tcW w:w="29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0" w:type="dxa"/>
            <w:vAlign w:val="bottom"/>
          </w:tcPr>
          <w:p>
            <w:pPr>
              <w:spacing w:after="0"/>
              <w:rPr>
                <w:sz w:val="13"/>
                <w:szCs w:val="13"/>
                <w:color w:val="auto"/>
              </w:rPr>
            </w:pPr>
          </w:p>
        </w:tc>
        <w:tc>
          <w:tcPr>
            <w:tcW w:w="1620" w:type="dxa"/>
            <w:vAlign w:val="bottom"/>
            <w:tcBorders>
              <w:top w:val="single" w:sz="8" w:color="auto"/>
            </w:tcBorders>
            <w:gridSpan w:val="3"/>
            <w:vMerge w:val="restart"/>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29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classification</w:t>
            </w:r>
          </w:p>
        </w:tc>
        <w:tc>
          <w:tcPr>
            <w:tcW w:w="1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w:t>
            </w: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Other assets, noncurrent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7,946</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9,356</w:t>
            </w:r>
          </w:p>
        </w:tc>
        <w:tc>
          <w:tcPr>
            <w:tcW w:w="0" w:type="dxa"/>
            <w:vAlign w:val="bottom"/>
          </w:tcPr>
          <w:p>
            <w:pPr>
              <w:spacing w:after="0"/>
              <w:rPr>
                <w:sz w:val="1"/>
                <w:szCs w:val="1"/>
                <w:color w:val="auto"/>
              </w:rPr>
            </w:pPr>
          </w:p>
        </w:tc>
      </w:tr>
      <w:tr>
        <w:trPr>
          <w:trHeight w:val="204"/>
        </w:trPr>
        <w:tc>
          <w:tcPr>
            <w:tcW w:w="4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3,793</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3,508</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2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Other liabilities, noncurrent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16,104</w:t>
            </w: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w:t>
            </w:r>
          </w:p>
        </w:tc>
        <w:tc>
          <w:tcPr>
            <w:tcW w:w="0" w:type="dxa"/>
            <w:vAlign w:val="bottom"/>
          </w:tcPr>
          <w:p>
            <w:pPr>
              <w:spacing w:after="0"/>
              <w:rPr>
                <w:sz w:val="1"/>
                <w:szCs w:val="1"/>
                <w:color w:val="auto"/>
              </w:rPr>
            </w:pPr>
          </w:p>
        </w:tc>
      </w:tr>
      <w:tr>
        <w:trPr>
          <w:trHeight w:val="466"/>
        </w:trPr>
        <w:tc>
          <w:tcPr>
            <w:tcW w:w="726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See Notes 6 and 7 for information on impairments recorded for certain right-of-use assets.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26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w w:val="99"/>
              </w:rPr>
              <w:t>Future minimum lease payments under non-cancellable leases as of December 31, 2024 were as follows: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0" w:type="dxa"/>
            <w:vAlign w:val="bottom"/>
          </w:tcPr>
          <w:p>
            <w:pPr>
              <w:spacing w:after="0"/>
              <w:rPr>
                <w:sz w:val="1"/>
                <w:szCs w:val="1"/>
                <w:color w:val="auto"/>
              </w:rPr>
            </w:pP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0" w:type="dxa"/>
            <w:vAlign w:val="bottom"/>
          </w:tcPr>
          <w:p>
            <w:pPr>
              <w:spacing w:after="0"/>
              <w:rPr>
                <w:sz w:val="1"/>
                <w:szCs w:val="1"/>
                <w:color w:val="auto"/>
              </w:rPr>
            </w:pP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0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23,419</w:t>
            </w:r>
          </w:p>
        </w:tc>
        <w:tc>
          <w:tcPr>
            <w:tcW w:w="0" w:type="dxa"/>
            <w:vAlign w:val="bottom"/>
          </w:tcPr>
          <w:p>
            <w:pPr>
              <w:spacing w:after="0"/>
              <w:rPr>
                <w:sz w:val="1"/>
                <w:szCs w:val="1"/>
                <w:color w:val="auto"/>
              </w:rPr>
            </w:pP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0" w:type="dxa"/>
            <w:vAlign w:val="bottom"/>
          </w:tcPr>
          <w:p>
            <w:pPr>
              <w:spacing w:after="0"/>
              <w:rPr>
                <w:sz w:val="1"/>
                <w:szCs w:val="1"/>
                <w:color w:val="auto"/>
              </w:rPr>
            </w:pPr>
          </w:p>
        </w:tc>
      </w:tr>
      <w:tr>
        <w:trPr>
          <w:trHeight w:val="197"/>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liability</w:t>
            </w:r>
          </w:p>
        </w:tc>
        <w:tc>
          <w:tcPr>
            <w:tcW w:w="2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19,897</w:t>
            </w:r>
          </w:p>
        </w:tc>
        <w:tc>
          <w:tcPr>
            <w:tcW w:w="0" w:type="dxa"/>
            <w:vAlign w:val="bottom"/>
          </w:tcPr>
          <w:p>
            <w:pPr>
              <w:spacing w:after="0"/>
              <w:rPr>
                <w:sz w:val="1"/>
                <w:szCs w:val="1"/>
                <w:color w:val="auto"/>
              </w:rPr>
            </w:pPr>
          </w:p>
        </w:tc>
      </w:tr>
      <w:tr>
        <w:trPr>
          <w:trHeight w:val="204"/>
        </w:trPr>
        <w:tc>
          <w:tcPr>
            <w:tcW w:w="4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w:t>
            </w: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gridSpan w:val="3"/>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Noncurrent</w:t>
            </w: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Investments in Debt Securities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have investments in certain debt securities, which we record at fair value and present as “Available-for-sale securities” in the consolidated balance sheets.</w:t>
      </w:r>
    </w:p>
    <w:p>
      <w:pPr>
        <w:spacing w:after="0" w:line="247"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67"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The cost basis and fair value of available-for-sale debt securities with unrealized gains and losses included in “Accumulated other comprehensive loss” in the consolidated balance sheets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5"/>
              </w:rPr>
              <w:t>December 31, 2023</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 securities</w:t>
            </w:r>
          </w:p>
        </w:tc>
        <w:tc>
          <w:tcPr>
            <w:tcW w:w="120" w:type="dxa"/>
            <w:vAlign w:val="bottom"/>
          </w:tcPr>
          <w:p>
            <w:pPr>
              <w:spacing w:after="0"/>
              <w:rPr>
                <w:sz w:val="12"/>
                <w:szCs w:val="12"/>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380" w:type="dxa"/>
            <w:vAlign w:val="bottom"/>
          </w:tcPr>
          <w:p>
            <w:pPr>
              <w:jc w:val="right"/>
              <w:ind w:right="322"/>
              <w:spacing w:after="0" w:line="14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60" w:type="dxa"/>
            <w:vAlign w:val="bottom"/>
          </w:tcPr>
          <w:p>
            <w:pPr>
              <w:spacing w:after="0"/>
              <w:rPr>
                <w:sz w:val="12"/>
                <w:szCs w:val="12"/>
                <w:color w:val="auto"/>
              </w:rPr>
            </w:pPr>
          </w:p>
        </w:tc>
        <w:tc>
          <w:tcPr>
            <w:tcW w:w="1340" w:type="dxa"/>
            <w:vAlign w:val="bottom"/>
          </w:tcPr>
          <w:p>
            <w:pPr>
              <w:jc w:val="right"/>
              <w:ind w:right="302"/>
              <w:spacing w:after="0" w:line="14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2"/>
                <w:szCs w:val="12"/>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Gains/(Losses), net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Gains/(Losses), net</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Government debt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treasury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17,230</w:t>
            </w:r>
          </w:p>
        </w:tc>
        <w:tc>
          <w:tcPr>
            <w:tcW w:w="160" w:type="dxa"/>
            <w:vAlign w:val="bottom"/>
          </w:tcPr>
          <w:p>
            <w:pPr>
              <w:spacing w:after="0"/>
              <w:rPr>
                <w:sz w:val="17"/>
                <w:szCs w:val="17"/>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17,398</w:t>
            </w:r>
          </w:p>
        </w:tc>
        <w:tc>
          <w:tcPr>
            <w:tcW w:w="0" w:type="dxa"/>
            <w:vAlign w:val="bottom"/>
          </w:tcPr>
          <w:p>
            <w:pPr>
              <w:spacing w:after="0"/>
              <w:rPr>
                <w:sz w:val="1"/>
                <w:szCs w:val="1"/>
                <w:color w:val="auto"/>
              </w:rPr>
            </w:pPr>
          </w:p>
        </w:tc>
      </w:tr>
      <w:tr>
        <w:trPr>
          <w:trHeight w:val="222"/>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17,230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576"/>
        <w:spacing w:after="0" w:line="290" w:lineRule="auto"/>
        <w:rPr>
          <w:sz w:val="20"/>
          <w:szCs w:val="20"/>
          <w:color w:val="auto"/>
        </w:rPr>
      </w:pPr>
      <w:r>
        <w:rPr>
          <w:rFonts w:ascii="Times New Roman" w:cs="Times New Roman" w:eastAsia="Times New Roman" w:hAnsi="Times New Roman"/>
          <w:sz w:val="16"/>
          <w:szCs w:val="16"/>
          <w:color w:val="auto"/>
        </w:rPr>
        <w:t>The unrealized gains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December 31, 2024. In February 2024, we sold our available-for-sale securities based on liquidity needs of the business. Losses associated with the sales were immaterial.</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cost basis and fair value of available-for-sale debt securities at December 31, 2024 and 2023, by contractual maturity, are shown below (in thousands).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maturities may differ from contractual maturities because borrowers may have the right to prepay and creditors may have the right to call obligations.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7"/>
        </w:trPr>
        <w:tc>
          <w:tcPr>
            <w:tcW w:w="5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17,398</w:t>
            </w:r>
          </w:p>
        </w:tc>
      </w:tr>
      <w:tr>
        <w:trPr>
          <w:trHeight w:val="196"/>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17,398</w:t>
            </w: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Segment Reporting</w:t>
      </w:r>
    </w:p>
    <w:p>
      <w:pPr>
        <w:spacing w:after="0" w:line="202" w:lineRule="exact"/>
        <w:rPr>
          <w:sz w:val="20"/>
          <w:szCs w:val="20"/>
          <w:color w:val="auto"/>
        </w:rPr>
      </w:pPr>
    </w:p>
    <w:p>
      <w:pPr>
        <w:jc w:val="both"/>
        <w:ind w:firstLine="576"/>
        <w:spacing w:after="0" w:line="294" w:lineRule="auto"/>
        <w:rPr>
          <w:sz w:val="20"/>
          <w:szCs w:val="20"/>
          <w:color w:val="auto"/>
        </w:rPr>
      </w:pPr>
      <w:r>
        <w:rPr>
          <w:rFonts w:ascii="Times New Roman" w:cs="Times New Roman" w:eastAsia="Times New Roman" w:hAnsi="Times New Roman"/>
          <w:sz w:val="16"/>
          <w:szCs w:val="16"/>
          <w:color w:val="auto"/>
        </w:rPr>
        <w:t>As described in Note 2, the Company operates as a single reportable segment, which derives its revenues by providing software solutions that support cryptocurrency transactions and loyalty points management. The Company manages its business operations on a consolidated basis. The accounting policies of the segment are the same as those described in Note 2. Bakkt's Chief Operating Decision Maker (“CODM”) is the chief executive officer.</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610235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7" w:right="66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represents significant segment expenses provided to the CODM for the years ended December 31, 2024, December 31, 2023,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194"/>
        </w:trPr>
        <w:tc>
          <w:tcPr>
            <w:tcW w:w="6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726,988</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r>
      <w:tr>
        <w:trPr>
          <w:trHeight w:val="234"/>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expenses: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2"/>
        </w:trPr>
        <w:tc>
          <w:tcPr>
            <w:tcW w:w="6320" w:type="dxa"/>
            <w:vAlign w:val="bottom"/>
          </w:tcPr>
          <w:p>
            <w:pPr>
              <w:ind w:left="20"/>
              <w:spacing w:after="0" w:line="192" w:lineRule="exact"/>
              <w:rPr>
                <w:sz w:val="20"/>
                <w:szCs w:val="20"/>
                <w:color w:val="auto"/>
              </w:rPr>
            </w:pPr>
            <w:r>
              <w:rPr>
                <w:rFonts w:ascii="Times New Roman" w:cs="Times New Roman" w:eastAsia="Times New Roman" w:hAnsi="Times New Roman"/>
                <w:sz w:val="14"/>
                <w:szCs w:val="14"/>
                <w:color w:val="auto"/>
              </w:rPr>
              <w:t>Personnel</w:t>
            </w:r>
            <w:r>
              <w:rPr>
                <w:rFonts w:ascii="Times New Roman" w:cs="Times New Roman" w:eastAsia="Times New Roman" w:hAnsi="Times New Roman"/>
                <w:sz w:val="19"/>
                <w:szCs w:val="19"/>
                <w:color w:val="auto"/>
                <w:vertAlign w:val="superscript"/>
              </w:rPr>
              <w:t>1</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29,194</w:t>
            </w:r>
          </w:p>
        </w:tc>
        <w:tc>
          <w:tcPr>
            <w:tcW w:w="3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33,695</w:t>
            </w:r>
          </w:p>
        </w:tc>
        <w:tc>
          <w:tcPr>
            <w:tcW w:w="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40,740</w:t>
            </w:r>
          </w:p>
        </w:tc>
      </w:tr>
      <w:tr>
        <w:trPr>
          <w:trHeight w:val="192"/>
        </w:trPr>
        <w:tc>
          <w:tcPr>
            <w:tcW w:w="63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Non-cash compensation</w:t>
            </w:r>
            <w:r>
              <w:rPr>
                <w:rFonts w:ascii="Times New Roman" w:cs="Times New Roman" w:eastAsia="Times New Roman" w:hAnsi="Times New Roman"/>
                <w:sz w:val="19"/>
                <w:szCs w:val="19"/>
                <w:color w:val="auto"/>
                <w:vertAlign w:val="superscript"/>
              </w:rPr>
              <w:t>1</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31,395</w:t>
            </w:r>
          </w:p>
        </w:tc>
      </w:t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11,114</w:t>
            </w:r>
          </w:p>
        </w:tc>
      </w:tr>
      <w:tr>
        <w:trPr>
          <w:trHeight w:val="19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11,369</w:t>
            </w:r>
          </w:p>
        </w:tc>
      </w:tr>
      <w:tr>
        <w:trPr>
          <w:trHeight w:val="192"/>
        </w:trPr>
        <w:tc>
          <w:tcPr>
            <w:tcW w:w="6320" w:type="dxa"/>
            <w:vAlign w:val="bottom"/>
          </w:tcPr>
          <w:p>
            <w:pPr>
              <w:ind w:left="20"/>
              <w:spacing w:after="0" w:line="192" w:lineRule="exact"/>
              <w:rPr>
                <w:sz w:val="20"/>
                <w:szCs w:val="20"/>
                <w:color w:val="auto"/>
              </w:rPr>
            </w:pPr>
            <w:r>
              <w:rPr>
                <w:rFonts w:ascii="Times New Roman" w:cs="Times New Roman" w:eastAsia="Times New Roman" w:hAnsi="Times New Roman"/>
                <w:sz w:val="14"/>
                <w:szCs w:val="14"/>
                <w:color w:val="auto"/>
              </w:rPr>
              <w:t>Occupancy</w:t>
            </w:r>
            <w:r>
              <w:rPr>
                <w:rFonts w:ascii="Times New Roman" w:cs="Times New Roman" w:eastAsia="Times New Roman" w:hAnsi="Times New Roman"/>
                <w:sz w:val="19"/>
                <w:szCs w:val="19"/>
                <w:color w:val="auto"/>
                <w:vertAlign w:val="superscript"/>
              </w:rPr>
              <w:t>2</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w:t>
            </w:r>
          </w:p>
        </w:tc>
      </w:tr>
      <w:tr>
        <w:trPr>
          <w:trHeight w:val="192"/>
        </w:trPr>
        <w:tc>
          <w:tcPr>
            <w:tcW w:w="63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Marketing and promotions</w:t>
            </w:r>
            <w:r>
              <w:rPr>
                <w:rFonts w:ascii="Times New Roman" w:cs="Times New Roman" w:eastAsia="Times New Roman" w:hAnsi="Times New Roman"/>
                <w:sz w:val="19"/>
                <w:szCs w:val="19"/>
                <w:color w:val="auto"/>
                <w:vertAlign w:val="superscript"/>
              </w:rPr>
              <w:t>3</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8,759</w:t>
            </w:r>
          </w:p>
        </w:tc>
      </w:tr>
      <w:tr>
        <w:trPr>
          <w:trHeight w:val="192"/>
        </w:trPr>
        <w:tc>
          <w:tcPr>
            <w:tcW w:w="6320" w:type="dxa"/>
            <w:vAlign w:val="bottom"/>
          </w:tcPr>
          <w:p>
            <w:pPr>
              <w:ind w:left="20"/>
              <w:spacing w:after="0" w:line="192" w:lineRule="exact"/>
              <w:rPr>
                <w:sz w:val="20"/>
                <w:szCs w:val="20"/>
                <w:color w:val="auto"/>
              </w:rPr>
            </w:pPr>
            <w:r>
              <w:rPr>
                <w:rFonts w:ascii="Times New Roman" w:cs="Times New Roman" w:eastAsia="Times New Roman" w:hAnsi="Times New Roman"/>
                <w:sz w:val="14"/>
                <w:szCs w:val="14"/>
                <w:color w:val="auto"/>
              </w:rPr>
              <w:t>Business insurance</w:t>
            </w:r>
            <w:r>
              <w:rPr>
                <w:rFonts w:ascii="Times New Roman" w:cs="Times New Roman" w:eastAsia="Times New Roman" w:hAnsi="Times New Roman"/>
                <w:sz w:val="19"/>
                <w:szCs w:val="19"/>
                <w:color w:val="auto"/>
                <w:vertAlign w:val="superscript"/>
              </w:rPr>
              <w:t>4</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17,161</w:t>
            </w:r>
          </w:p>
        </w:tc>
      </w:tr>
      <w:tr>
        <w:trPr>
          <w:trHeight w:val="192"/>
        </w:trPr>
        <w:tc>
          <w:tcPr>
            <w:tcW w:w="63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Depreciation and amortization</w:t>
            </w:r>
            <w:r>
              <w:rPr>
                <w:rFonts w:ascii="Times New Roman" w:cs="Times New Roman" w:eastAsia="Times New Roman" w:hAnsi="Times New Roman"/>
                <w:sz w:val="19"/>
                <w:szCs w:val="19"/>
                <w:color w:val="auto"/>
                <w:vertAlign w:val="superscript"/>
              </w:rPr>
              <w:t>5</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1,838,893</w:t>
            </w:r>
          </w:p>
        </w:tc>
      </w:tr>
      <w:tr>
        <w:trPr>
          <w:trHeight w:val="192"/>
        </w:trPr>
        <w:tc>
          <w:tcPr>
            <w:tcW w:w="6320" w:type="dxa"/>
            <w:vAlign w:val="bottom"/>
          </w:tcPr>
          <w:p>
            <w:pPr>
              <w:ind w:left="20"/>
              <w:spacing w:after="0" w:line="192" w:lineRule="exact"/>
              <w:rPr>
                <w:sz w:val="20"/>
                <w:szCs w:val="20"/>
                <w:color w:val="auto"/>
              </w:rPr>
            </w:pPr>
            <w:r>
              <w:rPr>
                <w:rFonts w:ascii="Times New Roman" w:cs="Times New Roman" w:eastAsia="Times New Roman" w:hAnsi="Times New Roman"/>
                <w:sz w:val="14"/>
                <w:szCs w:val="14"/>
                <w:color w:val="auto"/>
              </w:rPr>
              <w:t>Other operating costs</w:t>
            </w:r>
            <w:r>
              <w:rPr>
                <w:rFonts w:ascii="Times New Roman" w:cs="Times New Roman" w:eastAsia="Times New Roman" w:hAnsi="Times New Roman"/>
                <w:sz w:val="19"/>
                <w:szCs w:val="19"/>
                <w:color w:val="auto"/>
                <w:vertAlign w:val="superscript"/>
              </w:rPr>
              <w:t>6</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26,907</w:t>
            </w:r>
          </w:p>
        </w:tc>
      </w:tr>
      <w:tr>
        <w:trPr>
          <w:trHeight w:val="19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Crypto costs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3,403,207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718,511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r>
      <w:tr>
        <w:trPr>
          <w:trHeight w:val="19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Execution, clearing and brokerage fees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 per Consolidated Statements of Operations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3,523,643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883,232</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1,991,197</w:t>
            </w:r>
          </w:p>
        </w:tc>
      </w:tr>
      <w:tr>
        <w:trPr>
          <w:trHeight w:val="182"/>
        </w:trPr>
        <w:tc>
          <w:tcPr>
            <w:tcW w:w="6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(82,587)</w:t>
            </w:r>
          </w:p>
        </w:tc>
        <w:tc>
          <w:tcPr>
            <w:tcW w:w="8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(156,244)</w:t>
            </w:r>
          </w:p>
        </w:tc>
        <w:tc>
          <w:tcPr>
            <w:tcW w:w="8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(1,989,452)</w:t>
            </w:r>
          </w:p>
        </w:tc>
      </w:tr>
      <w:tr>
        <w:trPr>
          <w:trHeight w:val="194"/>
        </w:trPr>
        <w:tc>
          <w:tcPr>
            <w:tcW w:w="63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4"/>
                <w:szCs w:val="14"/>
                <w:color w:val="auto"/>
              </w:rPr>
              <w:t>Other expense (income), net</w:t>
            </w:r>
            <w:r>
              <w:rPr>
                <w:rFonts w:ascii="Times New Roman" w:cs="Times New Roman" w:eastAsia="Times New Roman" w:hAnsi="Times New Roman"/>
                <w:sz w:val="19"/>
                <w:szCs w:val="19"/>
                <w:color w:val="auto"/>
                <w:vertAlign w:val="superscript"/>
              </w:rPr>
              <w:t>7</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(29,019)</w:t>
            </w:r>
          </w:p>
        </w:tc>
      </w:tr>
      <w:tr>
        <w:trPr>
          <w:trHeight w:val="184"/>
        </w:trPr>
        <w:tc>
          <w:tcPr>
            <w:tcW w:w="63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(94,414)</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(153,743)</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(1,960,433)</w:t>
            </w: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40" w:hanging="222"/>
        <w:spacing w:after="0" w:line="247" w:lineRule="auto"/>
        <w:tabs>
          <w:tab w:leader="none" w:pos="24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Personnel includes payroll and benefits, excluding stock-based compensation, which is included in Non-cash compensation. Both are reported as part of Compensation and benefits on the consolidated statements of operations.</w:t>
      </w:r>
    </w:p>
    <w:p>
      <w:pPr>
        <w:spacing w:after="0" w:line="4" w:lineRule="exact"/>
        <w:rPr>
          <w:sz w:val="20"/>
          <w:szCs w:val="20"/>
          <w:color w:val="auto"/>
        </w:rPr>
      </w:pPr>
    </w:p>
    <w:p>
      <w:pPr>
        <w:ind w:left="240" w:hanging="222"/>
        <w:spacing w:after="0"/>
        <w:tabs>
          <w:tab w:leader="none" w:pos="2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Occupancy includes facility related expenses such as rent and is reported as Selling, general and administrative on the consolidated statements of operations.</w:t>
      </w:r>
    </w:p>
    <w:p>
      <w:pPr>
        <w:spacing w:after="0" w:line="31" w:lineRule="exact"/>
        <w:rPr>
          <w:sz w:val="20"/>
          <w:szCs w:val="20"/>
          <w:color w:val="auto"/>
        </w:rPr>
      </w:pPr>
    </w:p>
    <w:p>
      <w:pPr>
        <w:ind w:left="240" w:hanging="222"/>
        <w:spacing w:after="0" w:line="247" w:lineRule="auto"/>
        <w:tabs>
          <w:tab w:leader="none" w:pos="2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4" w:lineRule="exact"/>
        <w:rPr>
          <w:sz w:val="20"/>
          <w:szCs w:val="20"/>
          <w:color w:val="auto"/>
        </w:rPr>
      </w:pPr>
    </w:p>
    <w:p>
      <w:pPr>
        <w:ind w:left="240" w:hanging="222"/>
        <w:spacing w:after="0"/>
        <w:tabs>
          <w:tab w:leader="none" w:pos="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insurance primarily consists of business liability insurance premiums and is recorded as Selling, general and administrative on the consolidated statements of operations.</w:t>
      </w:r>
    </w:p>
    <w:p>
      <w:pPr>
        <w:spacing w:after="0" w:line="30" w:lineRule="exact"/>
        <w:rPr>
          <w:rFonts w:ascii="Times New Roman" w:cs="Times New Roman" w:eastAsia="Times New Roman" w:hAnsi="Times New Roman"/>
          <w:sz w:val="13"/>
          <w:szCs w:val="13"/>
          <w:color w:val="auto"/>
        </w:rPr>
      </w:pPr>
    </w:p>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   Goodwill and intangible asset impairments is presented in combination with Depreciation and amortization to the CODM.</w:t>
      </w:r>
    </w:p>
    <w:p>
      <w:pPr>
        <w:spacing w:after="0" w:line="31" w:lineRule="exact"/>
        <w:rPr>
          <w:sz w:val="20"/>
          <w:szCs w:val="20"/>
          <w:color w:val="auto"/>
        </w:rPr>
      </w:pPr>
    </w:p>
    <w:p>
      <w:pPr>
        <w:ind w:left="240" w:right="20" w:hanging="222"/>
        <w:spacing w:after="0" w:line="247" w:lineRule="auto"/>
        <w:tabs>
          <w:tab w:leader="none" w:pos="2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operating costs consist primarily of Acquisition-related expenses, Related party expenses, and Impairment of long-lived assets as presented on the statements of operations, as well as costs that are reported as Selling, general and administrative, and Compensation and benefits on the consolidated statements of operations.</w:t>
      </w:r>
    </w:p>
    <w:p>
      <w:pPr>
        <w:spacing w:after="0" w:line="4" w:lineRule="exact"/>
        <w:rPr>
          <w:sz w:val="20"/>
          <w:szCs w:val="20"/>
          <w:color w:val="auto"/>
        </w:rPr>
      </w:pPr>
    </w:p>
    <w:p>
      <w:pPr>
        <w:ind w:left="240" w:right="20" w:hanging="222"/>
        <w:spacing w:after="0" w:line="247" w:lineRule="auto"/>
        <w:tabs>
          <w:tab w:leader="none" w:pos="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267"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We recognized revenue from foreign jurisdictions of $66.2 million, $11.1 million, and $0.0 million for the years ended December 31, 2024, December 31, 2023, and December 31, 2022, respectively.</w:t>
      </w:r>
    </w:p>
    <w:p>
      <w:pPr>
        <w:spacing w:after="0" w:line="155" w:lineRule="exact"/>
        <w:rPr>
          <w:sz w:val="20"/>
          <w:szCs w:val="20"/>
          <w:color w:val="auto"/>
        </w:rPr>
      </w:pPr>
    </w:p>
    <w:p>
      <w:pPr>
        <w:jc w:val="both"/>
        <w:ind w:firstLine="576"/>
        <w:spacing w:after="0" w:line="334" w:lineRule="auto"/>
        <w:rPr>
          <w:sz w:val="20"/>
          <w:szCs w:val="20"/>
          <w:color w:val="auto"/>
        </w:rPr>
      </w:pPr>
      <w:r>
        <w:rPr>
          <w:rFonts w:ascii="Times New Roman" w:cs="Times New Roman" w:eastAsia="Times New Roman" w:hAnsi="Times New Roman"/>
          <w:sz w:val="14"/>
          <w:szCs w:val="14"/>
          <w:color w:val="auto"/>
        </w:rPr>
        <w:t>For the year ended December 31, 2024, we had no revenue concentration with any individual customer. However, our customers are introduced to us via client relationships. For the year ended December 31, 2024 our top three Crypto clients represented approximately 94%, of Crypto services revenue. One client, Webull, represented over 10% of our Crypto revenue, which accounted for revenue of $2,556.0 million during the year ended December 31, 2024, or 74% of Crypto services revenue in such period. For the year ended December 31, 2023 our top three Crypto clients represented approximately 86% of Crypto revenue. One client, Webull, represented over 10% of our Crypto services revenue, which accounted for revenue of $529.6 million during the year ended December 31, 2023, or 73% of Crypto services revenue in such period. We had no material concentration risk for the year ended December 31, 2022 as our crypto services revenues were not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7" w:right="68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We have evaluated subsequent events and transactions and determined that no events or transactions met the definition of a subsequent event for purpose of recognition or disclosure in these financial statements, other than as described below.</w:t>
      </w:r>
    </w:p>
    <w:p>
      <w:pPr>
        <w:spacing w:after="0" w:line="155" w:lineRule="exact"/>
        <w:rPr>
          <w:sz w:val="20"/>
          <w:szCs w:val="20"/>
          <w:color w:val="auto"/>
        </w:rPr>
      </w:pPr>
    </w:p>
    <w:p>
      <w:pPr>
        <w:jc w:val="both"/>
        <w:ind w:firstLine="576"/>
        <w:spacing w:after="0" w:line="288" w:lineRule="auto"/>
        <w:rPr>
          <w:sz w:val="20"/>
          <w:szCs w:val="20"/>
          <w:color w:val="auto"/>
        </w:rPr>
      </w:pPr>
      <w:r>
        <w:rPr>
          <w:rFonts w:ascii="Times New Roman" w:cs="Times New Roman" w:eastAsia="Times New Roman" w:hAnsi="Times New Roman"/>
          <w:sz w:val="16"/>
          <w:szCs w:val="16"/>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 and severally liable with the third-party assignee for the obligations under the New York office lease.</w:t>
      </w:r>
    </w:p>
    <w:p>
      <w:pPr>
        <w:spacing w:after="0" w:line="168" w:lineRule="exact"/>
        <w:rPr>
          <w:sz w:val="20"/>
          <w:szCs w:val="20"/>
          <w:color w:val="auto"/>
        </w:rPr>
      </w:pPr>
    </w:p>
    <w:p>
      <w:pPr>
        <w:jc w:val="both"/>
        <w:ind w:right="20" w:firstLine="576"/>
        <w:spacing w:after="0" w:line="306" w:lineRule="auto"/>
        <w:rPr>
          <w:sz w:val="20"/>
          <w:szCs w:val="20"/>
          <w:color w:val="auto"/>
        </w:rPr>
      </w:pPr>
      <w:r>
        <w:rPr>
          <w:rFonts w:ascii="Times New Roman" w:cs="Times New Roman" w:eastAsia="Times New Roman" w:hAnsi="Times New Roman"/>
          <w:sz w:val="16"/>
          <w:szCs w:val="16"/>
          <w:color w:val="auto"/>
        </w:rPr>
        <w:t>In January 2025, Bank of America further reduced our credit line associated with the purchasing card facility from $20.0 million to $18.0 million and changed payment frequency to weekly.</w:t>
      </w:r>
    </w:p>
    <w:p>
      <w:pPr>
        <w:spacing w:after="0" w:line="155" w:lineRule="exact"/>
        <w:rPr>
          <w:sz w:val="20"/>
          <w:szCs w:val="20"/>
          <w:color w:val="auto"/>
        </w:rPr>
      </w:pPr>
    </w:p>
    <w:p>
      <w:pPr>
        <w:jc w:val="both"/>
        <w:ind w:firstLine="576"/>
        <w:spacing w:after="0" w:line="306" w:lineRule="auto"/>
        <w:rPr>
          <w:sz w:val="20"/>
          <w:szCs w:val="20"/>
          <w:color w:val="auto"/>
        </w:rPr>
      </w:pPr>
      <w:r>
        <w:rPr>
          <w:rFonts w:ascii="Times New Roman" w:cs="Times New Roman" w:eastAsia="Times New Roman" w:hAnsi="Times New Roman"/>
          <w:sz w:val="16"/>
          <w:szCs w:val="16"/>
          <w:color w:val="auto"/>
        </w:rPr>
        <w:t>On March 3, 2025, the SEC concluded its inquiry of Bakkt Crypto and, based on the information it had at such time, the SEC advised the Company that it did not intend to recommend an enforcement action against Bakkt Crypto.</w:t>
      </w:r>
    </w:p>
    <w:p>
      <w:pPr>
        <w:spacing w:after="0" w:line="155"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On March 14, 2025, our largest client, Webull, notified us that it will not renew its agreement with us when the current term of the agreement ends on June 14, 2025. The non-renewal of its agreement is an indicator of potential impairment of our goodwill. The Company is evaluating the impact of the loss of this client, and given the significance of Webull to our historical Crypto services revenue (as disclosed in Footnote 20), there is risk of a potentially material goodwill impairment that would be recorded in our quarterly results as of March 31, 2025.</w:t>
      </w:r>
    </w:p>
    <w:p>
      <w:pPr>
        <w:spacing w:after="0" w:line="167"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We also received notice from Bank of America Corporation (“Bank of America”) on March 14, 2025 that Bank of America would not renew its commercial agreement with us. As a result, such agreement will expire in accordance with its terms on April 22, 2025, subject to the Company’s obligation to provide transition services for up to a 12-month period. Bank of America represented approximately 16% and 18% of our Loyalty net revenue in in the years ended December 31, 2024 and 2023, respectively.</w:t>
      </w:r>
    </w:p>
    <w:p>
      <w:pPr>
        <w:spacing w:after="0" w:line="167"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On March 17, 2025, we entered into an agreement with ICE whereby ICE has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167" w:lineRule="exact"/>
        <w:rPr>
          <w:sz w:val="20"/>
          <w:szCs w:val="20"/>
          <w:color w:val="auto"/>
        </w:rPr>
      </w:pPr>
    </w:p>
    <w:p>
      <w:pPr>
        <w:ind w:right="40" w:firstLine="576"/>
        <w:spacing w:after="0" w:line="306" w:lineRule="auto"/>
        <w:rPr>
          <w:sz w:val="20"/>
          <w:szCs w:val="20"/>
          <w:color w:val="auto"/>
        </w:rPr>
      </w:pPr>
      <w:r>
        <w:rPr>
          <w:rFonts w:ascii="Times New Roman" w:cs="Times New Roman" w:eastAsia="Times New Roman" w:hAnsi="Times New Roman"/>
          <w:sz w:val="16"/>
          <w:szCs w:val="16"/>
          <w:color w:val="auto"/>
        </w:rPr>
        <w:t>On March 19, 2025, the Company announced that it had entered into a Cooperation Agreement with Distributed Technologies Research Ltd. (“DTR”) and Akshay Naheta, the sole stockholder of DTR (the “Cooperation Agreement”).</w:t>
      </w:r>
    </w:p>
    <w:p>
      <w:pPr>
        <w:spacing w:after="0" w:line="155" w:lineRule="exact"/>
        <w:rPr>
          <w:sz w:val="20"/>
          <w:szCs w:val="20"/>
          <w:color w:val="auto"/>
        </w:rPr>
      </w:pPr>
    </w:p>
    <w:p>
      <w:pPr>
        <w:jc w:val="both"/>
        <w:ind w:right="20" w:firstLine="576"/>
        <w:spacing w:after="0" w:line="290" w:lineRule="auto"/>
        <w:rPr>
          <w:sz w:val="20"/>
          <w:szCs w:val="20"/>
          <w:color w:val="auto"/>
        </w:rPr>
      </w:pPr>
      <w:r>
        <w:rPr>
          <w:rFonts w:ascii="Times New Roman" w:cs="Times New Roman" w:eastAsia="Times New Roman" w:hAnsi="Times New Roman"/>
          <w:sz w:val="16"/>
          <w:szCs w:val="16"/>
          <w:color w:val="auto"/>
        </w:rPr>
        <w:t>On July 23, 2025, Opco, a wholly owned subsidiary of the Company, entered into an agreement to sell all of the issued and outstanding equity interests of the Acquired Companies to Project Labrador Holdco, LLC, a wholly owned subsidiary of Roman. These entities comprised the Company’s Loyalty Business, and the transaction comprised a part of the Company’s strategic transformation into a pure-play cryptocurrency infrastructure platform. The sale transaction closed on October 1, 2025. Refer to Note 2 and Note 3 for additional details.</w:t>
      </w:r>
    </w:p>
    <w:p>
      <w:pPr>
        <w:sectPr>
          <w:pgSz w:w="11900" w:h="16840" w:orient="portrait"/>
          <w:cols w:equalWidth="0" w:num="1">
            <w:col w:w="10580"/>
          </w:cols>
          <w:pgMar w:left="660" w:top="557" w:right="660" w:bottom="1440" w:gutter="0" w:footer="0" w:header="0"/>
        </w:sectPr>
      </w:pPr>
    </w:p>
    <w:bookmarkStart w:id="95" w:name="page96"/>
    <w:bookmarkEnd w:id="9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lvl w:ilvl="1">
      <w:lvlJc w:val="left"/>
      <w:lvlText w:val="**"/>
      <w:numFmt w:val="bullet"/>
      <w:start w:val="1"/>
    </w:lvl>
  </w:abstractNum>
  <w:abstractNum w:abstractNumId="18">
    <w:nsid w:val="54E49EB4"/>
    <w:multiLevelType w:val="hybridMultilevel"/>
    <w:lvl w:ilvl="0">
      <w:lvlJc w:val="left"/>
      <w:lvlText w:val="%1."/>
      <w:numFmt w:val="decimal"/>
      <w:start w:val="2"/>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2"/>
    </w:lvl>
  </w:abstractNum>
  <w:abstractNum w:abstractNumId="23">
    <w:nsid w:val="3A95F874"/>
    <w:multiLevelType w:val="hybridMultilevel"/>
    <w:lvl w:ilvl="0">
      <w:lvlJc w:val="left"/>
      <w:lvlText w:val="%1."/>
      <w:numFmt w:val="decimal"/>
      <w:start w:val="5"/>
    </w:lvl>
  </w:abstractNum>
  <w:abstractNum w:abstractNumId="24">
    <w:nsid w:val="8138641"/>
    <w:multiLevelType w:val="hybridMultilevel"/>
    <w:lvl w:ilvl="0">
      <w:lvlJc w:val="left"/>
      <w:lvlText w:val="%1."/>
      <w:numFmt w:val="decimal"/>
      <w:start w:val="8"/>
    </w:lvl>
  </w:abstractNum>
  <w:abstractNum w:abstractNumId="25">
    <w:nsid w:val="1E7FF521"/>
    <w:multiLevelType w:val="hybridMultilevel"/>
    <w:lvl w:ilvl="0">
      <w:lvlJc w:val="left"/>
      <w:lvlText w:val="%1."/>
      <w:numFmt w:val="decimal"/>
      <w:start w:val="9"/>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bullet"/>
      <w:start w:val="1"/>
    </w:lvl>
  </w:abstractNum>
  <w:abstractNum w:abstractNumId="30">
    <w:nsid w:val="4516DDE9"/>
    <w:multiLevelType w:val="hybridMultilevel"/>
    <w:lvl w:ilvl="0">
      <w:lvlJc w:val="left"/>
      <w:lvlText w:val="2"/>
      <w:numFmt w:val="bullet"/>
      <w:start w:val="1"/>
    </w:lvl>
  </w:abstractNum>
  <w:abstractNum w:abstractNumId="31">
    <w:nsid w:val="3006C83E"/>
    <w:multiLevelType w:val="hybridMultilevel"/>
    <w:lvl w:ilvl="0">
      <w:lvlJc w:val="left"/>
      <w:lvlText w:val="3"/>
      <w:numFmt w:val="bullet"/>
      <w:start w:val="1"/>
    </w:lvl>
  </w:abstractNum>
  <w:abstractNum w:abstractNumId="32">
    <w:nsid w:val="614FD4A1"/>
    <w:multiLevelType w:val="hybridMultilevel"/>
    <w:lvl w:ilvl="0">
      <w:lvlJc w:val="left"/>
      <w:lvlText w:val="4"/>
      <w:numFmt w:val="bullet"/>
      <w:start w:val="1"/>
    </w:lvl>
  </w:abstractNum>
  <w:abstractNum w:abstractNumId="33">
    <w:nsid w:val="419AC241"/>
    <w:multiLevelType w:val="hybridMultilevel"/>
    <w:lvl w:ilvl="0">
      <w:lvlJc w:val="left"/>
      <w:lvlText w:val="6"/>
      <w:numFmt w:val="bullet"/>
      <w:start w:val="1"/>
    </w:lvl>
  </w:abstractNum>
  <w:abstractNum w:abstractNumId="34">
    <w:nsid w:val="5577F8E1"/>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2025-12-10T16:45:01Z</dcterms:created>
  <dcterms:modified xsi:type="dcterms:W3CDTF">2025-12-10T16:45:01Z</dcterms:modified>
</cp:coreProperties>
</file>