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333-262037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5" w:right="439" w:bottom="97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41-2324812</w:t>
      </w:r>
    </w:p>
    <w:p>
      <w:pPr>
        <w:spacing w:after="0" w:line="12" w:lineRule="exact"/>
        <w:rPr>
          <w:sz w:val="24"/>
          <w:szCs w:val="24"/>
          <w:color w:val="auto"/>
        </w:rPr>
      </w:pPr>
    </w:p>
    <w:p>
      <w:pPr>
        <w:sectPr>
          <w:pgSz w:w="11900" w:h="16838" w:orient="portrait"/>
          <w:cols w:equalWidth="0" w:num="2">
            <w:col w:w="7180" w:space="720"/>
            <w:col w:w="3120"/>
          </w:cols>
          <w:pgMar w:left="440" w:top="225" w:right="439" w:bottom="973" w:gutter="0" w:footer="0" w:header="0"/>
          <w:type w:val="continuous"/>
        </w:sectPr>
      </w:pPr>
    </w:p>
    <w:p>
      <w:pPr>
        <w:ind w:left="18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88" w:lineRule="exact"/>
        <w:rPr>
          <w:sz w:val="24"/>
          <w:szCs w:val="24"/>
          <w:color w:val="auto"/>
        </w:rPr>
      </w:pPr>
    </w:p>
    <w:p>
      <w:pPr>
        <w:sectPr>
          <w:pgSz w:w="11900" w:h="16838" w:orient="portrait"/>
          <w:cols w:equalWidth="0" w:num="2">
            <w:col w:w="6900" w:space="720"/>
            <w:col w:w="3400"/>
          </w:cols>
          <w:pgMar w:left="440" w:top="225" w:right="439" w:bottom="973"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020"/>
          </w:cols>
          <w:pgMar w:left="440" w:top="225" w:right="439" w:bottom="973"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Second Amended and Restated Bakkt Equity Incentive Plan</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57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Jared M. Fishman</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Mario Schollmeyer</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Sullivan &amp; Cromwell LLP</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c>
          <w:tcPr>
            <w:tcW w:w="5760" w:type="dxa"/>
            <w:vAlign w:val="bottom"/>
          </w:tcPr>
          <w:p>
            <w:pPr>
              <w:spacing w:after="0"/>
              <w:rPr>
                <w:sz w:val="18"/>
                <w:szCs w:val="18"/>
                <w:color w:val="auto"/>
              </w:rPr>
            </w:pPr>
          </w:p>
        </w:tc>
      </w:tr>
      <w:tr>
        <w:trPr>
          <w:trHeight w:val="238"/>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(212) 558-4000</w:t>
            </w:r>
          </w:p>
        </w:tc>
        <w:tc>
          <w:tcPr>
            <w:tcW w:w="5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973" w:gutter="0" w:footer="0" w:header="0"/>
          <w:type w:val="continuous"/>
        </w:sectPr>
      </w:pPr>
    </w:p>
    <w:bookmarkStart w:id="1" w:name="page2"/>
    <w:bookmarkEnd w:id="1"/>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POST-EFFECTIVE AMENDMENT TO DEREGISTER UNSOLD SHARES OF CLASS A COMMON STOCK AND WITHDRAW OUR FORM S-8 REGISTRATION STATEMENT</w:t>
      </w:r>
    </w:p>
    <w:p>
      <w:pPr>
        <w:spacing w:after="0" w:line="159" w:lineRule="exact"/>
        <w:rPr>
          <w:sz w:val="20"/>
          <w:szCs w:val="20"/>
          <w:color w:val="auto"/>
        </w:rPr>
      </w:pPr>
    </w:p>
    <w:p>
      <w:pPr>
        <w:ind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6, 2022, Bakkt Intermediate Holdings, Inc. (formerly “Bakkt Holdings, Inc.”) (the “Predecessor Registrant”) filed with the Securities and Exchange Commission (“SEC”) a registration statement on Form S-8 (</w:t>
      </w:r>
      <w:hyperlink r:id="rId19">
        <w:r>
          <w:rPr>
            <w:rFonts w:ascii="Times New Roman" w:cs="Times New Roman" w:eastAsia="Times New Roman" w:hAnsi="Times New Roman"/>
            <w:sz w:val="18"/>
            <w:szCs w:val="18"/>
            <w:u w:val="single" w:color="auto"/>
            <w:color w:val="0000EE"/>
          </w:rPr>
          <w:t>Registration No. 333-262037</w:t>
        </w:r>
      </w:hyperlink>
      <w:r>
        <w:rPr>
          <w:rFonts w:ascii="Times New Roman" w:cs="Times New Roman" w:eastAsia="Times New Roman" w:hAnsi="Times New Roman"/>
          <w:sz w:val="18"/>
          <w:szCs w:val="18"/>
          <w:color w:val="auto"/>
        </w:rPr>
        <w:t>) (the “Registration Statement”), registering 16,148,596 shares of the Predecessor Registrant’s Class A common stock, par value $0.0001 per share, issuable pursuant to the exchange of common units (“Opco Common Units”) of Bakkt Opco Holdings, LLC, a Delaware limited liability company f/k/a Bakkt Holdings, LLC (“Opco”), and a corresponding number of shares of the Predecessor Registrant’s Class V common stock, par value $0.0001 per share (“Class V Common Stock,” and each share of Class V Common Stock, when coupled with one Opco Common Unit, a “Paired Interest”), underlying outstanding equity grants previously made under the Second Amended and Restated Bakkt Equity Incentive Plan (the “Plan”).</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Effective as of November 3, 2025 (the “Effective Date”), the Predecessor Registrant merged (the “Merger”) with and into Bakkt Merger Sub 1, Inc., a Delaware corporation (“Merger Sub”) and a direct wholly-owned subsidiary of Bakkt Holdings, Inc. (formerly “Bakkt NewCo Holdings, Inc.”), a Delaware corporation (the “Successor Registrant”), pursuant to which the Predecessor Registrant became a direct wholly-owned subsidiary of the Successor Registrant, in accordance with the Agreement and Plan of Merger, dated November 3, 2025, among the Predecessor Registrant, the Successor Registrant and Merger Sub. For the purposes of this post-effective amendment (this “Amendment”) and the Registration Statement, (i) as of any time prior to the Effective Date, references to the “Company” mean the Predecessor Registrant and (ii) as of the Effective Date and thereafter, references to the “Company” mean the Successor Registrant.</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the Merger, the Paired Interests underlying outstanding equity grants previously made under the Plan were automatically converted into shares of the Successor Registrant’s Class A common stock, par value $0.0001.</w:t>
      </w:r>
    </w:p>
    <w:p>
      <w:pPr>
        <w:spacing w:after="0" w:line="16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has therefore terminated all offerings of its securities under the Registration Statement. In accordance with an undertaking made by the Company in the Registration Statement to remove from registration by means of a post-effective amendment any and all securities registered under the Registration Statement that remain unsold at the termination of the offerings, the Company hereby removes from registration any securities registered under the Registration Statement which remained unsold as of the Effective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New York, State of New York, on November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No. 1 to the Registration Statement has been signed by the following persons in the capacities and on the 10th day of November,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020"/>
          </w:cols>
          <w:pgMar w:left="440" w:top="266" w:right="439" w:bottom="1440" w:gutter="0" w:footer="0" w:header="0"/>
        </w:sectPr>
      </w:pPr>
    </w:p>
    <w:bookmarkStart w:id="2" w:name="page3"/>
    <w:bookmarkEnd w:id="2"/>
    <w:p>
      <w:pPr>
        <w:ind w:left="1840"/>
        <w:spacing w:after="0"/>
        <w:tabs>
          <w:tab w:leader="none" w:pos="75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r>
        <w:rPr>
          <w:sz w:val="20"/>
          <w:szCs w:val="20"/>
          <w:color w:val="auto"/>
        </w:rPr>
        <w:tab/>
      </w: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63" w:right="1440"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Henderson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Collins</w:t>
      </w:r>
    </w:p>
    <w:p>
      <w:pPr>
        <w:spacing w:after="0" w:line="234" w:lineRule="exact"/>
        <w:rPr>
          <w:sz w:val="20"/>
          <w:szCs w:val="20"/>
          <w:color w:val="auto"/>
        </w:rPr>
      </w:pPr>
    </w:p>
    <w:p>
      <w:pPr>
        <w:ind w:right="1480"/>
        <w:spacing w:after="0" w:line="329" w:lineRule="auto"/>
        <w:rPr>
          <w:sz w:val="20"/>
          <w:szCs w:val="20"/>
          <w:color w:val="auto"/>
        </w:rPr>
      </w:pPr>
      <w:r>
        <w:rPr>
          <w:rFonts w:ascii="Times New Roman" w:cs="Times New Roman" w:eastAsia="Times New Roman" w:hAnsi="Times New Roman"/>
          <w:sz w:val="17"/>
          <w:szCs w:val="17"/>
          <w:color w:val="auto"/>
        </w:rPr>
        <w:t>/s/ Madelyn Alden Schwartzer Madelyn Alden Schwartzer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27089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Alfred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Alfred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Colleen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08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Colleen Brown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 of the Board of Directors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2">
        <w:col w:w="3660" w:space="720"/>
        <w:col w:w="5639"/>
      </w:cols>
      <w:pgMar w:left="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9" Type="http://schemas.openxmlformats.org/officeDocument/2006/relationships/hyperlink" Target="http://www.sec.gov/Archives/edgar/data/1820302/000119312522003584/d26600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2025-11-10T13:58:44Z</dcterms:created>
  <dcterms:modified xsi:type="dcterms:W3CDTF">2025-11-10T13:58:44Z</dcterms:modified>
</cp:coreProperties>
</file>