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74714ds3.htm"/>
        <w:bookmarkStart w:id="1" w:name="ksd474714ds3"/>
        <w:bookmarkEnd w:id="0"/>
        <w:bookmarkEnd w:id="1"/>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As filed with the Securities and Exchange Commission on April 20, 2023 </w:t>
      </w:r>
    </w:p>
    <w:p>
      <w:pPr>
        <w:pStyle w:val="TextBody"/>
        <w:spacing w:before="0" w:after="0"/>
        <w:jc w:val="right"/>
        <w:rPr>
          <w:rFonts w:ascii="Times New Roman" w:hAnsi="Times New Roman"/>
          <w:b/>
          <w:sz w:val="17"/>
        </w:rPr>
      </w:pPr>
      <w:r>
        <w:rPr>
          <w:rFonts w:ascii="Times New Roman" w:hAnsi="Times New Roman"/>
          <w:b/>
          <w:sz w:val="17"/>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0" w:after="0"/>
        <w:jc w:val="center"/>
        <w:rPr>
          <w:rFonts w:ascii="Times New Roman" w:hAnsi="Times New Roman"/>
          <w:b/>
          <w:sz w:val="32"/>
        </w:rPr>
      </w:pPr>
      <w:r>
        <w:rPr>
          <w:rFonts w:ascii="Times New Roman" w:hAnsi="Times New Roman"/>
          <w:b/>
          <w:sz w:val="32"/>
        </w:rPr>
        <w:t xml:space="preserve">UNITED STATES </w:t>
      </w:r>
    </w:p>
    <w:p>
      <w:pPr>
        <w:pStyle w:val="TextBody"/>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32"/>
        </w:rPr>
      </w:pPr>
      <w:r>
        <w:rPr>
          <w:rFonts w:ascii="Times New Roman" w:hAnsi="Times New Roman"/>
          <w:b/>
          <w:sz w:val="32"/>
        </w:rPr>
        <w:t xml:space="preserve">FORM S-3 </w:t>
      </w:r>
    </w:p>
    <w:p>
      <w:pPr>
        <w:pStyle w:val="TextBody"/>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spacing w:before="0" w:after="0"/>
        <w:jc w:val="center"/>
        <w:rPr>
          <w:rFonts w:ascii="Times New Roman" w:hAnsi="Times New Roman"/>
          <w:b/>
          <w:i/>
          <w:sz w:val="20"/>
        </w:rPr>
      </w:pPr>
      <w:r>
        <w:rPr>
          <w:rFonts w:ascii="Times New Roman" w:hAnsi="Times New Roman"/>
          <w:b/>
          <w:i/>
          <w:sz w:val="20"/>
        </w:rPr>
        <w:t xml:space="preserve">UNDER </w:t>
      </w:r>
    </w:p>
    <w:p>
      <w:pPr>
        <w:pStyle w:val="TextBody"/>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40"/>
        </w:rPr>
      </w:pPr>
      <w:r>
        <w:rPr>
          <w:rFonts w:ascii="Times New Roman" w:hAnsi="Times New Roman"/>
          <w:b/>
          <w:sz w:val="40"/>
        </w:rPr>
        <w:t xml:space="preserve">Bakkt Holdings, Inc. </w:t>
      </w:r>
    </w:p>
    <w:p>
      <w:pPr>
        <w:pStyle w:val="TextBody"/>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98-1550750</w:t>
            </w:r>
          </w:p>
        </w:tc>
      </w:tr>
      <w:tr>
        <w:trPr/>
        <w:tc>
          <w:tcPr>
            <w:tcW w:w="5154" w:type="dxa"/>
            <w:tcBorders/>
            <w:shd w:fill="auto" w:val="clear"/>
          </w:tcPr>
          <w:p>
            <w:pPr>
              <w:pStyle w:val="TableContents"/>
              <w:spacing w:before="0" w:after="283"/>
              <w:jc w:val="center"/>
              <w:rPr>
                <w:b/>
              </w:rPr>
            </w:pPr>
            <w:r>
              <w:rPr>
                <w:b/>
              </w:rPr>
              <w:t xml:space="preserve">(State or other jurisdiction of </w:t>
              <w:b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(I.R.S. Employer</w:t>
              <w:br/>
              <w:t>Identification Number)</w:t>
            </w:r>
          </w:p>
        </w:tc>
      </w:tr>
    </w:tbl>
    <w:p>
      <w:pPr>
        <w:pStyle w:val="TextBody"/>
        <w:spacing w:before="4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6"/>
        </w:rPr>
      </w:pPr>
      <w:r>
        <w:rPr>
          <w:rFonts w:ascii="Times New Roman" w:hAnsi="Times New Roman"/>
          <w:b/>
          <w:sz w:val="16"/>
        </w:rPr>
        <w:t xml:space="preserve">Gavin Michael </w:t>
      </w:r>
    </w:p>
    <w:p>
      <w:pPr>
        <w:pStyle w:val="TextBody"/>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spacing w:before="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i/>
          <w:sz w:val="18"/>
        </w:rPr>
      </w:pPr>
      <w:r>
        <w:rPr>
          <w:rFonts w:ascii="Times New Roman" w:hAnsi="Times New Roman"/>
          <w:b/>
          <w:i/>
          <w:sz w:val="18"/>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J. Matthew Lyons</w:t>
            </w:r>
          </w:p>
          <w:p>
            <w:pPr>
              <w:pStyle w:val="TableContents"/>
              <w:spacing w:before="0" w:after="0"/>
              <w:jc w:val="center"/>
              <w:rPr>
                <w:rFonts w:ascii="Times New Roman" w:hAnsi="Times New Roman"/>
                <w:b/>
                <w:sz w:val="17"/>
              </w:rPr>
            </w:pPr>
            <w:r>
              <w:rPr>
                <w:rFonts w:ascii="Times New Roman" w:hAnsi="Times New Roman"/>
                <w:b/>
                <w:sz w:val="17"/>
              </w:rPr>
              <w:t>Austin D. March</w:t>
            </w:r>
          </w:p>
          <w:p>
            <w:pPr>
              <w:pStyle w:val="TableContents"/>
              <w:spacing w:before="0" w:after="0"/>
              <w:jc w:val="center"/>
              <w:rPr>
                <w:rFonts w:ascii="Times New Roman" w:hAnsi="Times New Roman"/>
                <w:b/>
                <w:sz w:val="17"/>
              </w:rPr>
            </w:pPr>
            <w:r>
              <w:rPr>
                <w:rFonts w:ascii="Times New Roman" w:hAnsi="Times New Roman"/>
                <w:b/>
                <w:sz w:val="17"/>
              </w:rPr>
              <w:t>Wilson Sonsini Goodrich &amp; Rosati,</w:t>
            </w:r>
          </w:p>
          <w:p>
            <w:pPr>
              <w:pStyle w:val="TableContents"/>
              <w:spacing w:before="0" w:after="0"/>
              <w:jc w:val="center"/>
              <w:rPr>
                <w:rFonts w:ascii="Times New Roman" w:hAnsi="Times New Roman"/>
                <w:b/>
                <w:sz w:val="17"/>
              </w:rPr>
            </w:pPr>
            <w:r>
              <w:rPr>
                <w:rFonts w:ascii="Times New Roman" w:hAnsi="Times New Roman"/>
                <w:b/>
                <w:sz w:val="17"/>
              </w:rPr>
              <w:t>Professional Corporation</w:t>
            </w:r>
          </w:p>
          <w:p>
            <w:pPr>
              <w:pStyle w:val="TableContents"/>
              <w:spacing w:before="0" w:after="0"/>
              <w:jc w:val="center"/>
              <w:rPr>
                <w:rFonts w:ascii="Times New Roman" w:hAnsi="Times New Roman"/>
                <w:b/>
                <w:sz w:val="17"/>
              </w:rPr>
            </w:pPr>
            <w:r>
              <w:rPr>
                <w:rFonts w:ascii="Times New Roman" w:hAnsi="Times New Roman"/>
                <w:b/>
                <w:sz w:val="17"/>
              </w:rPr>
              <w:t>900 S. Capital of Texas Highway</w:t>
            </w:r>
          </w:p>
          <w:p>
            <w:pPr>
              <w:pStyle w:val="TableContents"/>
              <w:spacing w:before="0" w:after="0"/>
              <w:jc w:val="center"/>
              <w:rPr>
                <w:rFonts w:ascii="Times New Roman" w:hAnsi="Times New Roman"/>
                <w:b/>
                <w:sz w:val="17"/>
              </w:rPr>
            </w:pPr>
            <w:r>
              <w:rPr>
                <w:rFonts w:ascii="Times New Roman" w:hAnsi="Times New Roman"/>
                <w:b/>
                <w:sz w:val="17"/>
              </w:rPr>
              <w:t>Las Cimas IV, 5th Floor</w:t>
            </w:r>
          </w:p>
          <w:p>
            <w:pPr>
              <w:pStyle w:val="TableContents"/>
              <w:spacing w:before="0" w:after="0"/>
              <w:jc w:val="center"/>
              <w:rPr>
                <w:rFonts w:ascii="Times New Roman" w:hAnsi="Times New Roman"/>
                <w:b/>
                <w:sz w:val="17"/>
              </w:rPr>
            </w:pPr>
            <w:r>
              <w:rPr>
                <w:rFonts w:ascii="Times New Roman" w:hAnsi="Times New Roman"/>
                <w:b/>
                <w:sz w:val="17"/>
              </w:rPr>
              <w:t>Austin, TX 78746</w:t>
            </w:r>
          </w:p>
          <w:p>
            <w:pPr>
              <w:pStyle w:val="TableContents"/>
              <w:spacing w:before="0" w:after="20"/>
              <w:jc w:val="center"/>
              <w:rPr>
                <w:rFonts w:ascii="Times New Roman" w:hAnsi="Times New Roman"/>
                <w:b/>
                <w:sz w:val="17"/>
              </w:rPr>
            </w:pPr>
            <w:r>
              <w:rPr>
                <w:rFonts w:ascii="Times New Roman" w:hAnsi="Times New Roman"/>
                <w:b/>
                <w:sz w:val="17"/>
              </w:rPr>
              <w:t>(512) 338-5400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Marc DAnnunzio</w:t>
            </w:r>
          </w:p>
          <w:p>
            <w:pPr>
              <w:pStyle w:val="TableContents"/>
              <w:spacing w:before="0" w:after="0"/>
              <w:jc w:val="center"/>
              <w:rPr>
                <w:rFonts w:ascii="Times New Roman" w:hAnsi="Times New Roman"/>
                <w:b/>
                <w:sz w:val="17"/>
              </w:rPr>
            </w:pPr>
            <w:r>
              <w:rPr>
                <w:rFonts w:ascii="Times New Roman" w:hAnsi="Times New Roman"/>
                <w:b/>
                <w:sz w:val="17"/>
              </w:rPr>
              <w:t>General Counsel</w:t>
            </w:r>
          </w:p>
          <w:p>
            <w:pPr>
              <w:pStyle w:val="TableContents"/>
              <w:spacing w:before="0" w:after="0"/>
              <w:jc w:val="center"/>
              <w:rPr>
                <w:rFonts w:ascii="Times New Roman" w:hAnsi="Times New Roman"/>
                <w:b/>
                <w:sz w:val="17"/>
              </w:rPr>
            </w:pPr>
            <w:r>
              <w:rPr>
                <w:rFonts w:ascii="Times New Roman" w:hAnsi="Times New Roman"/>
                <w:b/>
                <w:sz w:val="17"/>
              </w:rPr>
              <w:t>10000 Avalon Boulevard, Suite 1000</w:t>
            </w:r>
          </w:p>
          <w:p>
            <w:pPr>
              <w:pStyle w:val="TableContents"/>
              <w:spacing w:before="0" w:after="0"/>
              <w:jc w:val="center"/>
              <w:rPr>
                <w:rFonts w:ascii="Times New Roman" w:hAnsi="Times New Roman"/>
                <w:b/>
                <w:sz w:val="17"/>
              </w:rPr>
            </w:pPr>
            <w:r>
              <w:rPr>
                <w:rFonts w:ascii="Times New Roman" w:hAnsi="Times New Roman"/>
                <w:b/>
                <w:sz w:val="17"/>
              </w:rPr>
              <w:t>Alpharetta, Georgia 30009</w:t>
            </w:r>
          </w:p>
          <w:p>
            <w:pPr>
              <w:pStyle w:val="TableContents"/>
              <w:spacing w:before="0" w:after="20"/>
              <w:jc w:val="center"/>
              <w:rPr>
                <w:rFonts w:ascii="Times New Roman" w:hAnsi="Times New Roman"/>
                <w:b/>
                <w:sz w:val="17"/>
              </w:rPr>
            </w:pPr>
            <w:r>
              <w:rPr>
                <w:rFonts w:ascii="Times New Roman" w:hAnsi="Times New Roman"/>
                <w:b/>
                <w:sz w:val="17"/>
              </w:rPr>
              <w:t>(678) 534-5849</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7"/>
        </w:rPr>
      </w:pPr>
      <w:r>
        <w:rPr>
          <w:rFonts w:ascii="Times New Roman" w:hAnsi="Times New Roman"/>
          <w:b/>
          <w:sz w:val="17"/>
        </w:rPr>
        <w:t xml:space="preserve">From time to time after the effective date of this registration statement. </w:t>
      </w:r>
    </w:p>
    <w:p>
      <w:pPr>
        <w:pStyle w:val="TextBody"/>
        <w:spacing w:before="0" w:after="0"/>
        <w:jc w:val="center"/>
        <w:rPr>
          <w:rFonts w:ascii="Times New Roman" w:hAnsi="Times New Roman"/>
          <w:sz w:val="17"/>
        </w:rPr>
      </w:pPr>
      <w:r>
        <w:rPr>
          <w:rFonts w:ascii="Times New Roman" w:hAnsi="Times New Roman"/>
          <w:sz w:val="17"/>
        </w:rPr>
        <w:t xml:space="preserve">(Approximate date of commencement of proposed sale to the public)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479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2132" w:type="dxa"/>
            <w:tcBorders/>
            <w:shd w:fill="auto" w:val="clear"/>
            <w:vAlign w:val="bottom"/>
          </w:tcPr>
          <w:p>
            <w:pPr>
              <w:pStyle w:val="TableContents"/>
              <w:spacing w:before="0" w:after="283"/>
              <w:rPr/>
            </w:pPr>
            <w:r>
              <w:rPr/>
              <w:t>Large accelerated filer</w:t>
            </w:r>
          </w:p>
        </w:tc>
        <w:tc>
          <w:tcPr>
            <w:tcW w:w="104"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pPr>
            <w:r>
              <w:rPr/>
              <w:t>☐</w:t>
            </w:r>
          </w:p>
        </w:tc>
        <w:tc>
          <w:tcPr>
            <w:tcW w:w="132" w:type="dxa"/>
            <w:tcBorders/>
            <w:shd w:fill="auto" w:val="clear"/>
            <w:vAlign w:val="bottom"/>
          </w:tcPr>
          <w:p>
            <w:pPr>
              <w:pStyle w:val="TableContents"/>
              <w:spacing w:before="0" w:after="283"/>
              <w:rPr/>
            </w:pPr>
            <w:r>
              <w:rPr/>
              <w:t>  </w:t>
            </w:r>
          </w:p>
        </w:tc>
        <w:tc>
          <w:tcPr>
            <w:tcW w:w="2669" w:type="dxa"/>
            <w:tcBorders/>
            <w:shd w:fill="auto" w:val="clear"/>
            <w:vAlign w:val="bottom"/>
          </w:tcPr>
          <w:p>
            <w:pPr>
              <w:pStyle w:val="TableContents"/>
              <w:spacing w:before="0" w:after="283"/>
              <w:rPr/>
            </w:pPr>
            <w:r>
              <w:rPr/>
              <w:t>Accelerated filer</w:t>
            </w:r>
          </w:p>
        </w:tc>
        <w:tc>
          <w:tcPr>
            <w:tcW w:w="104"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w:t>
            </w:r>
          </w:p>
        </w:tc>
      </w:tr>
      <w:tr>
        <w:trPr>
          <w:trHeight w:val="30" w:hRule="atLeast"/>
        </w:trPr>
        <w:tc>
          <w:tcPr>
            <w:tcW w:w="2132" w:type="dxa"/>
            <w:tcBorders/>
            <w:shd w:fill="auto" w:val="clear"/>
            <w:vAlign w:val="center"/>
          </w:tcPr>
          <w:p>
            <w:pPr>
              <w:pStyle w:val="TableContents"/>
              <w:spacing w:before="0" w:after="283"/>
              <w:rPr>
                <w:sz w:val="4"/>
                <w:szCs w:val="4"/>
              </w:rPr>
            </w:pPr>
            <w:r>
              <w:rPr>
                <w:sz w:val="4"/>
                <w:szCs w:val="4"/>
              </w:rPr>
            </w:r>
          </w:p>
        </w:tc>
        <w:tc>
          <w:tcPr>
            <w:tcW w:w="4903" w:type="dxa"/>
            <w:gridSpan w:val="2"/>
            <w:tcBorders/>
            <w:shd w:fill="auto" w:val="clear"/>
            <w:vAlign w:val="center"/>
          </w:tcPr>
          <w:p>
            <w:pPr>
              <w:pStyle w:val="TableContents"/>
              <w:spacing w:before="0" w:after="283"/>
              <w:rPr>
                <w:sz w:val="4"/>
                <w:szCs w:val="4"/>
              </w:rPr>
            </w:pPr>
            <w:r>
              <w:rPr>
                <w:sz w:val="4"/>
                <w:szCs w:val="4"/>
              </w:rPr>
            </w:r>
          </w:p>
        </w:tc>
        <w:tc>
          <w:tcPr>
            <w:tcW w:w="2801" w:type="dxa"/>
            <w:gridSpan w:val="2"/>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r>
      <w:tr>
        <w:trPr/>
        <w:tc>
          <w:tcPr>
            <w:tcW w:w="2132" w:type="dxa"/>
            <w:tcBorders/>
            <w:shd w:fill="auto" w:val="clear"/>
            <w:vAlign w:val="bottom"/>
          </w:tcPr>
          <w:p>
            <w:pPr>
              <w:pStyle w:val="TableContents"/>
              <w:spacing w:before="0" w:after="283"/>
              <w:rPr/>
            </w:pPr>
            <w:r>
              <w:rPr/>
              <w:t>Non-accelerated filer</w:t>
            </w:r>
          </w:p>
        </w:tc>
        <w:tc>
          <w:tcPr>
            <w:tcW w:w="104"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pPr>
            <w:r>
              <w:rPr/>
              <w:t>☒</w:t>
            </w:r>
          </w:p>
        </w:tc>
        <w:tc>
          <w:tcPr>
            <w:tcW w:w="132" w:type="dxa"/>
            <w:tcBorders/>
            <w:shd w:fill="auto" w:val="clear"/>
            <w:vAlign w:val="bottom"/>
          </w:tcPr>
          <w:p>
            <w:pPr>
              <w:pStyle w:val="TableContents"/>
              <w:spacing w:before="0" w:after="283"/>
              <w:rPr/>
            </w:pPr>
            <w:r>
              <w:rPr/>
              <w:t>  </w:t>
            </w:r>
          </w:p>
        </w:tc>
        <w:tc>
          <w:tcPr>
            <w:tcW w:w="2669" w:type="dxa"/>
            <w:tcBorders/>
            <w:shd w:fill="auto" w:val="clear"/>
            <w:vAlign w:val="bottom"/>
          </w:tcPr>
          <w:p>
            <w:pPr>
              <w:pStyle w:val="TableContents"/>
              <w:spacing w:before="0" w:after="283"/>
              <w:rPr/>
            </w:pPr>
            <w:r>
              <w:rPr/>
              <w:t>Smaller reporting company</w:t>
            </w:r>
          </w:p>
        </w:tc>
        <w:tc>
          <w:tcPr>
            <w:tcW w:w="104"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w:t>
            </w:r>
          </w:p>
        </w:tc>
      </w:tr>
      <w:tr>
        <w:trPr>
          <w:trHeight w:val="30" w:hRule="atLeast"/>
        </w:trPr>
        <w:tc>
          <w:tcPr>
            <w:tcW w:w="2132" w:type="dxa"/>
            <w:tcBorders/>
            <w:shd w:fill="auto" w:val="clear"/>
            <w:vAlign w:val="center"/>
          </w:tcPr>
          <w:p>
            <w:pPr>
              <w:pStyle w:val="TableContents"/>
              <w:spacing w:before="0" w:after="283"/>
              <w:rPr>
                <w:sz w:val="4"/>
                <w:szCs w:val="4"/>
              </w:rPr>
            </w:pPr>
            <w:r>
              <w:rPr>
                <w:sz w:val="4"/>
                <w:szCs w:val="4"/>
              </w:rPr>
            </w:r>
          </w:p>
        </w:tc>
        <w:tc>
          <w:tcPr>
            <w:tcW w:w="4903" w:type="dxa"/>
            <w:gridSpan w:val="2"/>
            <w:tcBorders/>
            <w:shd w:fill="auto" w:val="clear"/>
            <w:vAlign w:val="center"/>
          </w:tcPr>
          <w:p>
            <w:pPr>
              <w:pStyle w:val="TableContents"/>
              <w:spacing w:before="0" w:after="283"/>
              <w:rPr>
                <w:sz w:val="4"/>
                <w:szCs w:val="4"/>
              </w:rPr>
            </w:pPr>
            <w:r>
              <w:rPr>
                <w:sz w:val="4"/>
                <w:szCs w:val="4"/>
              </w:rPr>
            </w:r>
          </w:p>
        </w:tc>
        <w:tc>
          <w:tcPr>
            <w:tcW w:w="2801" w:type="dxa"/>
            <w:gridSpan w:val="2"/>
            <w:tcBorders/>
            <w:shd w:fill="auto" w:val="clear"/>
            <w:vAlign w:val="center"/>
          </w:tcPr>
          <w:p>
            <w:pPr>
              <w:pStyle w:val="TableContents"/>
              <w:spacing w:before="0" w:after="283"/>
              <w:rPr>
                <w:sz w:val="4"/>
                <w:szCs w:val="4"/>
              </w:rPr>
            </w:pPr>
            <w:r>
              <w:rPr>
                <w:sz w:val="4"/>
                <w:szCs w:val="4"/>
              </w:rPr>
            </w:r>
          </w:p>
        </w:tc>
        <w:tc>
          <w:tcPr>
            <w:tcW w:w="369" w:type="dxa"/>
            <w:gridSpan w:val="2"/>
            <w:tcBorders/>
            <w:shd w:fill="auto" w:val="clear"/>
            <w:vAlign w:val="center"/>
          </w:tcPr>
          <w:p>
            <w:pPr>
              <w:pStyle w:val="TableContents"/>
              <w:spacing w:before="0" w:after="283"/>
              <w:rPr>
                <w:sz w:val="4"/>
                <w:szCs w:val="4"/>
              </w:rPr>
            </w:pPr>
            <w:r>
              <w:rPr>
                <w:sz w:val="4"/>
                <w:szCs w:val="4"/>
              </w:rPr>
            </w:r>
          </w:p>
        </w:tc>
      </w:tr>
      <w:tr>
        <w:trPr/>
        <w:tc>
          <w:tcPr>
            <w:tcW w:w="2132"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799"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2669" w:type="dxa"/>
            <w:tcBorders/>
            <w:shd w:fill="auto" w:val="clear"/>
            <w:vAlign w:val="bottom"/>
          </w:tcPr>
          <w:p>
            <w:pPr>
              <w:pStyle w:val="TableContents"/>
              <w:spacing w:before="0" w:after="283"/>
              <w:rPr/>
            </w:pPr>
            <w:r>
              <w:rPr/>
              <w:t>Emerging growth company</w:t>
            </w:r>
          </w:p>
        </w:tc>
        <w:tc>
          <w:tcPr>
            <w:tcW w:w="104"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w:t>
            </w:r>
          </w:p>
        </w:tc>
      </w:tr>
    </w:tbl>
    <w:p>
      <w:pPr>
        <w:pStyle w:val="TextBody"/>
        <w:spacing w:before="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20, 2023 </w:t>
      </w:r>
    </w:p>
    <w:p>
      <w:pPr>
        <w:pStyle w:val="TextBody"/>
        <w:spacing w:before="12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center"/>
        <w:rPr/>
      </w:pPr>
      <w:r>
        <w:rPr/>
        <w:drawing>
          <wp:inline distT="0" distB="0" distL="0" distR="0">
            <wp:extent cx="100330"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330" cy="381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spacing w:before="240" w:after="0"/>
        <w:jc w:val="center"/>
        <w:rPr>
          <w:rFonts w:ascii="Times New Roman" w:hAnsi="Times New Roman"/>
          <w:b/>
          <w:sz w:val="28"/>
        </w:rPr>
      </w:pPr>
      <w:r>
        <w:rPr>
          <w:rFonts w:ascii="Times New Roman" w:hAnsi="Times New Roman"/>
          <w:b/>
          <w:sz w:val="28"/>
        </w:rPr>
        <w:t xml:space="preserve">7,140,808 SHARES OF CLASS A 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by us of up to 7,140,808 shares of Class A common stock, par value $0.0001 per share (Class A Common Stock), of Bakkt Holdings, Inc. (we, us, our, the Company or Bakkt) issuable upon the exercise of an aggregate of 7,140,808 warrants (the Warrants), each of which is exercisable at a price of $11.50 per share, issued as part of units in our initial public offering. </w:t>
      </w:r>
    </w:p>
    <w:p>
      <w:pPr>
        <w:pStyle w:val="TextBody"/>
        <w:spacing w:before="240" w:after="0"/>
        <w:jc w:val="left"/>
        <w:rPr>
          <w:rFonts w:ascii="Times New Roman" w:hAnsi="Times New Roman"/>
          <w:sz w:val="20"/>
        </w:rPr>
      </w:pPr>
      <w:r>
        <w:rPr>
          <w:rFonts w:ascii="Times New Roman" w:hAnsi="Times New Roman"/>
          <w:sz w:val="20"/>
        </w:rPr>
        <w:t xml:space="preserve">We will receive proceeds from the exercise of the Warrants if the Warrants are exercised for cash. However, the exercise price of the Warrants is $11.50 per share, which exceeds $1.53, the closing price of our Class A Common Stock on the New York Stock Exchange (the NYSE) on April 14, 2023. The likelihood that warrant holders will exercise the Associated Warrants and any cash proceeds that we would receive is dependent upon the market price of our Class A Common Stock. If the market price for our Class A Common Stock is less than $11.50 per share, we believe warrant holders will be unlikely to exercise their Warrants. For more information, see the section titled Use of Proceeds appearing elsewhere in this prospectus. </w:t>
      </w:r>
    </w:p>
    <w:p>
      <w:pPr>
        <w:pStyle w:val="TextBody"/>
        <w:spacing w:before="240" w:after="0"/>
        <w:jc w:val="left"/>
        <w:rPr>
          <w:rFonts w:ascii="Times New Roman" w:hAnsi="Times New Roman"/>
          <w:sz w:val="20"/>
        </w:rPr>
      </w:pPr>
      <w:r>
        <w:rPr>
          <w:rFonts w:ascii="Times New Roman" w:hAnsi="Times New Roman"/>
          <w:sz w:val="20"/>
        </w:rPr>
        <w:t xml:space="preserve">Our Class A Common Stock and our public warrants to purchase Class A Common Stock are listed on NYSE under the symbols BKKT and BKKT WS, respectively. On April 19, 2023, the last reported sale price for our Class A Common Stock was $1.37 per share. </w:t>
      </w:r>
    </w:p>
    <w:p>
      <w:pPr>
        <w:pStyle w:val="TextBody"/>
        <w:spacing w:before="240" w:after="0"/>
        <w:jc w:val="left"/>
        <w:rPr>
          <w:rFonts w:ascii="Times New Roman" w:hAnsi="Times New Roman"/>
          <w:sz w:val="20"/>
        </w:rPr>
      </w:pPr>
      <w:r>
        <w:rPr>
          <w:rFonts w:ascii="Times New Roman" w:hAnsi="Times New Roman"/>
          <w:sz w:val="20"/>
        </w:rPr>
        <w:t xml:space="preserve">We are an emerging growth company as defined under the federal securities laws, and, as such, may elect to comply with certain reduced public company reporting requirements for this and future filings.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these securities involves risks. Please carefully read the information under the headings </w:t>
      </w:r>
      <w:hyperlink w:anchor="tx474714_4">
        <w:r>
          <w:rPr>
            <w:rStyle w:val="InternetLink"/>
            <w:rFonts w:ascii="Times New Roman" w:hAnsi="Times New Roman"/>
            <w:b/>
            <w:i/>
            <w:sz w:val="24"/>
          </w:rPr>
          <w:t>Risk Factors</w:t>
        </w:r>
      </w:hyperlink>
      <w:r>
        <w:rPr>
          <w:rFonts w:ascii="Times New Roman" w:hAnsi="Times New Roman"/>
          <w:b/>
          <w:sz w:val="24"/>
        </w:rPr>
        <w:t> beginning on page 3 of this prospectus and </w:t>
      </w:r>
      <w:r>
        <w:rPr>
          <w:rFonts w:ascii="Times New Roman" w:hAnsi="Times New Roman"/>
          <w:b/>
          <w:i/>
          <w:sz w:val="24"/>
        </w:rPr>
        <w:t>Item 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4"/>
        <w:gridCol w:w="352"/>
        <w:gridCol w:w="96"/>
        <w:gridCol w:w="420"/>
        <w:gridCol w:w="63"/>
      </w:tblGrid>
      <w:tr>
        <w:trPr/>
        <w:tc>
          <w:tcPr>
            <w:tcW w:w="92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1">
              <w:r>
                <w:rPr>
                  <w:rStyle w:val="InternetLink"/>
                  <w:rFonts w:ascii="Times New Roman" w:hAnsi="Times New Roman"/>
                  <w:sz w:val="20"/>
                </w:rPr>
                <w:t>About this Prospectus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i</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2">
              <w:r>
                <w:rPr>
                  <w:rStyle w:val="InternetLink"/>
                  <w:rFonts w:ascii="Times New Roman" w:hAnsi="Times New Roman"/>
                  <w:sz w:val="20"/>
                </w:rPr>
                <w:t>Prospectus Summary</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3">
              <w:r>
                <w:rPr>
                  <w:rStyle w:val="InternetLink"/>
                  <w:rFonts w:ascii="Times New Roman" w:hAnsi="Times New Roman"/>
                  <w:sz w:val="20"/>
                </w:rPr>
                <w:t>The Offering</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4">
              <w:r>
                <w:rPr>
                  <w:rStyle w:val="InternetLink"/>
                  <w:rFonts w:ascii="Times New Roman" w:hAnsi="Times New Roman"/>
                  <w:sz w:val="20"/>
                </w:rPr>
                <w:t>Risk Factors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5">
              <w:r>
                <w:rPr>
                  <w:rStyle w:val="InternetLink"/>
                  <w:rFonts w:ascii="Times New Roman" w:hAnsi="Times New Roman"/>
                  <w:sz w:val="20"/>
                </w:rPr>
                <w:t>Forward-Looking Statements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6">
              <w:r>
                <w:rPr>
                  <w:rStyle w:val="InternetLink"/>
                  <w:rFonts w:ascii="Times New Roman" w:hAnsi="Times New Roman"/>
                  <w:sz w:val="20"/>
                </w:rPr>
                <w:t>Use of Proceeds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7">
              <w:r>
                <w:rPr>
                  <w:rStyle w:val="InternetLink"/>
                  <w:rFonts w:ascii="Times New Roman" w:hAnsi="Times New Roman"/>
                  <w:sz w:val="20"/>
                </w:rPr>
                <w:t>Description of Capital Stock</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8">
              <w:r>
                <w:rPr>
                  <w:rStyle w:val="InternetLink"/>
                  <w:rFonts w:ascii="Times New Roman" w:hAnsi="Times New Roman"/>
                  <w:sz w:val="20"/>
                </w:rPr>
                <w:t>Plan of Distribution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9">
              <w:r>
                <w:rPr>
                  <w:rStyle w:val="InternetLink"/>
                  <w:rFonts w:ascii="Times New Roman" w:hAnsi="Times New Roman"/>
                  <w:sz w:val="20"/>
                </w:rPr>
                <w:t>Legal Matters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10">
              <w:r>
                <w:rPr>
                  <w:rStyle w:val="InternetLink"/>
                  <w:rFonts w:ascii="Times New Roman" w:hAnsi="Times New Roman"/>
                  <w:sz w:val="20"/>
                </w:rPr>
                <w:t>Experts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11">
              <w:r>
                <w:rPr>
                  <w:rStyle w:val="InternetLink"/>
                  <w:rFonts w:ascii="Times New Roman" w:hAnsi="Times New Roman"/>
                  <w:sz w:val="20"/>
                </w:rPr>
                <w:t>Where You Can Find More Information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74714_12">
              <w:r>
                <w:rPr>
                  <w:rStyle w:val="InternetLink"/>
                  <w:rFonts w:ascii="Times New Roman" w:hAnsi="Times New Roman"/>
                  <w:sz w:val="20"/>
                </w:rPr>
                <w:t>Incorporation by Reference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bookmarkStart w:id="3" w:name="tx474714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This prospectus relates to the issuance by us of shares of Class A Common Stock issuable upon the exercise of the Warrants.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or incorporated by reference, in this prospectus, any applicable prospectus supplement or in any related free writing prospectus. We do not take any responsibility for, 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hAnsi="Times New Roman"/>
          <w:i/>
          <w:sz w:val="20"/>
        </w:rPr>
        <w:t>Where You Can Find Additional Information</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tx474714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interfaces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Connect</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Payouts</w:t>
            </w:r>
            <w:r>
              <w:rPr>
                <w:rFonts w:ascii="Times New Roman" w:hAnsi="Times New Roman"/>
                <w:sz w:val="20"/>
              </w:rPr>
              <w:t xml:space="preserve">. We are in the process of enabling consumers to automatically invest a portion of payments into crypto. Crypto payouts allow for new cases (for instance, for gig economy or marketplace participants such as freelancers, content providers, and delivery workers to receive their wages in crypto).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tx474714_3"/>
      <w:bookmarkEnd w:id="5"/>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Shares of Class A Common Stock outstanding prior to the exercise of the Warrants </w:t>
            </w:r>
          </w:p>
        </w:tc>
        <w:tc>
          <w:tcPr>
            <w:tcW w:w="6327" w:type="dxa"/>
            <w:tcBorders/>
            <w:shd w:fill="auto" w:val="clear"/>
          </w:tcPr>
          <w:p>
            <w:pPr>
              <w:pStyle w:val="TableContents"/>
              <w:spacing w:before="0" w:after="283"/>
              <w:rPr/>
            </w:pPr>
            <w:r>
              <w:rPr/>
              <w:t xml:space="preserve">82,624,773 shares of Class A Common Stock as of April 14, 2023.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Shares of our Class A Common Stock that may be issued upon exercise of the Warrants </w:t>
            </w:r>
          </w:p>
        </w:tc>
        <w:tc>
          <w:tcPr>
            <w:tcW w:w="6327" w:type="dxa"/>
            <w:tcBorders/>
            <w:shd w:fill="auto" w:val="clear"/>
          </w:tcPr>
          <w:p>
            <w:pPr>
              <w:pStyle w:val="TableContents"/>
              <w:spacing w:before="0" w:after="283"/>
              <w:rPr/>
            </w:pPr>
            <w:r>
              <w:rPr/>
              <w:t xml:space="preserve">7,140,808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Shares of our Class A Common Stock outstanding after the exercise of the Warrants </w:t>
            </w:r>
          </w:p>
        </w:tc>
        <w:tc>
          <w:tcPr>
            <w:tcW w:w="6327" w:type="dxa"/>
            <w:tcBorders/>
            <w:shd w:fill="auto" w:val="clear"/>
          </w:tcPr>
          <w:p>
            <w:pPr>
              <w:pStyle w:val="TableContents"/>
              <w:spacing w:before="0" w:after="283"/>
              <w:rPr/>
            </w:pPr>
            <w:r>
              <w:rPr/>
              <w:t xml:space="preserve">89,765,581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Use of Proceeds </w:t>
            </w:r>
          </w:p>
        </w:tc>
        <w:tc>
          <w:tcPr>
            <w:tcW w:w="6328" w:type="dxa"/>
            <w:tcBorders/>
            <w:shd w:fill="auto" w:val="clear"/>
          </w:tcPr>
          <w:p>
            <w:pPr>
              <w:pStyle w:val="TableContents"/>
              <w:spacing w:before="0" w:after="283"/>
              <w:rPr/>
            </w:pPr>
            <w:r>
              <w:rPr/>
              <w:t>We will receive up to an aggregate of approximately $82.1 million, assuming the exercise in full of all of the Warrants for cash. However, the exercise price of the Warrants is $11.50 per share, which exceeds $1.53, the closing price of our Class A common stock on the NYSE on April 14, 2023.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Warrants. We expect to use any net proceeds from the exercise of the Warrants for general corporate purposes. See the section titled </w:t>
            </w:r>
            <w:r>
              <w:rPr>
                <w:i/>
              </w:rPr>
              <w:t>Use of Proceeds</w:t>
            </w:r>
            <w:r>
              <w:rPr/>
              <w:t xml:space="preserve">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Risk Factors </w:t>
            </w:r>
          </w:p>
        </w:tc>
        <w:tc>
          <w:tcPr>
            <w:tcW w:w="6328" w:type="dxa"/>
            <w:tcBorders/>
            <w:shd w:fill="auto" w:val="clear"/>
          </w:tcPr>
          <w:p>
            <w:pPr>
              <w:pStyle w:val="TableContents"/>
              <w:spacing w:before="0" w:after="283"/>
              <w:rPr/>
            </w:pPr>
            <w:r>
              <w:rPr/>
              <w:t>See </w:t>
            </w:r>
            <w:r>
              <w:rPr>
                <w:i/>
              </w:rPr>
              <w:t>Risk Factors</w:t>
            </w:r>
            <w:r>
              <w:rPr/>
              <w:t xml:space="preserve"> and other information included or incorporated by reference in this prospectus for a discussion of factors that you should consider carefully before deciding to invest in our Class 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NYSE Symbol </w:t>
            </w:r>
          </w:p>
        </w:tc>
        <w:tc>
          <w:tcPr>
            <w:tcW w:w="6327" w:type="dxa"/>
            <w:tcBorders/>
            <w:shd w:fill="auto" w:val="clear"/>
          </w:tcPr>
          <w:p>
            <w:pPr>
              <w:pStyle w:val="TableContents"/>
              <w:spacing w:before="0" w:after="283"/>
              <w:rPr/>
            </w:pPr>
            <w:r>
              <w:rPr/>
              <w:t xml:space="preserve">BKKT for our Class A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474714_4"/>
      <w:bookmarkEnd w:id="6"/>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Investing in our securities involves a high degree of risk. Before making an investment decision, you should consider carefully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in our Quarterly Reports on Form 10-Q filed subsequently to such Form 10-K that are incorporated herein by reference, as may be 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hAnsi="Times New Roman"/>
          <w:i/>
          <w:sz w:val="20"/>
        </w:rPr>
        <w:t xml:space="preserve">. </w:t>
      </w:r>
      <w:r>
        <w:rPr>
          <w:rFonts w:ascii="Times New Roman" w:hAnsi="Times New Roman"/>
          <w:sz w:val="20"/>
        </w:rPr>
        <w:t>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474714_5"/>
      <w:bookmarkEnd w:id="7"/>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our acquisition of Apex Crypto, LLC (Apex Crypto);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integrate the Apex Crypto business and employees, and to achieve the expected benefits from the acquisition;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 regulatory regime governing blockchain technologies and crypto;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474714_6"/>
      <w:bookmarkEnd w:id="8"/>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may receive up to approximately $82.1 million, assuming the exercise in full of all of the Warrants for cash. However, the exercise price of the Warrants is $11.50 per share, which exceeds $1.53, the closing price of our Class A Common Stock on the NYSE on April 14, 2023.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Associated Warrants. We expect to use any net proceeds from the exercise of the Warrants for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We will not pay any brokers or underwriters discounts and commissions in connection with the registration and sale of the Class A Common Stock covered by this prospectus. We will bear all other costs, fees and expenses incurred in effecting the registration of such securities covered by this prospectus, including, without limitation, all registration and filing fees, NYSE listing fees, and fees of our counsel and our independent registered public accountants.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474714_7"/>
      <w:bookmarkEnd w:id="9"/>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4.7 to our Annual Report on Form 10-K for the fiscal year ended December 31, 2022, filed with the SEC on March 24,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474714_8"/>
      <w:bookmarkEnd w:id="10"/>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by us of up to 7,140,808 shares of Class A Common Stock issuable upon the exercise of an aggregate of 7,140,808 Warrants, each of which is exercisable at a price of $11.50 per share. </w:t>
      </w:r>
    </w:p>
    <w:p>
      <w:pPr>
        <w:pStyle w:val="TextBody"/>
        <w:spacing w:before="240" w:after="0"/>
        <w:jc w:val="left"/>
        <w:rPr>
          <w:rFonts w:ascii="Times New Roman" w:hAnsi="Times New Roman"/>
          <w:sz w:val="20"/>
        </w:rPr>
      </w:pPr>
      <w:r>
        <w:rPr>
          <w:rFonts w:ascii="Times New Roman" w:hAnsi="Times New Roman"/>
          <w:sz w:val="20"/>
        </w:rPr>
        <w:t xml:space="preserve">We will receive up to an aggregate of approximately $82.1 million assuming the exercise in full of all of the Warrants for cash. The likelihood that warrant holders will exercise the Warrants and any cash proceeds that we would receive is dependent upon the market price of our Class A Common Stock. If the market price for our Class A Common Stock is less than $11.50 per share, we believe warrant holders will be unlikely to exercise their Warrants. We will not pay any brokers or underwriters discounts and commissions in connection with the registration and sale of the Class A Common Stock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We intend to keep the registration statement of which this prospectus forms a part effective until the earlier of the issuance of all shares of Class A Common Stock pursuant to this prospectus and the expiration of the Warrants. </w:t>
      </w:r>
    </w:p>
    <w:p>
      <w:pPr>
        <w:pStyle w:val="TextBody"/>
        <w:spacing w:before="240" w:after="0"/>
        <w:jc w:val="left"/>
        <w:rPr>
          <w:rFonts w:ascii="Times New Roman" w:hAnsi="Times New Roman"/>
          <w:sz w:val="20"/>
        </w:rPr>
      </w:pPr>
      <w:r>
        <w:rPr>
          <w:rFonts w:ascii="Times New Roman" w:hAnsi="Times New Roman"/>
          <w:sz w:val="20"/>
        </w:rPr>
        <w:t xml:space="preserve">We will bear all costs, fees and expenses incurred in effecting the registration of such securities covered by this prospectus, including, without limitation, all registration and filing fees, NYSE listing fees, and fees of our counsel and our independent registered public accountants. </w:t>
      </w:r>
    </w:p>
    <w:p>
      <w:pPr>
        <w:pStyle w:val="TextBody"/>
        <w:spacing w:before="240" w:after="0"/>
        <w:jc w:val="left"/>
        <w:rPr>
          <w:rFonts w:ascii="Times New Roman" w:hAnsi="Times New Roman"/>
          <w:sz w:val="20"/>
        </w:rPr>
      </w:pPr>
      <w:r>
        <w:rPr>
          <w:rFonts w:ascii="Times New Roman" w:hAnsi="Times New Roman"/>
          <w:sz w:val="20"/>
        </w:rPr>
        <w:t xml:space="preserve">Our Class A Common Stock is currently listed on the NYSE under the symbols BKKT.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474714_9"/>
      <w:bookmarkEnd w:id="1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w:t>
      </w:r>
    </w:p>
    <w:p>
      <w:pPr>
        <w:pStyle w:val="TextBody"/>
        <w:spacing w:before="480" w:after="0"/>
        <w:jc w:val="center"/>
        <w:rPr>
          <w:rFonts w:ascii="Times New Roman" w:hAnsi="Times New Roman"/>
          <w:b/>
          <w:sz w:val="20"/>
        </w:rPr>
      </w:pPr>
      <w:bookmarkStart w:id="12" w:name="tx474714_10"/>
      <w:bookmarkEnd w:id="1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spacing w:before="480" w:after="0"/>
        <w:jc w:val="center"/>
        <w:rPr>
          <w:rFonts w:ascii="Times New Roman" w:hAnsi="Times New Roman"/>
          <w:b/>
          <w:sz w:val="20"/>
        </w:rPr>
      </w:pPr>
      <w:bookmarkStart w:id="13" w:name="tx474714_11"/>
      <w:bookmarkEnd w:id="13"/>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474714_12"/>
      <w:bookmarkEnd w:id="14"/>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November  3, 2022</w:t>
              </w:r>
            </w:hyperlink>
            <w:r>
              <w:rPr>
                <w:rFonts w:ascii="Times New Roman" w:hAnsi="Times New Roman"/>
                <w:sz w:val="20"/>
              </w:rPr>
              <w:t xml:space="preserve">, </w:t>
            </w:r>
            <w:hyperlink r:id="rId5">
              <w:r>
                <w:rPr>
                  <w:rStyle w:val="InternetLink"/>
                  <w:rFonts w:ascii="Times New Roman" w:hAnsi="Times New Roman"/>
                  <w:sz w:val="20"/>
                </w:rPr>
                <w:t>March  9, 2023</w:t>
              </w:r>
            </w:hyperlink>
            <w:r>
              <w:rPr>
                <w:rFonts w:ascii="Times New Roman" w:hAnsi="Times New Roman"/>
                <w:sz w:val="20"/>
              </w:rPr>
              <w:t xml:space="preserve">, </w:t>
            </w:r>
            <w:hyperlink r:id="rId6">
              <w:r>
                <w:rPr>
                  <w:rStyle w:val="InternetLink"/>
                  <w:rFonts w:ascii="Times New Roman" w:hAnsi="Times New Roman"/>
                  <w:sz w:val="20"/>
                </w:rPr>
                <w:t>April  3, 2023</w:t>
              </w:r>
            </w:hyperlink>
            <w:r>
              <w:rPr>
                <w:rFonts w:ascii="Times New Roman" w:hAnsi="Times New Roman"/>
                <w:sz w:val="20"/>
              </w:rPr>
              <w:t xml:space="preserve"> and </w:t>
            </w:r>
            <w:hyperlink r:id="rId7">
              <w:r>
                <w:rPr>
                  <w:rStyle w:val="InternetLink"/>
                  <w:rFonts w:ascii="Times New Roman" w:hAnsi="Times New Roman"/>
                  <w:sz w:val="20"/>
                </w:rPr>
                <w:t>April 19, 2023</w:t>
              </w:r>
            </w:hyperlink>
            <w:r>
              <w:rPr>
                <w:rFonts w:ascii="Times New Roman" w:hAnsi="Times New Roman"/>
                <w:sz w:val="20"/>
              </w:rPr>
              <w:t xml:space="preserve"> and on Form 8-K/A filed with the SEC on </w:t>
            </w:r>
            <w:hyperlink r:id="rId8">
              <w:r>
                <w:rPr>
                  <w:rStyle w:val="InternetLink"/>
                  <w:rFonts w:ascii="Times New Roman" w:hAnsi="Times New Roman"/>
                  <w:sz w:val="20"/>
                </w:rPr>
                <w:t>April  5, 2022</w:t>
              </w:r>
            </w:hyperlink>
            <w:r>
              <w:rPr>
                <w:rFonts w:ascii="Times New Roman" w:hAnsi="Times New Roman"/>
                <w:sz w:val="20"/>
              </w:rPr>
              <w:t xml:space="preserve"> and </w:t>
            </w:r>
            <w:hyperlink r:id="rId9">
              <w:r>
                <w:rPr>
                  <w:rStyle w:val="InternetLink"/>
                  <w:rFonts w:ascii="Times New Roman" w:hAnsi="Times New Roman"/>
                  <w:sz w:val="20"/>
                </w:rPr>
                <w:t>April 18, 2023</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the description of our securities contained in the Registration Statement on Form 8-A relating thereto, filed on </w:t>
            </w:r>
            <w:hyperlink r:id="rId10">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spacing w:before="48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14.</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estimated expenses in connection with the issuance and distribution of the securities being registered: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69"/>
        <w:gridCol w:w="411"/>
        <w:gridCol w:w="140"/>
        <w:gridCol w:w="1156"/>
        <w:gridCol w:w="63"/>
      </w:tblGrid>
      <w:tr>
        <w:trPr/>
        <w:tc>
          <w:tcPr>
            <w:tcW w:w="516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169"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br/>
              <w:t>to be Paid</w:t>
            </w:r>
          </w:p>
        </w:tc>
        <w:tc>
          <w:tcPr>
            <w:tcW w:w="63" w:type="dxa"/>
            <w:tcBorders/>
            <w:shd w:fill="auto" w:val="clear"/>
            <w:vAlign w:val="bottom"/>
          </w:tcPr>
          <w:p>
            <w:pPr>
              <w:pStyle w:val="TableContents"/>
              <w:spacing w:before="0" w:after="283"/>
              <w:rPr/>
            </w:pPr>
            <w:r>
              <w:rPr/>
              <w:t> </w:t>
            </w:r>
          </w:p>
        </w:tc>
      </w:tr>
      <w:tr>
        <w:trPr/>
        <w:tc>
          <w:tcPr>
            <w:tcW w:w="5169"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4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6" w:type="dxa"/>
            <w:tcBorders/>
            <w:shd w:fill="CCEEFF" w:val="clear"/>
            <w:vAlign w:val="bottom"/>
          </w:tcPr>
          <w:p>
            <w:pPr>
              <w:pStyle w:val="TableContents"/>
              <w:spacing w:before="0" w:after="283"/>
              <w:jc w:val="right"/>
              <w:rPr/>
            </w:pPr>
            <w:r>
              <w:rPr/>
              <w:t>9,049.55</w:t>
            </w:r>
          </w:p>
        </w:tc>
        <w:tc>
          <w:tcPr>
            <w:tcW w:w="63" w:type="dxa"/>
            <w:tcBorders/>
            <w:shd w:fill="CCEEFF" w:val="clear"/>
            <w:vAlign w:val="bottom"/>
          </w:tcPr>
          <w:p>
            <w:pPr>
              <w:pStyle w:val="TableContents"/>
              <w:spacing w:before="0" w:after="283"/>
              <w:rPr/>
            </w:pPr>
            <w:r>
              <w:rPr/>
              <w:t> </w:t>
            </w:r>
          </w:p>
        </w:tc>
      </w:tr>
      <w:tr>
        <w:trPr/>
        <w:tc>
          <w:tcPr>
            <w:tcW w:w="5169" w:type="dxa"/>
            <w:tcBorders/>
            <w:shd w:fill="auto" w:val="clear"/>
          </w:tcPr>
          <w:p>
            <w:pPr>
              <w:pStyle w:val="TableContents"/>
              <w:spacing w:before="0" w:after="0"/>
              <w:rPr>
                <w:rFonts w:ascii="Times New Roman" w:hAnsi="Times New Roman"/>
                <w:sz w:val="20"/>
              </w:rPr>
            </w:pPr>
            <w:r>
              <w:rPr>
                <w:rFonts w:ascii="Times New Roman" w:hAnsi="Times New Roman"/>
                <w:sz w:val="20"/>
              </w:rPr>
              <w:t>Printing and engraving expenses</w:t>
            </w:r>
          </w:p>
        </w:tc>
        <w:tc>
          <w:tcPr>
            <w:tcW w:w="41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6" w:type="dxa"/>
            <w:tcBorders/>
            <w:shd w:fill="auto" w:val="clear"/>
            <w:vAlign w:val="bottom"/>
          </w:tcPr>
          <w:p>
            <w:pPr>
              <w:pStyle w:val="TableContents"/>
              <w:spacing w:before="0" w:after="283"/>
              <w:jc w:val="right"/>
              <w:rPr/>
            </w:pPr>
            <w:r>
              <w:rPr/>
              <w:t>2,000.00</w:t>
            </w:r>
          </w:p>
        </w:tc>
        <w:tc>
          <w:tcPr>
            <w:tcW w:w="63" w:type="dxa"/>
            <w:tcBorders/>
            <w:shd w:fill="auto" w:val="clear"/>
            <w:vAlign w:val="bottom"/>
          </w:tcPr>
          <w:p>
            <w:pPr>
              <w:pStyle w:val="TableContents"/>
              <w:spacing w:before="0" w:after="283"/>
              <w:rPr/>
            </w:pPr>
            <w:r>
              <w:rPr/>
              <w:t> </w:t>
            </w:r>
          </w:p>
        </w:tc>
      </w:tr>
      <w:tr>
        <w:trPr/>
        <w:tc>
          <w:tcPr>
            <w:tcW w:w="5169"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4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6" w:type="dxa"/>
            <w:tcBorders/>
            <w:shd w:fill="CCEEFF" w:val="clear"/>
            <w:vAlign w:val="bottom"/>
          </w:tcPr>
          <w:p>
            <w:pPr>
              <w:pStyle w:val="TableContents"/>
              <w:spacing w:before="0" w:after="283"/>
              <w:jc w:val="right"/>
              <w:rPr/>
            </w:pPr>
            <w:r>
              <w:rPr/>
              <w:t>50,000.00</w:t>
            </w:r>
          </w:p>
        </w:tc>
        <w:tc>
          <w:tcPr>
            <w:tcW w:w="63" w:type="dxa"/>
            <w:tcBorders/>
            <w:shd w:fill="CCEEFF" w:val="clear"/>
            <w:vAlign w:val="bottom"/>
          </w:tcPr>
          <w:p>
            <w:pPr>
              <w:pStyle w:val="TableContents"/>
              <w:spacing w:before="0" w:after="283"/>
              <w:rPr/>
            </w:pPr>
            <w:r>
              <w:rPr/>
              <w:t> </w:t>
            </w:r>
          </w:p>
        </w:tc>
      </w:tr>
      <w:tr>
        <w:trPr/>
        <w:tc>
          <w:tcPr>
            <w:tcW w:w="5169"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41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6" w:type="dxa"/>
            <w:tcBorders/>
            <w:shd w:fill="auto" w:val="clear"/>
            <w:vAlign w:val="bottom"/>
          </w:tcPr>
          <w:p>
            <w:pPr>
              <w:pStyle w:val="TableContents"/>
              <w:spacing w:before="0" w:after="283"/>
              <w:jc w:val="right"/>
              <w:rPr/>
            </w:pPr>
            <w:r>
              <w:rPr/>
              <w:t>10,000.00</w:t>
            </w:r>
          </w:p>
        </w:tc>
        <w:tc>
          <w:tcPr>
            <w:tcW w:w="63" w:type="dxa"/>
            <w:tcBorders/>
            <w:shd w:fill="auto" w:val="clear"/>
            <w:vAlign w:val="bottom"/>
          </w:tcPr>
          <w:p>
            <w:pPr>
              <w:pStyle w:val="TableContents"/>
              <w:spacing w:before="0" w:after="283"/>
              <w:rPr/>
            </w:pPr>
            <w:r>
              <w:rPr/>
              <w:t> </w:t>
            </w:r>
          </w:p>
        </w:tc>
      </w:tr>
      <w:tr>
        <w:trPr/>
        <w:tc>
          <w:tcPr>
            <w:tcW w:w="5169"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5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169"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4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6" w:type="dxa"/>
            <w:tcBorders/>
            <w:shd w:fill="CCEEFF" w:val="clear"/>
            <w:vAlign w:val="bottom"/>
          </w:tcPr>
          <w:p>
            <w:pPr>
              <w:pStyle w:val="TableContents"/>
              <w:spacing w:before="0" w:after="283"/>
              <w:jc w:val="right"/>
              <w:rPr/>
            </w:pPr>
            <w:r>
              <w:rPr/>
              <w:t>71,049.55</w:t>
            </w:r>
          </w:p>
        </w:tc>
        <w:tc>
          <w:tcPr>
            <w:tcW w:w="63"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15.</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spacing w:before="24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our Board of Directors.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16.</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(a) Exhibits </w:t>
      </w:r>
    </w:p>
    <w:p>
      <w:pPr>
        <w:pStyle w:val="TextBody"/>
        <w:spacing w:before="36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4"/>
        <w:gridCol w:w="417"/>
        <w:gridCol w:w="8904"/>
      </w:tblGrid>
      <w:tr>
        <w:trPr/>
        <w:tc>
          <w:tcPr>
            <w:tcW w:w="88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sz w:val="4"/>
                <w:szCs w:val="4"/>
              </w:rPr>
            </w:pPr>
            <w:r>
              <w:rPr>
                <w:sz w:val="4"/>
                <w:szCs w:val="4"/>
              </w:rPr>
            </w:r>
          </w:p>
        </w:tc>
        <w:tc>
          <w:tcPr>
            <w:tcW w:w="8904" w:type="dxa"/>
            <w:tcBorders/>
            <w:shd w:fill="auto" w:val="clear"/>
            <w:vAlign w:val="center"/>
          </w:tcPr>
          <w:p>
            <w:pPr>
              <w:pStyle w:val="TableContents"/>
              <w:spacing w:before="0" w:after="283"/>
              <w:rPr>
                <w:sz w:val="4"/>
                <w:szCs w:val="4"/>
              </w:rPr>
            </w:pPr>
            <w:r>
              <w:rPr>
                <w:sz w:val="4"/>
                <w:szCs w:val="4"/>
              </w:rPr>
            </w:r>
          </w:p>
        </w:tc>
      </w:tr>
      <w:tr>
        <w:trPr/>
        <w:tc>
          <w:tcPr>
            <w:tcW w:w="884"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Number</w:t>
            </w:r>
          </w:p>
        </w:tc>
        <w:tc>
          <w:tcPr>
            <w:tcW w:w="417" w:type="dxa"/>
            <w:tcBorders/>
            <w:shd w:fill="auto" w:val="clear"/>
            <w:vAlign w:val="bottom"/>
          </w:tcPr>
          <w:p>
            <w:pPr>
              <w:pStyle w:val="TableContents"/>
              <w:spacing w:before="0" w:after="283"/>
              <w:rPr/>
            </w:pPr>
            <w:r>
              <w:rPr/>
              <w:t>  </w:t>
            </w:r>
          </w:p>
        </w:tc>
        <w:tc>
          <w:tcPr>
            <w:tcW w:w="890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2.1</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1">
              <w:r>
                <w:rPr>
                  <w:rStyle w:val="InternetLink"/>
                </w:rPr>
                <w:t xml:space="preserve">Agreement and Plan of Merger, dated January  11, 2021, by and among the Company, Merger Sub, and the Company (incorporated by reference to Exhibit 2.1 to the Companys Form 8-K filed with the SEC on January 11,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2.2</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2">
              <w:r>
                <w:rPr>
                  <w:rStyle w:val="InternetLink"/>
                </w:rPr>
                <w:t xml:space="preserve">Amendment to Agreement and Plan of Merger, dated March  30, 2021 by and among the Company, Merger Sub, and the Company (incorporated by reference to Exhibit 2.1 to the Companys Form 8-K filed with the SEC on March 31,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2.3</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3">
              <w:r>
                <w:rPr>
                  <w:rStyle w:val="InternetLink"/>
                </w:rPr>
                <w:t xml:space="preserve">Amendment to Agreement and Plan of Merger, dated September  29, 2021 by and among the Company, Merger Sub, and the Company (incorporated by reference to Exhibit 2.1 to the Companys Form 8-K filed with the SEC on September 30,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3.1</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4">
              <w:r>
                <w:rPr>
                  <w:rStyle w:val="InternetLink"/>
                </w:rPr>
                <w:t xml:space="preserve">Certificate of Incorporation of the Company, as currently in effect (incorporated by reference to Exhibit 3.1 to the Companys Form  8-K filed with the SEC on October 21,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3.2</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5">
              <w:r>
                <w:rPr>
                  <w:rStyle w:val="InternetLink"/>
                </w:rPr>
                <w:t xml:space="preserve">By-Laws of the Company, as currently in effect (incorporated by reference to Exhibit 3.2 to the Companys Form 8-K filed with the SEC on October 21,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4.1</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6">
              <w:r>
                <w:rPr>
                  <w:rStyle w:val="InternetLink"/>
                </w:rPr>
                <w:t xml:space="preserve">Specimen Class  A Common Stock Certificate of the Company (incorporated by reference to Exhibit 3.2 to the Companys Form 8-K filed with the SEC on October 21,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4.2</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7">
              <w:r>
                <w:rPr>
                  <w:rStyle w:val="InternetLink"/>
                </w:rPr>
                <w:t xml:space="preserve">Specimen Warrant Certificate of the Company (incorporated by reference to Exhibit 4.2 to the Companys Form 8-K filed with the SEC on October 21, 2021). </w:t>
              </w:r>
            </w:hyperlink>
          </w:p>
        </w:tc>
      </w:tr>
      <w:tr>
        <w:trPr>
          <w:trHeight w:val="120" w:hRule="atLeast"/>
        </w:trPr>
        <w:tc>
          <w:tcPr>
            <w:tcW w:w="884" w:type="dxa"/>
            <w:tcBorders/>
            <w:shd w:fill="auto" w:val="clear"/>
            <w:vAlign w:val="center"/>
          </w:tcPr>
          <w:p>
            <w:pPr>
              <w:pStyle w:val="TableContents"/>
              <w:spacing w:before="0" w:after="283"/>
              <w:rPr>
                <w:sz w:val="4"/>
                <w:szCs w:val="4"/>
              </w:rPr>
            </w:pPr>
            <w:r>
              <w:rPr>
                <w:sz w:val="4"/>
                <w:szCs w:val="4"/>
              </w:rPr>
            </w:r>
          </w:p>
        </w:tc>
        <w:tc>
          <w:tcPr>
            <w:tcW w:w="9321" w:type="dxa"/>
            <w:gridSpan w:val="2"/>
            <w:tcBorders/>
            <w:shd w:fill="auto" w:val="clear"/>
            <w:vAlign w:val="center"/>
          </w:tcPr>
          <w:p>
            <w:pPr>
              <w:pStyle w:val="TableContents"/>
              <w:spacing w:before="0" w:after="283"/>
              <w:rPr>
                <w:sz w:val="4"/>
                <w:szCs w:val="4"/>
              </w:rPr>
            </w:pPr>
            <w:r>
              <w:rPr>
                <w:sz w:val="4"/>
                <w:szCs w:val="4"/>
              </w:rPr>
            </w:r>
          </w:p>
        </w:tc>
      </w:tr>
      <w:tr>
        <w:trPr/>
        <w:tc>
          <w:tcPr>
            <w:tcW w:w="884" w:type="dxa"/>
            <w:tcBorders/>
            <w:shd w:fill="auto" w:val="clear"/>
          </w:tcPr>
          <w:p>
            <w:pPr>
              <w:pStyle w:val="TableContents"/>
              <w:spacing w:before="0" w:after="283"/>
              <w:rPr/>
            </w:pPr>
            <w:r>
              <w:rPr/>
              <w:t>    </w:t>
            </w:r>
            <w:r>
              <w:rPr/>
              <w:t>4.3</w:t>
            </w:r>
          </w:p>
        </w:tc>
        <w:tc>
          <w:tcPr>
            <w:tcW w:w="417" w:type="dxa"/>
            <w:tcBorders/>
            <w:shd w:fill="auto" w:val="clear"/>
            <w:vAlign w:val="bottom"/>
          </w:tcPr>
          <w:p>
            <w:pPr>
              <w:pStyle w:val="TableContents"/>
              <w:spacing w:before="0" w:after="283"/>
              <w:rPr/>
            </w:pPr>
            <w:r>
              <w:rPr/>
              <w:t>  </w:t>
            </w:r>
          </w:p>
        </w:tc>
        <w:tc>
          <w:tcPr>
            <w:tcW w:w="8904" w:type="dxa"/>
            <w:tcBorders/>
            <w:shd w:fill="auto" w:val="clear"/>
          </w:tcPr>
          <w:p>
            <w:pPr>
              <w:pStyle w:val="TableContents"/>
              <w:spacing w:before="0" w:after="283"/>
              <w:rPr/>
            </w:pPr>
            <w:hyperlink r:id="rId18">
              <w:r>
                <w:rPr>
                  <w:rStyle w:val="InternetLink"/>
                </w:rPr>
                <w:t xml:space="preserve">Warrant Agreement, dated September 22, 2020, by and between the Company and Continental Stock Transfer  &amp; Trust Company, as warrant agent (incorporated by reference to Exhibit 4.1 of the Companys Form 8-K filed with the SEC on September 28, 2020).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85"/>
        <w:gridCol w:w="497"/>
        <w:gridCol w:w="8823"/>
      </w:tblGrid>
      <w:tr>
        <w:trPr/>
        <w:tc>
          <w:tcPr>
            <w:tcW w:w="88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8823" w:type="dxa"/>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vAlign w:val="bottom"/>
          </w:tcPr>
          <w:p>
            <w:pPr>
              <w:pStyle w:val="TableContents"/>
              <w:spacing w:before="0" w:after="283"/>
              <w:jc w:val="center"/>
              <w:rPr>
                <w:b/>
              </w:rPr>
            </w:pPr>
            <w:r>
              <w:rPr>
                <w:b/>
              </w:rPr>
              <w:t>Exhibit</w:t>
              <w:br/>
              <w:t>Number</w:t>
            </w:r>
          </w:p>
        </w:tc>
        <w:tc>
          <w:tcPr>
            <w:tcW w:w="497" w:type="dxa"/>
            <w:tcBorders/>
            <w:shd w:fill="auto" w:val="clear"/>
            <w:vAlign w:val="bottom"/>
          </w:tcPr>
          <w:p>
            <w:pPr>
              <w:pStyle w:val="TableContents"/>
              <w:spacing w:before="0" w:after="283"/>
              <w:rPr/>
            </w:pPr>
            <w:r>
              <w:rPr/>
              <w:t>  </w:t>
            </w:r>
          </w:p>
        </w:tc>
        <w:tc>
          <w:tcPr>
            <w:tcW w:w="8823" w:type="dxa"/>
            <w:tcBorders/>
            <w:shd w:fill="auto" w:val="clear"/>
            <w:vAlign w:val="bottom"/>
          </w:tcPr>
          <w:p>
            <w:pPr>
              <w:pStyle w:val="TableContents"/>
              <w:spacing w:before="0" w:after="283"/>
              <w:jc w:val="center"/>
              <w:rPr>
                <w:b/>
              </w:rPr>
            </w:pPr>
            <w:r>
              <w:rPr>
                <w:b/>
              </w:rPr>
              <w:t>Description</w:t>
            </w:r>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4.4</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9">
              <w:r>
                <w:rPr>
                  <w:rStyle w:val="InternetLink"/>
                </w:rPr>
                <w:t xml:space="preserve">Third Amended and Restated Limited Liability Company Agreement, dated October  15, 2021, by and among Opco and the Opco Equity Holders (incorporated by reference to Exhibit 4.3 to the Companys Form 8-K filed with the SEC on October 21, 2021).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5.1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51.htm">
              <w:r>
                <w:rPr>
                  <w:rStyle w:val="InternetLink"/>
                </w:rPr>
                <w:t xml:space="preserve">Opinion of Wilson Sonsini Goodrich &amp; Rosati, Professional Corporation.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231.htm">
              <w:r>
                <w:rPr>
                  <w:rStyle w:val="InternetLink"/>
                </w:rPr>
                <w:t xml:space="preserve">Consent of Ernst &amp; Young LLP, independent registered public accounting firm of the Company.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23.2</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232.htm">
              <w:r>
                <w:rPr>
                  <w:rStyle w:val="InternetLink"/>
                </w:rPr>
                <w:t>Consent of WithumSmith+Brown, PC, independent registered public accounting firm of VPC Impact Acquisition Holdings.</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23.3</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233.htm">
              <w:r>
                <w:rPr>
                  <w:rStyle w:val="InternetLink"/>
                </w:rPr>
                <w:t>Consent of RSM US LLP, independent auditors of Apex Crypto, LLC.</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23.4</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51.htm">
              <w:r>
                <w:rPr>
                  <w:rStyle w:val="InternetLink"/>
                </w:rPr>
                <w:t xml:space="preserve">Consent of Wilson Sonsini Goodrich &amp; Rosati, Professional Corporation (included in Exhibit 5.1 hereto).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24.1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sig">
              <w:r>
                <w:rPr>
                  <w:rStyle w:val="InternetLink"/>
                </w:rPr>
                <w:t xml:space="preserve">Powers of Attorney (included on the signature page to this registration statement).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107</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74714dexfilingfees.htm">
              <w:r>
                <w:rPr>
                  <w:rStyle w:val="InternetLink"/>
                </w:rPr>
                <w:t xml:space="preserve">Filing Fee Table.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Schedules and exhibits to this agreement have been omitted pursuant to Item 601(b)(2) of Regulation S-K. A copy of any omitted schedule and/or exhibit will be furnished to the SEC upon request.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17.</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240" w:after="0"/>
        <w:jc w:val="left"/>
        <w:rPr>
          <w:rFonts w:ascii="Times New Roman" w:hAnsi="Times New Roman"/>
          <w:sz w:val="20"/>
        </w:rPr>
      </w:pPr>
      <w:r>
        <w:rPr>
          <w:rFonts w:ascii="Times New Roman" w:hAnsi="Times New Roman"/>
          <w:sz w:val="20"/>
        </w:rPr>
        <w:t xml:space="preserve">(5) 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may be permitted to directors, officers and controlling persons of the registrant pursuant to the foregoing provisions, or otherwise,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April 20,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4"/>
        <w:gridCol w:w="61"/>
        <w:gridCol w:w="3627"/>
      </w:tblGrid>
      <w:tr>
        <w:trPr/>
        <w:tc>
          <w:tcPr>
            <w:tcW w:w="39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INC.</w:t>
            </w:r>
          </w:p>
        </w:tc>
      </w:tr>
      <w:tr>
        <w:trPr>
          <w:trHeight w:val="240" w:hRule="atLeast"/>
        </w:trPr>
        <w:tc>
          <w:tcPr>
            <w:tcW w:w="394" w:type="dxa"/>
            <w:tcBorders/>
            <w:shd w:fill="auto" w:val="clear"/>
            <w:vAlign w:val="center"/>
          </w:tcPr>
          <w:p>
            <w:pPr>
              <w:pStyle w:val="TableContents"/>
              <w:spacing w:before="0" w:after="283"/>
              <w:rPr>
                <w:sz w:val="4"/>
                <w:szCs w:val="4"/>
              </w:rPr>
            </w:pPr>
            <w:r>
              <w:rPr>
                <w:sz w:val="4"/>
                <w:szCs w:val="4"/>
              </w:rPr>
            </w:r>
          </w:p>
        </w:tc>
        <w:tc>
          <w:tcPr>
            <w:tcW w:w="3688" w:type="dxa"/>
            <w:gridSpan w:val="2"/>
            <w:tcBorders/>
            <w:shd w:fill="auto" w:val="clear"/>
            <w:vAlign w:val="center"/>
          </w:tcPr>
          <w:p>
            <w:pPr>
              <w:pStyle w:val="TableContents"/>
              <w:spacing w:before="0" w:after="283"/>
              <w:rPr>
                <w:sz w:val="4"/>
                <w:szCs w:val="4"/>
              </w:rPr>
            </w:pPr>
            <w:r>
              <w:rPr>
                <w:sz w:val="4"/>
                <w:szCs w:val="4"/>
              </w:rPr>
            </w:r>
          </w:p>
        </w:tc>
      </w:tr>
      <w:tr>
        <w:trPr/>
        <w:tc>
          <w:tcPr>
            <w:tcW w:w="394" w:type="dxa"/>
            <w:tcBorders/>
            <w:shd w:fill="auto" w:val="clear"/>
            <w:vAlign w:val="bottom"/>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r>
      <w:tr>
        <w:trPr/>
        <w:tc>
          <w:tcPr>
            <w:tcW w:w="394"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spacing w:before="0" w:after="283"/>
              <w:rPr/>
            </w:pPr>
            <w:r>
              <w:rPr/>
              <w:t>Gavin Michael</w:t>
            </w:r>
          </w:p>
        </w:tc>
      </w:tr>
      <w:tr>
        <w:trPr/>
        <w:tc>
          <w:tcPr>
            <w:tcW w:w="394"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spacing w:before="0" w:after="283"/>
              <w:rPr/>
            </w:pPr>
            <w:r>
              <w:rPr/>
              <w:t>Chief Executive Officer and Director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Gavin Michael, Karen Alexander and Marc DAnnunzio,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April 20,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86"/>
        <w:gridCol w:w="208"/>
        <w:gridCol w:w="5311"/>
      </w:tblGrid>
      <w:tr>
        <w:trPr/>
        <w:tc>
          <w:tcPr>
            <w:tcW w:w="468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8" w:type="dxa"/>
            <w:tcBorders/>
            <w:shd w:fill="auto" w:val="clear"/>
            <w:vAlign w:val="bottom"/>
          </w:tcPr>
          <w:p>
            <w:pPr>
              <w:pStyle w:val="TableContents"/>
              <w:spacing w:before="0" w:after="283"/>
              <w:rPr/>
            </w:pPr>
            <w:r>
              <w:rPr/>
              <w:t>  </w:t>
            </w:r>
          </w:p>
        </w:tc>
        <w:tc>
          <w:tcPr>
            <w:tcW w:w="531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Gavin Michael</w:t>
            </w:r>
          </w:p>
          <w:p>
            <w:pPr>
              <w:pStyle w:val="TableContents"/>
              <w:spacing w:before="0" w:after="20"/>
              <w:jc w:val="center"/>
              <w:rPr>
                <w:rFonts w:ascii="Times New Roman" w:hAnsi="Times New Roman"/>
                <w:sz w:val="20"/>
              </w:rPr>
            </w:pPr>
            <w:r>
              <w:rPr>
                <w:rFonts w:ascii="Times New Roman" w:hAnsi="Times New Roman"/>
                <w:sz w:val="20"/>
              </w:rPr>
              <w:t>Gavin Michael</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Director</w:t>
            </w:r>
          </w:p>
          <w:p>
            <w:pPr>
              <w:pStyle w:val="TableContents"/>
              <w:spacing w:before="0" w:after="20"/>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Karen Alexander</w:t>
            </w:r>
          </w:p>
          <w:p>
            <w:pPr>
              <w:pStyle w:val="TableContents"/>
              <w:spacing w:before="0" w:after="20"/>
              <w:jc w:val="center"/>
              <w:rPr>
                <w:rFonts w:ascii="Times New Roman" w:hAnsi="Times New Roman"/>
                <w:sz w:val="20"/>
              </w:rPr>
            </w:pPr>
            <w:r>
              <w:rPr>
                <w:rFonts w:ascii="Times New Roman" w:hAnsi="Times New Roman"/>
                <w:sz w:val="20"/>
              </w:rPr>
              <w:t>Karen Alexander</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Charles Goodroe</w:t>
            </w:r>
          </w:p>
          <w:p>
            <w:pPr>
              <w:pStyle w:val="TableContents"/>
              <w:spacing w:before="0" w:after="20"/>
              <w:jc w:val="center"/>
              <w:rPr>
                <w:rFonts w:ascii="Times New Roman" w:hAnsi="Times New Roman"/>
                <w:sz w:val="20"/>
              </w:rPr>
            </w:pPr>
            <w:r>
              <w:rPr>
                <w:rFonts w:ascii="Times New Roman" w:hAnsi="Times New Roman"/>
                <w:sz w:val="20"/>
              </w:rPr>
              <w:t>Charles Goodroe</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Accounting Officer</w:t>
            </w:r>
          </w:p>
          <w:p>
            <w:pPr>
              <w:pStyle w:val="TableContents"/>
              <w:spacing w:before="0" w:after="20"/>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Sean Collins</w:t>
            </w:r>
          </w:p>
          <w:p>
            <w:pPr>
              <w:pStyle w:val="TableContents"/>
              <w:spacing w:before="0" w:after="20"/>
              <w:jc w:val="center"/>
              <w:rPr>
                <w:rFonts w:ascii="Times New Roman" w:hAnsi="Times New Roman"/>
                <w:sz w:val="20"/>
              </w:rPr>
            </w:pPr>
            <w:r>
              <w:rPr>
                <w:rFonts w:ascii="Times New Roman" w:hAnsi="Times New Roman"/>
                <w:sz w:val="20"/>
              </w:rPr>
              <w:t>Sean Collins</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283"/>
              <w:rPr/>
            </w:pPr>
            <w:r>
              <w:rPr/>
              <w:t>Chair of the Board of Directors</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David C. Clifton</w:t>
            </w:r>
          </w:p>
          <w:p>
            <w:pPr>
              <w:pStyle w:val="TableContents"/>
              <w:spacing w:before="0" w:after="20"/>
              <w:jc w:val="center"/>
              <w:rPr>
                <w:rFonts w:ascii="Times New Roman" w:hAnsi="Times New Roman"/>
                <w:sz w:val="20"/>
              </w:rPr>
            </w:pPr>
            <w:r>
              <w:rPr>
                <w:rFonts w:ascii="Times New Roman" w:hAnsi="Times New Roman"/>
                <w:sz w:val="20"/>
              </w:rPr>
              <w:t>David C. Clifton</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DeAna Dow</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283"/>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686"/>
        <w:gridCol w:w="207"/>
        <w:gridCol w:w="5312"/>
      </w:tblGrid>
      <w:tr>
        <w:trPr/>
        <w:tc>
          <w:tcPr>
            <w:tcW w:w="46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7" w:type="dxa"/>
            <w:tcBorders/>
            <w:shd w:fill="auto" w:val="clear"/>
            <w:vAlign w:val="bottom"/>
          </w:tcPr>
          <w:p>
            <w:pPr>
              <w:pStyle w:val="TableContents"/>
              <w:spacing w:before="0" w:after="283"/>
              <w:rPr/>
            </w:pPr>
            <w:r>
              <w:rPr/>
              <w:t>  </w:t>
            </w:r>
          </w:p>
        </w:tc>
        <w:tc>
          <w:tcPr>
            <w:tcW w:w="531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Michelle J. Goldberg</w:t>
            </w:r>
          </w:p>
          <w:p>
            <w:pPr>
              <w:pStyle w:val="TableContents"/>
              <w:spacing w:before="0" w:after="20"/>
              <w:jc w:val="center"/>
              <w:rPr>
                <w:rFonts w:ascii="Times New Roman" w:hAnsi="Times New Roman"/>
                <w:sz w:val="20"/>
              </w:rPr>
            </w:pPr>
            <w:r>
              <w:rPr>
                <w:rFonts w:ascii="Times New Roman" w:hAnsi="Times New Roman"/>
                <w:sz w:val="20"/>
              </w:rPr>
              <w:t>Michelle J. Goldberg</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Richard Lumb</w:t>
            </w:r>
          </w:p>
          <w:p>
            <w:pPr>
              <w:pStyle w:val="TableContents"/>
              <w:spacing w:before="0" w:after="20"/>
              <w:jc w:val="center"/>
              <w:rPr>
                <w:rFonts w:ascii="Times New Roman" w:hAnsi="Times New Roman"/>
                <w:sz w:val="20"/>
              </w:rPr>
            </w:pPr>
            <w:r>
              <w:rPr>
                <w:rFonts w:ascii="Times New Roman" w:hAnsi="Times New Roman"/>
                <w:sz w:val="20"/>
              </w:rPr>
              <w:t>Richard Lumb</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Andrew A. Main</w:t>
            </w:r>
          </w:p>
          <w:p>
            <w:pPr>
              <w:pStyle w:val="TableContents"/>
              <w:spacing w:before="0" w:after="20"/>
              <w:jc w:val="center"/>
              <w:rPr>
                <w:rFonts w:ascii="Times New Roman" w:hAnsi="Times New Roman"/>
                <w:sz w:val="20"/>
              </w:rPr>
            </w:pPr>
            <w:r>
              <w:rPr>
                <w:rFonts w:ascii="Times New Roman" w:hAnsi="Times New Roman"/>
                <w:sz w:val="20"/>
              </w:rPr>
              <w:t>Andrew A. Main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Jill Simeone</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Gordon Watson</w:t>
            </w:r>
          </w:p>
          <w:p>
            <w:pPr>
              <w:pStyle w:val="TableContents"/>
              <w:spacing w:before="0" w:after="20"/>
              <w:jc w:val="center"/>
              <w:rPr>
                <w:rFonts w:ascii="Times New Roman" w:hAnsi="Times New Roman"/>
                <w:sz w:val="20"/>
              </w:rPr>
            </w:pPr>
            <w:r>
              <w:rPr>
                <w:rFonts w:ascii="Times New Roman" w:hAnsi="Times New Roman"/>
                <w:sz w:val="20"/>
              </w:rPr>
              <w:t>Gordon Watson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TextBody"/>
        <w:spacing w:before="0" w:after="0"/>
        <w:jc w:val="right"/>
        <w:rPr>
          <w:rFonts w:ascii="Times New Roman" w:hAnsi="Times New Roman"/>
          <w:b/>
          <w:sz w:val="20"/>
        </w:rPr>
      </w:pPr>
      <w:bookmarkStart w:id="16" w:name="d474714dex51.htm"/>
      <w:bookmarkStart w:id="17" w:name="ksd474714dex51"/>
      <w:bookmarkEnd w:id="16"/>
      <w:bookmarkEnd w:id="17"/>
      <w:r>
        <w:rPr>
          <w:rFonts w:ascii="Times New Roman" w:hAnsi="Times New Roman"/>
          <w:b/>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319"/>
        <w:gridCol w:w="209"/>
        <w:gridCol w:w="2677"/>
      </w:tblGrid>
      <w:tr>
        <w:trPr/>
        <w:tc>
          <w:tcPr>
            <w:tcW w:w="731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2677" w:type="dxa"/>
            <w:tcBorders/>
            <w:shd w:fill="auto" w:val="clear"/>
            <w:vAlign w:val="center"/>
          </w:tcPr>
          <w:p>
            <w:pPr>
              <w:pStyle w:val="TableContents"/>
              <w:spacing w:before="0" w:after="283"/>
              <w:rPr>
                <w:sz w:val="4"/>
                <w:szCs w:val="4"/>
              </w:rPr>
            </w:pPr>
            <w:r>
              <w:rPr>
                <w:sz w:val="4"/>
                <w:szCs w:val="4"/>
              </w:rPr>
            </w:r>
          </w:p>
        </w:tc>
      </w:tr>
      <w:tr>
        <w:trPr/>
        <w:tc>
          <w:tcPr>
            <w:tcW w:w="7319" w:type="dxa"/>
            <w:tcBorders/>
            <w:shd w:fill="auto" w:val="clear"/>
          </w:tcPr>
          <w:p>
            <w:pPr>
              <w:pStyle w:val="TableContents"/>
              <w:spacing w:before="0" w:after="20"/>
              <w:rPr/>
            </w:pPr>
            <w:r>
              <w:rPr/>
              <w:drawing>
                <wp:inline distT="0" distB="0" distL="0" distR="0">
                  <wp:extent cx="136207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362075" cy="571500"/>
                          </a:xfrm>
                          <a:prstGeom prst="rect">
                            <a:avLst/>
                          </a:prstGeom>
                        </pic:spPr>
                      </pic:pic>
                    </a:graphicData>
                  </a:graphic>
                </wp:inline>
              </w:drawing>
            </w:r>
            <w:r>
              <w:rPr/>
              <w:t xml:space="preserve"> </w:t>
            </w:r>
          </w:p>
        </w:tc>
        <w:tc>
          <w:tcPr>
            <w:tcW w:w="209" w:type="dxa"/>
            <w:tcBorders/>
            <w:shd w:fill="auto" w:val="clear"/>
            <w:vAlign w:val="bottom"/>
          </w:tcPr>
          <w:p>
            <w:pPr>
              <w:pStyle w:val="TableContents"/>
              <w:spacing w:before="0" w:after="283"/>
              <w:rPr/>
            </w:pPr>
            <w:r>
              <w:rPr/>
              <w:t>  </w:t>
            </w:r>
          </w:p>
        </w:tc>
        <w:tc>
          <w:tcPr>
            <w:tcW w:w="2677" w:type="dxa"/>
            <w:tcBorders/>
            <w:shd w:fill="auto" w:val="clear"/>
            <w:vAlign w:val="bottom"/>
          </w:tcPr>
          <w:p>
            <w:pPr>
              <w:pStyle w:val="TableContents"/>
              <w:spacing w:before="0" w:after="0"/>
              <w:rPr>
                <w:rFonts w:ascii="Times New Roman" w:hAnsi="Times New Roman"/>
                <w:sz w:val="16"/>
              </w:rPr>
            </w:pPr>
            <w:r>
              <w:rPr>
                <w:rFonts w:ascii="Times New Roman" w:hAnsi="Times New Roman"/>
                <w:sz w:val="16"/>
              </w:rPr>
              <w:t>Wilson Sonsini Goodrich &amp; Rosati </w:t>
              <w:br/>
              <w:t>Professional Corporation</w:t>
            </w:r>
          </w:p>
          <w:p>
            <w:pPr>
              <w:pStyle w:val="TableContents"/>
              <w:spacing w:before="0" w:after="0"/>
              <w:rPr/>
            </w:pPr>
            <w:r>
              <w:rPr/>
              <w:t> </w:t>
            </w:r>
          </w:p>
          <w:p>
            <w:pPr>
              <w:pStyle w:val="TableContents"/>
              <w:spacing w:before="0" w:after="0"/>
              <w:rPr>
                <w:rFonts w:ascii="Times New Roman" w:hAnsi="Times New Roman"/>
                <w:sz w:val="16"/>
              </w:rPr>
            </w:pPr>
            <w:r>
              <w:rPr>
                <w:rFonts w:ascii="Times New Roman" w:hAnsi="Times New Roman"/>
                <w:sz w:val="16"/>
              </w:rPr>
              <w:t>900 South Capital of Texas Highway </w:t>
              <w:br/>
              <w:t xml:space="preserve">Las Cimas IV, Fifth Floor </w:t>
              <w:br/>
              <w:t>Austin, Texas 78746-5546</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20"/>
              </w:rPr>
              <w:t>O</w:t>
            </w:r>
            <w:r>
              <w:rPr>
                <w:rFonts w:ascii="Times New Roman" w:hAnsi="Times New Roman"/>
                <w:sz w:val="16"/>
              </w:rPr>
              <w:t xml:space="preserve">: 512.338.5400 </w:t>
              <w:br/>
            </w:r>
            <w:r>
              <w:rPr>
                <w:rFonts w:ascii="Times New Roman" w:hAnsi="Times New Roman"/>
                <w:sz w:val="20"/>
              </w:rPr>
              <w:t>F</w:t>
            </w:r>
            <w:r>
              <w:rPr>
                <w:rFonts w:ascii="Times New Roman" w:hAnsi="Times New Roman"/>
                <w:sz w:val="16"/>
              </w:rPr>
              <w:t>: 512.338.5499</w:t>
            </w:r>
          </w:p>
        </w:tc>
      </w:tr>
    </w:tbl>
    <w:p>
      <w:pPr>
        <w:pStyle w:val="TextBody"/>
        <w:spacing w:before="240" w:after="0"/>
        <w:jc w:val="center"/>
        <w:rPr>
          <w:rFonts w:ascii="Times New Roman" w:hAnsi="Times New Roman"/>
          <w:sz w:val="20"/>
        </w:rPr>
      </w:pPr>
      <w:r>
        <w:rPr>
          <w:rFonts w:ascii="Times New Roman" w:hAnsi="Times New Roman"/>
          <w:sz w:val="20"/>
        </w:rPr>
        <w:t xml:space="preserve">April 20, 2023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10000 Avalon Boulevard </w:t>
      </w:r>
    </w:p>
    <w:p>
      <w:pPr>
        <w:pStyle w:val="TextBody"/>
        <w:spacing w:before="0" w:after="0"/>
        <w:jc w:val="left"/>
        <w:rPr>
          <w:rFonts w:ascii="Times New Roman" w:hAnsi="Times New Roman"/>
          <w:sz w:val="20"/>
        </w:rPr>
      </w:pPr>
      <w:r>
        <w:rPr>
          <w:rFonts w:ascii="Times New Roman" w:hAnsi="Times New Roman"/>
          <w:sz w:val="20"/>
        </w:rPr>
        <w:t xml:space="preserve">Suite 1000 </w:t>
      </w:r>
    </w:p>
    <w:p>
      <w:pPr>
        <w:pStyle w:val="TextBody"/>
        <w:spacing w:before="0" w:after="0"/>
        <w:jc w:val="left"/>
        <w:rPr>
          <w:rFonts w:ascii="Times New Roman" w:hAnsi="Times New Roman"/>
          <w:sz w:val="20"/>
        </w:rPr>
      </w:pPr>
      <w:r>
        <w:rPr>
          <w:rFonts w:ascii="Times New Roman" w:hAnsi="Times New Roman"/>
          <w:sz w:val="20"/>
        </w:rPr>
        <w:t xml:space="preserve">Alpharetta, Georgia 30009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Re:</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Registration Statement on Form S-3</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 xml:space="preserve">This opinion is furnished to you in connection with the Registration Statement on Form S-3 (the Registration Statement), filed by Bakkt Holdings, Inc., a Delaware corporation (the Company), with the Securities and Exchange Commission (the Commission) in connection with the registration under the Securities Act of 1933, as amended (the Securities Act), of up to 7,140,808 shares (the Warrant Shares) of the Companys Class A common stock, $0.0001 par value per share, issuable upon the exercise of 7,140,808 warrants of the Company, each of which is exercisable at a price of $11.50 per share (the Warrants). </w:t>
      </w:r>
    </w:p>
    <w:p>
      <w:pPr>
        <w:pStyle w:val="TextBody"/>
        <w:spacing w:before="240" w:after="0"/>
        <w:jc w:val="left"/>
        <w:rPr>
          <w:rFonts w:ascii="Times New Roman" w:hAnsi="Times New Roman"/>
          <w:sz w:val="20"/>
        </w:rPr>
      </w:pPr>
      <w:r>
        <w:rPr>
          <w:rFonts w:ascii="Times New Roman" w:hAnsi="Times New Roman"/>
          <w:sz w:val="20"/>
        </w:rPr>
        <w:t xml:space="preserve">We are acting as counsel for the Company in connection with the registration of the Warrant Shares offered pursuant to the Registration Statement.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 </w:t>
      </w:r>
    </w:p>
    <w:p>
      <w:pPr>
        <w:pStyle w:val="TextBody"/>
        <w:spacing w:before="240" w:after="0"/>
        <w:jc w:val="left"/>
        <w:rPr>
          <w:rFonts w:ascii="Times New Roman" w:hAnsi="Times New Roman"/>
          <w:sz w:val="20"/>
        </w:rPr>
      </w:pPr>
      <w:r>
        <w:rPr>
          <w:rFonts w:ascii="Times New Roman" w:hAnsi="Times New Roman"/>
          <w:sz w:val="20"/>
        </w:rPr>
        <w:t xml:space="preserve">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including the Warrant Agreement, dated as of September 22, 2020, by and between the Company and the warrant agent (as amended, the Warrant Agreement), filed as Exhibit 4.1 to Companys Current Report on Form 8-K filed on September 28, 2020, the First Amendment to Warrant Agreement, dated as of March 9, 2022, by and between the Company and the warrant agent, filed as Exhibit 4.4 to the Companys Annual Report on Form 10-K filed on March 31, 2022, and the specimen warrant certificate filed as Exhibit 4.2 to Companys Current Report on Form 8-K filed on September 28, 2020. We have not independently established the facts stated therein. </w:t>
      </w:r>
    </w:p>
    <w:p>
      <w:pPr>
        <w:pStyle w:val="TextBody"/>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that the </w:t>
      </w:r>
    </w:p>
    <w:p>
      <w:pPr>
        <w:pStyle w:val="TextBody"/>
        <w:spacing w:before="240" w:after="0"/>
        <w:jc w:val="center"/>
        <w:rPr>
          <w:rFonts w:ascii="Times New Roman" w:hAnsi="Times New Roman"/>
          <w:sz w:val="16"/>
        </w:rPr>
      </w:pPr>
      <w:r>
        <w:rPr>
          <w:rFonts w:ascii="Times New Roman" w:hAnsi="Times New Roman"/>
          <w:sz w:val="16"/>
        </w:rPr>
        <w:t xml:space="preserve">AUSTIN            BEIJING             BOSTON            BOULDER            BRUSSELS             HONG KONG            LONDON            LOS ANGELES            NEW YORK            PALO ALTO </w:t>
      </w:r>
    </w:p>
    <w:p>
      <w:pPr>
        <w:pStyle w:val="TextBody"/>
        <w:spacing w:before="12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8001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800100" cy="3810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20, 2023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240" w:after="0"/>
        <w:jc w:val="left"/>
        <w:rPr>
          <w:rFonts w:ascii="Times New Roman" w:hAnsi="Times New Roman"/>
          <w:sz w:val="20"/>
        </w:rPr>
      </w:pPr>
      <w:r>
        <w:rPr>
          <w:rFonts w:ascii="Times New Roman" w:hAnsi="Times New Roman"/>
          <w:sz w:val="20"/>
        </w:rPr>
        <w:t xml:space="preserve">certificates representing the Warrant Shares have been properly authenticated by the signature of an authorized officer of the Companys transfer agent. We have also assumed the conformity of the documents filed with the Commission via the Electronic Data Gathering, Analysis and Retrieval System (EDGAR),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 </w:t>
      </w:r>
    </w:p>
    <w:p>
      <w:pPr>
        <w:pStyle w:val="TextBody"/>
        <w:spacing w:before="240" w:after="0"/>
        <w:jc w:val="left"/>
        <w:rPr>
          <w:rFonts w:ascii="Times New Roman" w:hAnsi="Times New Roman"/>
          <w:sz w:val="20"/>
        </w:rPr>
      </w:pPr>
      <w:r>
        <w:rPr>
          <w:rFonts w:ascii="Times New Roman" w:hAnsi="Times New Roman"/>
          <w:sz w:val="20"/>
        </w:rPr>
        <w:t xml:space="preserve">We express no opinion as to any matter relating to the laws of any jurisdiction other than the federal laws of the United States of America and the General Corporation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Based upon and subject to the foregoing qualifications, assumptions and limitations and the further limitations set out below, we are of the opinion that, when the Warrant Shares that may be offered pursuant to the Registration Statement are issued upon exercise of the Warrants pursuant to the terms of Section 3.3.1(a) of the Warrant Agreement, such Warrant Shares will have been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and is not to be used, circulated, quoted or otherwise relied upon for any other purpose.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contained therein, any prospectus supplement, and in any amendment or supplement thereto. In giving such consent, we do not thereby admit that we are in the category of persons whose consent is required under Section 7 of the Securities Act or the rules and regulations of the Commission thereunder.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WILSON SONSINI GOODRICH &amp; ROSATI</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Professional Corporation</w:t>
            </w:r>
          </w:p>
        </w:tc>
      </w:tr>
    </w:tbl>
    <w:p>
      <w:pPr>
        <w:pStyle w:val="TextBody"/>
        <w:spacing w:before="0" w:after="0"/>
        <w:jc w:val="right"/>
        <w:rPr>
          <w:rFonts w:ascii="Times New Roman" w:hAnsi="Times New Roman"/>
          <w:b/>
          <w:sz w:val="20"/>
        </w:rPr>
      </w:pPr>
      <w:r>
        <w:br w:type="page"/>
      </w:r>
      <w:bookmarkStart w:id="18" w:name="d474714dex231.htm"/>
      <w:bookmarkStart w:id="19" w:name="ksd474714dex231"/>
      <w:bookmarkEnd w:id="18"/>
      <w:bookmarkEnd w:id="19"/>
      <w:r>
        <w:rPr>
          <w:rFonts w:ascii="Times New Roman" w:hAnsi="Times New Roman"/>
          <w:b/>
          <w:sz w:val="20"/>
        </w:rPr>
        <w:t xml:space="preserve">Exhibit 23.1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Form S-3 Registration Statement and related Prospectus of Bakkt Holdings, Inc. for the registration of 7,140,808 shares of Class A common stock issuable upon the exercise of 7,140,808 warrants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Atlanta, Georgia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0" w:name="d474714dex232.htm"/>
      <w:bookmarkStart w:id="21" w:name="ksd474714dex232"/>
      <w:bookmarkEnd w:id="20"/>
      <w:bookmarkEnd w:id="21"/>
      <w:r>
        <w:rPr>
          <w:rFonts w:ascii="Times New Roman" w:hAnsi="Times New Roman"/>
          <w:b/>
          <w:sz w:val="20"/>
        </w:rPr>
        <w:t xml:space="preserve">Exhibit 23.2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to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2" w:name="d474714dex233.htm"/>
      <w:bookmarkStart w:id="23" w:name="ksd474714dex233"/>
      <w:bookmarkEnd w:id="22"/>
      <w:bookmarkEnd w:id="23"/>
      <w:r>
        <w:rPr>
          <w:rFonts w:ascii="Times New Roman" w:hAnsi="Times New Roman"/>
          <w:b/>
          <w:sz w:val="20"/>
        </w:rPr>
        <w:t xml:space="preserve">Exhibit 23.2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Auditor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Bakkt Holdings, Inc. of our report dated March 29, 2023, except for the second paragraph of Note 16 as to which the date is April 18, 2023, with respect to the financial statements of Apex Crypto, LLC as of December 31, 2022 and 2021 and for the years then ended appearing in the Current Report on Form 8-K/A filed by Bakkt Holdings, Inc. on April 18, 2023. </w:t>
      </w:r>
    </w:p>
    <w:p>
      <w:pPr>
        <w:pStyle w:val="TextBody"/>
        <w:spacing w:before="240" w:after="0"/>
        <w:jc w:val="left"/>
        <w:rPr>
          <w:rFonts w:ascii="Times New Roman" w:hAnsi="Times New Roman"/>
          <w:sz w:val="20"/>
        </w:rPr>
      </w:pPr>
      <w:r>
        <w:rPr>
          <w:rFonts w:ascii="Times New Roman" w:hAnsi="Times New Roman"/>
          <w:sz w:val="20"/>
        </w:rPr>
        <w:t xml:space="preserve">We also consent to the reference of our firm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 RSM US LLP </w:t>
      </w:r>
    </w:p>
    <w:p>
      <w:pPr>
        <w:pStyle w:val="TextBody"/>
        <w:spacing w:before="240" w:after="0"/>
        <w:jc w:val="left"/>
        <w:rPr>
          <w:rFonts w:ascii="Times New Roman" w:hAnsi="Times New Roman"/>
          <w:sz w:val="20"/>
        </w:rPr>
      </w:pPr>
      <w:r>
        <w:rPr>
          <w:rFonts w:ascii="Times New Roman" w:hAnsi="Times New Roman"/>
          <w:sz w:val="20"/>
        </w:rPr>
        <w:t xml:space="preserve">Chicago, Illinois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4" w:name="d474714dexfilingfees.htm"/>
      <w:bookmarkStart w:id="25" w:name="ksd474714dexfilingfees"/>
      <w:bookmarkEnd w:id="24"/>
      <w:bookmarkEnd w:id="25"/>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Form S-1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spacing w:before="0" w:after="0"/>
        <w:jc w:val="left"/>
        <w:rPr/>
      </w:pPr>
      <w:r>
        <w:rPr/>
        <w:t> </w:t>
      </w:r>
    </w:p>
    <w:tbl>
      <w:tblPr>
        <w:tblW w:w="14615" w:type="dxa"/>
        <w:jc w:val="center"/>
        <w:tblInd w:w="0" w:type="dxa"/>
        <w:tblCellMar>
          <w:top w:w="0" w:type="dxa"/>
          <w:left w:w="0" w:type="dxa"/>
          <w:bottom w:w="0" w:type="dxa"/>
          <w:right w:w="0" w:type="dxa"/>
        </w:tblCellMar>
      </w:tblPr>
      <w:tblGrid>
        <w:gridCol w:w="935"/>
        <w:gridCol w:w="60"/>
        <w:gridCol w:w="800"/>
        <w:gridCol w:w="60"/>
        <w:gridCol w:w="1520"/>
        <w:gridCol w:w="60"/>
        <w:gridCol w:w="1100"/>
        <w:gridCol w:w="60"/>
        <w:gridCol w:w="1100"/>
        <w:gridCol w:w="60"/>
        <w:gridCol w:w="995"/>
        <w:gridCol w:w="60"/>
        <w:gridCol w:w="1520"/>
        <w:gridCol w:w="60"/>
        <w:gridCol w:w="1160"/>
        <w:gridCol w:w="60"/>
        <w:gridCol w:w="1160"/>
        <w:gridCol w:w="60"/>
        <w:gridCol w:w="830"/>
        <w:gridCol w:w="60"/>
        <w:gridCol w:w="830"/>
        <w:gridCol w:w="60"/>
        <w:gridCol w:w="830"/>
        <w:gridCol w:w="60"/>
        <w:gridCol w:w="1115"/>
      </w:tblGrid>
      <w:tr>
        <w:trPr/>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8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center"/>
              <w:rPr/>
            </w:pPr>
            <w:r>
              <w:rPr/>
              <w:t>Security</w:t>
              <w:br/>
              <w:t>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20"/>
              <w:jc w:val="center"/>
              <w:rPr>
                <w:rFonts w:ascii="Times New Roman" w:hAnsi="Times New Roman"/>
                <w:sz w:val="14"/>
              </w:rPr>
            </w:pPr>
            <w:r>
              <w:rPr>
                <w:rFonts w:ascii="Times New Roman" w:hAnsi="Times New Roman"/>
                <w:sz w:val="14"/>
              </w:rPr>
              <w:t>Class 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Fee</w:t>
              <w:br/>
              <w:t>Calculation</w:t>
              <w:br/>
              <w:t>or Carry</w:t>
              <w:br/>
              <w:t>Forward</w:t>
              <w:br/>
              <w:t>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Amount</w:t>
              <w:br/>
              <w:t>Registered(1)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Proposed</w:t>
              <w:br/>
              <w:t>Maximum</w:t>
              <w:br/>
              <w:t>Offering</w:t>
              <w:br/>
              <w:t>Price Per</w:t>
              <w:br/>
              <w:t>Unit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Aggregate</w:t>
              <w:br/>
              <w:t>Offering</w:t>
            </w:r>
          </w:p>
          <w:p>
            <w:pPr>
              <w:pStyle w:val="TableContents"/>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center"/>
              <w:rPr/>
            </w:pPr>
            <w:r>
              <w:rPr/>
              <w:t>Amount of</w:t>
              <w:br/>
              <w:t>Registration</w:t>
              <w:br/>
              <w:t>Fee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Carry</w:t>
              <w:br/>
              <w:t>Forward</w:t>
              <w:br/>
              <w:t>Form</w:t>
              <w:br/>
              <w:t>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Carry</w:t>
              <w:br/>
              <w:t>Forward</w:t>
              <w:br/>
              <w:t>File</w:t>
              <w:br/>
              <w:t>Number</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Carry</w:t>
              <w:br/>
              <w:t>Forward</w:t>
              <w:br/>
              <w:t>Initial</w:t>
              <w:br/>
              <w:t>effective</w:t>
              <w:br/>
              <w:t>date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jc w:val="center"/>
              <w:rPr/>
            </w:pPr>
            <w:r>
              <w:rPr/>
              <w:t>Filing Fee</w:t>
              <w:br/>
              <w:t>Previously</w:t>
              <w:br/>
              <w:t>Paid In</w:t>
              <w:br/>
              <w:t>Connection</w:t>
              <w:br/>
              <w:t>with</w:t>
              <w:br/>
              <w:t>Unsold</w:t>
              <w:br/>
              <w:t>Securities</w:t>
              <w:br/>
              <w:t>to be</w:t>
              <w:br/>
              <w:t>Carried</w:t>
              <w:br/>
              <w:t>Forward</w:t>
            </w:r>
          </w:p>
        </w:tc>
      </w:tr>
      <w:tr>
        <w:trPr>
          <w:trHeight w:val="15" w:hRule="atLeast"/>
        </w:trPr>
        <w:tc>
          <w:tcPr>
            <w:tcW w:w="14615" w:type="dxa"/>
            <w:gridSpan w:val="25"/>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4615" w:type="dxa"/>
            <w:gridSpan w:val="25"/>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b/>
              </w:rPr>
            </w:pPr>
            <w:r>
              <w:rPr>
                <w:b/>
              </w:rPr>
              <w:t>Newly Registered Securities</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8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0"/>
              <w:jc w:val="center"/>
              <w:rPr>
                <w:rFonts w:ascii="Times New Roman" w:hAnsi="Times New Roman"/>
                <w:sz w:val="20"/>
              </w:rPr>
            </w:pPr>
            <w:r>
              <w:rPr>
                <w:rFonts w:ascii="Times New Roman" w:hAnsi="Times New Roman"/>
                <w:sz w:val="20"/>
              </w:rPr>
              <w:t>Fees to Be</w:t>
            </w:r>
          </w:p>
          <w:p>
            <w:pPr>
              <w:pStyle w:val="TableContents"/>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8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Class A Common stock, par value $0.0001 per share, underlying warrants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Other</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pPr>
            <w:r>
              <w:rPr/>
              <w:t>7,140,808(2)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11.50(3)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$82,119,292.00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center"/>
              <w:rPr/>
            </w:pPr>
            <w:r>
              <w:rPr/>
              <w:t>0.00011020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center"/>
              <w:rPr/>
            </w:pPr>
            <w:r>
              <w:rPr/>
              <w:t>$9,049.55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center"/>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jc w:val="center"/>
              <w:rPr/>
            </w:pPr>
            <w:r>
              <w:rPr/>
              <w:t>  </w:t>
            </w:r>
          </w:p>
        </w:tc>
      </w:tr>
      <w:tr>
        <w:trPr>
          <w:trHeight w:val="15" w:hRule="atLeast"/>
        </w:trPr>
        <w:tc>
          <w:tcPr>
            <w:tcW w:w="14615" w:type="dxa"/>
            <w:gridSpan w:val="25"/>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4615" w:type="dxa"/>
            <w:gridSpan w:val="25"/>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b/>
              </w:rPr>
            </w:pPr>
            <w:r>
              <w:rPr>
                <w:b/>
              </w:rPr>
              <w:t>Carry Forward Securities</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8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283"/>
              <w:jc w:val="center"/>
              <w:rPr/>
            </w:pPr>
            <w:r>
              <w:rPr/>
              <w:t>Carry Forward Securities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00" w:type="dxa"/>
            <w:gridSpan w:val="7"/>
            <w:tcBorders/>
            <w:shd w:fill="auto" w:val="clear"/>
            <w:vAlign w:val="bottom"/>
          </w:tcPr>
          <w:p>
            <w:pPr>
              <w:pStyle w:val="TableContents"/>
              <w:spacing w:before="0" w:after="283"/>
              <w:jc w:val="right"/>
              <w:rPr>
                <w:b/>
              </w:rPr>
            </w:pPr>
            <w:r>
              <w:rPr>
                <w:b/>
              </w:rPr>
              <w:t>Total Offering Amounts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$82,119,292.00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center"/>
              <w:rPr/>
            </w:pPr>
            <w:r>
              <w:rPr/>
              <w:t>$9,049.55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00" w:type="dxa"/>
            <w:gridSpan w:val="7"/>
            <w:tcBorders/>
            <w:shd w:fill="auto" w:val="clear"/>
            <w:vAlign w:val="bottom"/>
          </w:tcPr>
          <w:p>
            <w:pPr>
              <w:pStyle w:val="TableContents"/>
              <w:spacing w:before="0" w:after="283"/>
              <w:jc w:val="right"/>
              <w:rPr>
                <w:b/>
              </w:rPr>
            </w:pPr>
            <w:r>
              <w:rPr>
                <w:b/>
              </w:rPr>
              <w:t>Total 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center"/>
              <w:rPr/>
            </w:pPr>
            <w:r>
              <w:rPr/>
              <w:t>$ 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1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bottom w:val="single" w:sz="2" w:space="0" w:color="000000"/>
            </w:tcBorders>
            <w:shd w:fill="auto" w:val="clear"/>
            <w:tcMar>
              <w:left w:w="160" w:type="dxa"/>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700" w:type="dxa"/>
            <w:gridSpan w:val="7"/>
            <w:tcBorders>
              <w:bottom w:val="single" w:sz="2" w:space="0" w:color="000000"/>
            </w:tcBorders>
            <w:shd w:fill="auto" w:val="clear"/>
            <w:tcMar>
              <w:bottom w:w="28" w:type="dxa"/>
            </w:tcMar>
            <w:vAlign w:val="bottom"/>
          </w:tcPr>
          <w:p>
            <w:pPr>
              <w:pStyle w:val="TableContents"/>
              <w:spacing w:before="0" w:after="283"/>
              <w:jc w:val="right"/>
              <w:rPr>
                <w:b/>
              </w:rPr>
            </w:pPr>
            <w:r>
              <w:rPr>
                <w:b/>
              </w:rPr>
              <w:t>Total Fee Offsets</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tcBorders>
            <w:shd w:fill="auto" w:val="clear"/>
            <w:tcMar>
              <w:bottom w:w="28" w:type="dxa"/>
            </w:tcMar>
            <w:vAlign w:val="bottom"/>
          </w:tcPr>
          <w:p>
            <w:pPr>
              <w:pStyle w:val="TableContents"/>
              <w:spacing w:before="0" w:after="283"/>
              <w:jc w:val="center"/>
              <w:rPr/>
            </w:pPr>
            <w:r>
              <w:rPr/>
              <w:t>$8,959.21</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1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rHeight w:val="15" w:hRule="atLeast"/>
        </w:trPr>
        <w:tc>
          <w:tcPr>
            <w:tcW w:w="935"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89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35" w:type="dxa"/>
            <w:tcBorders>
              <w:left w:val="single" w:sz="2" w:space="0" w:color="000000"/>
              <w:bottom w:val="single" w:sz="2" w:space="0" w:color="000000"/>
            </w:tcBorders>
            <w:shd w:fill="auto" w:val="clear"/>
            <w:tcMar>
              <w:left w:w="160" w:type="dxa"/>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700" w:type="dxa"/>
            <w:gridSpan w:val="7"/>
            <w:tcBorders>
              <w:bottom w:val="single" w:sz="2" w:space="0" w:color="000000"/>
            </w:tcBorders>
            <w:shd w:fill="auto" w:val="clear"/>
            <w:tcMar>
              <w:bottom w:w="28" w:type="dxa"/>
            </w:tcMar>
            <w:vAlign w:val="bottom"/>
          </w:tcPr>
          <w:p>
            <w:pPr>
              <w:pStyle w:val="TableContents"/>
              <w:spacing w:before="0" w:after="283"/>
              <w:jc w:val="right"/>
              <w:rPr>
                <w:b/>
              </w:rPr>
            </w:pPr>
            <w:r>
              <w:rPr>
                <w:b/>
              </w:rPr>
              <w:t>Net Fee Due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tcBorders>
            <w:shd w:fill="auto" w:val="clear"/>
            <w:tcMar>
              <w:bottom w:w="28" w:type="dxa"/>
            </w:tcMar>
            <w:vAlign w:val="bottom"/>
          </w:tcPr>
          <w:p>
            <w:pPr>
              <w:pStyle w:val="TableContents"/>
              <w:spacing w:before="0" w:after="283"/>
              <w:jc w:val="center"/>
              <w:rPr/>
            </w:pPr>
            <w:r>
              <w:rPr/>
              <w:t>$90.34</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3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1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416(a) under the Securities Act, this Registration Statement shall also cover any additional shares of the Registrants Class A common stock, par value $0.0001 per share (Class A Common Stock), that become issuable as a result of any stock dividend, stock split, recapitalization, or other similar transaction effected without the receipt of consideration that results in an increase to the number of outstanding shares of Class A Common Stock, as applicable.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7,140,808 shares of the Registrants Class A Common Stock issuable by the Registrant upon the exercise of certain public warrants of the Registrant.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pursuant to Rule 457(g) under the Securities Act, based on the exercise price of the warrants.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Table 2: Fee Offset Claims and Sources </w:t>
      </w:r>
    </w:p>
    <w:p>
      <w:pPr>
        <w:pStyle w:val="TextBody"/>
        <w:spacing w:before="0" w:after="0"/>
        <w:jc w:val="left"/>
        <w:rPr/>
      </w:pPr>
      <w:r>
        <w:rPr/>
        <w:t> </w:t>
      </w:r>
    </w:p>
    <w:tbl>
      <w:tblPr>
        <w:tblW w:w="13155" w:type="dxa"/>
        <w:jc w:val="center"/>
        <w:tblInd w:w="0" w:type="dxa"/>
        <w:tblCellMar>
          <w:top w:w="0" w:type="dxa"/>
          <w:left w:w="0" w:type="dxa"/>
          <w:bottom w:w="0" w:type="dxa"/>
          <w:right w:w="0" w:type="dxa"/>
        </w:tblCellMar>
      </w:tblPr>
      <w:tblGrid>
        <w:gridCol w:w="680"/>
        <w:gridCol w:w="60"/>
        <w:gridCol w:w="1085"/>
        <w:gridCol w:w="60"/>
        <w:gridCol w:w="605"/>
        <w:gridCol w:w="60"/>
        <w:gridCol w:w="875"/>
        <w:gridCol w:w="60"/>
        <w:gridCol w:w="620"/>
        <w:gridCol w:w="60"/>
        <w:gridCol w:w="605"/>
        <w:gridCol w:w="60"/>
        <w:gridCol w:w="980"/>
        <w:gridCol w:w="60"/>
        <w:gridCol w:w="1100"/>
        <w:gridCol w:w="60"/>
        <w:gridCol w:w="1910"/>
        <w:gridCol w:w="60"/>
        <w:gridCol w:w="1100"/>
        <w:gridCol w:w="60"/>
        <w:gridCol w:w="1520"/>
        <w:gridCol w:w="60"/>
        <w:gridCol w:w="1415"/>
      </w:tblGrid>
      <w:tr>
        <w:trPr/>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4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7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b/>
              </w:rPr>
            </w:pPr>
            <w:r>
              <w:rPr>
                <w:b/>
              </w:rPr>
              <w:t>Registrant or</w:t>
              <w:br/>
              <w:t>Filer Name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center"/>
              <w:rPr>
                <w:b/>
              </w:rPr>
            </w:pPr>
            <w:r>
              <w:rPr>
                <w:b/>
              </w:rPr>
              <w:t>Form</w:t>
              <w:br/>
              <w:t>or</w:t>
              <w:br/>
              <w:t>Filing</w:t>
              <w:br/>
              <w:t>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b/>
              </w:rPr>
            </w:pPr>
            <w:r>
              <w:rPr>
                <w:b/>
              </w:rPr>
              <w:t>File Number</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b/>
              </w:rPr>
            </w:pPr>
            <w:r>
              <w:rPr>
                <w:b/>
              </w:rPr>
              <w:t>Initial Filing</w:t>
              <w:br/>
              <w:t>Date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center"/>
              <w:rPr>
                <w:b/>
              </w:rPr>
            </w:pPr>
            <w:r>
              <w:rPr>
                <w:b/>
              </w:rPr>
              <w:t>Filing Date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b/>
              </w:rPr>
            </w:pPr>
            <w:r>
              <w:rPr>
                <w:b/>
              </w:rPr>
              <w:t>Fee Offset</w:t>
              <w:br/>
              <w:t>Claimed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b/>
              </w:rPr>
            </w:pPr>
            <w:r>
              <w:rPr>
                <w:b/>
              </w:rPr>
              <w:t>Security</w:t>
              <w:br/>
              <w:t>Type</w:t>
              <w:br/>
              <w:t>Associated</w:t>
              <w:br/>
              <w:t>with Fee</w:t>
              <w:br/>
              <w:t>Offset</w:t>
              <w:br/>
              <w:t>Claimed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9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Security Title</w:t>
            </w:r>
          </w:p>
          <w:p>
            <w:pPr>
              <w:pStyle w:val="TableContents"/>
              <w:spacing w:before="0" w:after="20"/>
              <w:jc w:val="center"/>
              <w:rPr>
                <w:rFonts w:ascii="Times New Roman" w:hAnsi="Times New Roman"/>
                <w:b/>
                <w:sz w:val="14"/>
              </w:rPr>
            </w:pPr>
            <w:r>
              <w:rPr>
                <w:rFonts w:ascii="Times New Roman" w:hAnsi="Times New Roman"/>
                <w:b/>
                <w:sz w:val="14"/>
              </w:rPr>
              <w:t>Associated with Fee Offset</w:t>
              <w:br/>
              <w:t>Claimed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center"/>
              <w:rPr>
                <w:b/>
              </w:rPr>
            </w:pPr>
            <w:r>
              <w:rPr>
                <w:b/>
              </w:rPr>
              <w:t>Unsold</w:t>
              <w:br/>
              <w:t>Securities</w:t>
              <w:br/>
              <w:t>Associated</w:t>
              <w:br/>
              <w:t>with Fee</w:t>
              <w:br/>
              <w:t>Offset</w:t>
              <w:br/>
              <w:t>Claimed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b/>
              </w:rPr>
            </w:pPr>
            <w:r>
              <w:rPr>
                <w:b/>
              </w:rPr>
              <w:t>Unsold Aggregate</w:t>
              <w:br/>
              <w:t>Offering Amount</w:t>
              <w:br/>
              <w:t>Associated with Fee</w:t>
              <w:br/>
              <w:t>Offset Claimed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415" w:type="dxa"/>
            <w:tcBorders>
              <w:right w:val="single" w:sz="2" w:space="0" w:color="000000"/>
            </w:tcBorders>
            <w:shd w:fill="auto" w:val="clear"/>
            <w:tcMar>
              <w:right w:w="40" w:type="dxa"/>
            </w:tcMar>
            <w:vAlign w:val="bottom"/>
          </w:tcPr>
          <w:p>
            <w:pPr>
              <w:pStyle w:val="TableContents"/>
              <w:spacing w:before="0" w:after="283"/>
              <w:jc w:val="center"/>
              <w:rPr>
                <w:b/>
              </w:rPr>
            </w:pPr>
            <w:r>
              <w:rPr>
                <w:b/>
              </w:rPr>
              <w:t>Fee Paid with</w:t>
              <w:br/>
              <w:t>Fee Offset</w:t>
              <w:br/>
              <w:t>Source</w:t>
            </w:r>
          </w:p>
        </w:tc>
      </w:tr>
      <w:tr>
        <w:trPr>
          <w:trHeight w:val="15" w:hRule="atLeast"/>
        </w:trPr>
        <w:tc>
          <w:tcPr>
            <w:tcW w:w="13155" w:type="dxa"/>
            <w:gridSpan w:val="23"/>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3155" w:type="dxa"/>
            <w:gridSpan w:val="23"/>
            <w:tcBorders>
              <w:left w:val="single" w:sz="2" w:space="0" w:color="000000"/>
              <w:right w:val="single" w:sz="2" w:space="0" w:color="000000"/>
            </w:tcBorders>
            <w:shd w:fill="auto" w:val="clear"/>
            <w:tcMar>
              <w:left w:w="160" w:type="dxa"/>
              <w:right w:w="40" w:type="dxa"/>
            </w:tcMar>
          </w:tcPr>
          <w:p>
            <w:pPr>
              <w:pStyle w:val="TableContents"/>
              <w:spacing w:before="0" w:after="283"/>
              <w:jc w:val="center"/>
              <w:rPr>
                <w:b/>
              </w:rPr>
            </w:pPr>
            <w:r>
              <w:rPr>
                <w:b/>
              </w:rPr>
              <w:t>Rule 457(p)</w:t>
            </w:r>
          </w:p>
        </w:tc>
      </w:tr>
      <w:tr>
        <w:trPr>
          <w:trHeight w:val="1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4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7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80" w:type="dxa"/>
            <w:tcBorders>
              <w:left w:val="single" w:sz="2" w:space="0" w:color="000000"/>
            </w:tcBorders>
            <w:shd w:fill="auto" w:val="clear"/>
            <w:tcMar>
              <w:left w:w="160" w:type="dxa"/>
            </w:tcMar>
          </w:tcPr>
          <w:p>
            <w:pPr>
              <w:pStyle w:val="TableContents"/>
              <w:spacing w:before="0" w:after="0"/>
              <w:jc w:val="center"/>
              <w:rPr>
                <w:rFonts w:ascii="Times New Roman" w:hAnsi="Times New Roman"/>
                <w:b/>
                <w:sz w:val="20"/>
              </w:rPr>
            </w:pPr>
            <w:r>
              <w:rPr>
                <w:rFonts w:ascii="Times New Roman" w:hAnsi="Times New Roman"/>
                <w:b/>
                <w:sz w:val="20"/>
              </w:rPr>
              <w:t>Fee</w:t>
            </w:r>
          </w:p>
          <w:p>
            <w:pPr>
              <w:pStyle w:val="TableContents"/>
              <w:spacing w:before="0" w:after="0"/>
              <w:jc w:val="center"/>
              <w:rPr>
                <w:rFonts w:ascii="Times New Roman" w:hAnsi="Times New Roman"/>
                <w:b/>
                <w:sz w:val="20"/>
              </w:rPr>
            </w:pPr>
            <w:r>
              <w:rPr>
                <w:rFonts w:ascii="Times New Roman" w:hAnsi="Times New Roman"/>
                <w:b/>
                <w:sz w:val="20"/>
              </w:rPr>
              <w:t>Offset</w:t>
            </w:r>
          </w:p>
          <w:p>
            <w:pPr>
              <w:pStyle w:val="TableContents"/>
              <w:spacing w:before="0" w:after="20"/>
              <w:jc w:val="center"/>
              <w:rPr>
                <w:rFonts w:ascii="Times New Roman" w:hAnsi="Times New Roman"/>
                <w:b/>
                <w:sz w:val="20"/>
              </w:rPr>
            </w:pPr>
            <w:r>
              <w:rPr>
                <w:rFonts w:ascii="Times New Roman" w:hAnsi="Times New Roman"/>
                <w:b/>
                <w:sz w:val="20"/>
              </w:rPr>
              <w:t>Claims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VPC Impact</w:t>
            </w:r>
          </w:p>
          <w:p>
            <w:pPr>
              <w:pStyle w:val="TableContents"/>
              <w:spacing w:before="0" w:after="0"/>
              <w:rPr>
                <w:rFonts w:ascii="Times New Roman" w:hAnsi="Times New Roman"/>
                <w:sz w:val="20"/>
              </w:rPr>
            </w:pPr>
            <w:r>
              <w:rPr>
                <w:rFonts w:ascii="Times New Roman" w:hAnsi="Times New Roman"/>
                <w:sz w:val="20"/>
              </w:rPr>
              <w:t>Acquisition</w:t>
            </w:r>
          </w:p>
          <w:p>
            <w:pPr>
              <w:pStyle w:val="TableContents"/>
              <w:spacing w:before="0" w:after="20"/>
              <w:rPr>
                <w:rFonts w:ascii="Times New Roman" w:hAnsi="Times New Roman"/>
                <w:sz w:val="20"/>
              </w:rPr>
            </w:pPr>
            <w:r>
              <w:rPr>
                <w:rFonts w:ascii="Times New Roman" w:hAnsi="Times New Roman"/>
                <w:sz w:val="20"/>
              </w:rPr>
              <w:t>Holdings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r>
              <w:rPr/>
              <w:t>S-4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333-254935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03/31/2021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$8,959.21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9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w:t>
            </w:r>
          </w:p>
          <w:p>
            <w:pPr>
              <w:pStyle w:val="TableContents"/>
              <w:spacing w:before="0" w:after="0"/>
              <w:rPr>
                <w:rFonts w:ascii="Times New Roman" w:hAnsi="Times New Roman"/>
                <w:sz w:val="20"/>
              </w:rPr>
            </w:pPr>
            <w:r>
              <w:rPr>
                <w:rFonts w:ascii="Times New Roman" w:hAnsi="Times New Roman"/>
                <w:sz w:val="20"/>
              </w:rPr>
              <w:t>issuable upon exercise</w:t>
            </w:r>
          </w:p>
          <w:p>
            <w:pPr>
              <w:pStyle w:val="TableContents"/>
              <w:spacing w:before="0" w:after="0"/>
              <w:rPr>
                <w:rFonts w:ascii="Times New Roman" w:hAnsi="Times New Roman"/>
                <w:sz w:val="20"/>
              </w:rPr>
            </w:pPr>
            <w:r>
              <w:rPr>
                <w:rFonts w:ascii="Times New Roman" w:hAnsi="Times New Roman"/>
                <w:sz w:val="20"/>
              </w:rPr>
              <w:t>of the redeemable</w:t>
            </w:r>
          </w:p>
          <w:p>
            <w:pPr>
              <w:pStyle w:val="TableContents"/>
              <w:spacing w:before="0" w:after="20"/>
              <w:rPr>
                <w:rFonts w:ascii="Times New Roman" w:hAnsi="Times New Roman"/>
                <w:sz w:val="20"/>
              </w:rPr>
            </w:pPr>
            <w:r>
              <w:rPr>
                <w:rFonts w:ascii="Times New Roman" w:hAnsi="Times New Roman"/>
                <w:sz w:val="20"/>
              </w:rPr>
              <w:t>warrants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vAlign w:val="bottom"/>
          </w:tcPr>
          <w:p>
            <w:pPr>
              <w:pStyle w:val="TableContents"/>
              <w:spacing w:before="0" w:after="283"/>
              <w:rPr/>
            </w:pPr>
            <w:r>
              <w:rPr/>
              <w:t>7,140,808</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pPr>
            <w:r>
              <w:rPr/>
              <w:t>$82,119.292.00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41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4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6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97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7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28" w:type="dxa"/>
            </w:tcMar>
          </w:tcPr>
          <w:p>
            <w:pPr>
              <w:pStyle w:val="TableContents"/>
              <w:spacing w:before="0" w:after="0"/>
              <w:jc w:val="center"/>
              <w:rPr>
                <w:rFonts w:ascii="Times New Roman" w:hAnsi="Times New Roman"/>
                <w:b/>
                <w:sz w:val="20"/>
              </w:rPr>
            </w:pPr>
            <w:r>
              <w:rPr>
                <w:rFonts w:ascii="Times New Roman" w:hAnsi="Times New Roman"/>
                <w:b/>
                <w:sz w:val="20"/>
              </w:rPr>
              <w:t>Fee</w:t>
            </w:r>
          </w:p>
          <w:p>
            <w:pPr>
              <w:pStyle w:val="TableContents"/>
              <w:spacing w:before="0" w:after="0"/>
              <w:jc w:val="center"/>
              <w:rPr>
                <w:rFonts w:ascii="Times New Roman" w:hAnsi="Times New Roman"/>
                <w:b/>
                <w:sz w:val="20"/>
              </w:rPr>
            </w:pPr>
            <w:r>
              <w:rPr>
                <w:rFonts w:ascii="Times New Roman" w:hAnsi="Times New Roman"/>
                <w:b/>
                <w:sz w:val="20"/>
              </w:rPr>
              <w:t>Offset</w:t>
            </w:r>
          </w:p>
          <w:p>
            <w:pPr>
              <w:pStyle w:val="TableContents"/>
              <w:spacing w:before="0" w:after="20"/>
              <w:jc w:val="center"/>
              <w:rPr>
                <w:rFonts w:ascii="Times New Roman" w:hAnsi="Times New Roman"/>
                <w:b/>
                <w:sz w:val="20"/>
              </w:rPr>
            </w:pPr>
            <w:r>
              <w:rPr>
                <w:rFonts w:ascii="Times New Roman" w:hAnsi="Times New Roman"/>
                <w:b/>
                <w:sz w:val="20"/>
              </w:rPr>
              <w:t>Sources</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85"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VPC Impact</w:t>
            </w:r>
          </w:p>
          <w:p>
            <w:pPr>
              <w:pStyle w:val="TableContents"/>
              <w:spacing w:before="0" w:after="0"/>
              <w:rPr>
                <w:rFonts w:ascii="Times New Roman" w:hAnsi="Times New Roman"/>
                <w:sz w:val="20"/>
              </w:rPr>
            </w:pPr>
            <w:r>
              <w:rPr>
                <w:rFonts w:ascii="Times New Roman" w:hAnsi="Times New Roman"/>
                <w:sz w:val="20"/>
              </w:rPr>
              <w:t>Acquisition</w:t>
            </w:r>
          </w:p>
          <w:p>
            <w:pPr>
              <w:pStyle w:val="TableContents"/>
              <w:spacing w:before="0" w:after="20"/>
              <w:rPr>
                <w:rFonts w:ascii="Times New Roman" w:hAnsi="Times New Roman"/>
                <w:sz w:val="20"/>
              </w:rPr>
            </w:pPr>
            <w:r>
              <w:rPr>
                <w:rFonts w:ascii="Times New Roman" w:hAnsi="Times New Roman"/>
                <w:sz w:val="20"/>
              </w:rPr>
              <w:t>Holdings</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5" w:type="dxa"/>
            <w:tcBorders>
              <w:bottom w:val="single" w:sz="2" w:space="0" w:color="000000"/>
            </w:tcBorders>
            <w:shd w:fill="auto" w:val="clear"/>
            <w:tcMar>
              <w:bottom w:w="28" w:type="dxa"/>
            </w:tcMar>
            <w:vAlign w:val="bottom"/>
          </w:tcPr>
          <w:p>
            <w:pPr>
              <w:pStyle w:val="TableContents"/>
              <w:spacing w:before="0" w:after="283"/>
              <w:rPr/>
            </w:pPr>
            <w:r>
              <w:rPr/>
              <w:t> </w:t>
            </w:r>
            <w:r>
              <w:rPr/>
              <w:t>S-4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000000"/>
            </w:tcBorders>
            <w:shd w:fill="auto" w:val="clear"/>
            <w:tcMar>
              <w:bottom w:w="28" w:type="dxa"/>
            </w:tcMar>
            <w:vAlign w:val="bottom"/>
          </w:tcPr>
          <w:p>
            <w:pPr>
              <w:pStyle w:val="TableContents"/>
              <w:spacing w:before="0" w:after="283"/>
              <w:rPr/>
            </w:pPr>
            <w:r>
              <w:rPr/>
              <w:t>333-254935</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5" w:type="dxa"/>
            <w:tcBorders>
              <w:bottom w:val="single" w:sz="2" w:space="0" w:color="000000"/>
            </w:tcBorders>
            <w:shd w:fill="auto" w:val="clear"/>
            <w:tcMar>
              <w:bottom w:w="28" w:type="dxa"/>
            </w:tcMar>
            <w:vAlign w:val="bottom"/>
          </w:tcPr>
          <w:p>
            <w:pPr>
              <w:pStyle w:val="TableContents"/>
              <w:spacing w:before="0" w:after="283"/>
              <w:rPr/>
            </w:pPr>
            <w:r>
              <w:rPr/>
              <w:t>03/31/2021</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8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9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41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$8,959.21</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457(p) under the Securities Act, the Registrant is offsetting the registration fee due under this Registration Statement by $8,959.21, which represents the portion of the registration fee paid with respect to unsold securities that had previously been included in the Registrants registration statement on Form S-4, as amended (File No. 333-254935), which was originally filed with the Securities and Exchange Commission on March 31, 2021 and was declared effective by the Securities and Exchange Commission on September 16, 2021. The Registrant is withdrawing the unsold securities from such registration statement.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82030223000016/bakkt-20221231.htm" TargetMode="External"/><Relationship Id="rId4" Type="http://schemas.openxmlformats.org/officeDocument/2006/relationships/hyperlink" Target="http://www.sec.gov/Archives/edgar/data/../../../ix?doc=/Archives/edgar/data/0001820302/000119312522276398/d408337d8k.htm" TargetMode="External"/><Relationship Id="rId5" Type="http://schemas.openxmlformats.org/officeDocument/2006/relationships/hyperlink" Target="http://www.sec.gov/Archives/edgar/data/../../../ix?doc=/Archives/edgar/data/1820302/000182030223000006/bakkt-20230309.htm" TargetMode="External"/><Relationship Id="rId6" Type="http://schemas.openxmlformats.org/officeDocument/2006/relationships/hyperlink" Target="http://www.sec.gov/Archives/edgar/data/../../../ix?doc=/Archives/edgar/data/1820302/000119312523089016/d482123d8k.htm" TargetMode="External"/><Relationship Id="rId7" Type="http://schemas.openxmlformats.org/officeDocument/2006/relationships/hyperlink" Target="http://www.sec.gov/Archives/edgar/data/../../../ix?doc=/Archives/edgar/data/0001820302/000182030223000033/bakkt-20230418.htm" TargetMode="External"/><Relationship Id="rId8" Type="http://schemas.openxmlformats.org/officeDocument/2006/relationships/hyperlink" Target="http://www.sec.gov/Archives/edgar/data/../../../ix?doc=/Archives/edgar/data/1820302/000119312522096343/d322705d8ka.htm" TargetMode="External"/><Relationship Id="rId9" Type="http://schemas.openxmlformats.org/officeDocument/2006/relationships/hyperlink" Target="http://www.sec.gov/Archives/edgar/data/../../../ix?doc=/Archives/edgar/data/0001820302/000182030223000030/bakkt-20230401.htm" TargetMode="External"/><Relationship Id="rId10" Type="http://schemas.openxmlformats.org/officeDocument/2006/relationships/hyperlink" Target="http://www.sec.gov/Archives/edgar/data/1820302/000119312521299620/d211377d8a12b.htm" TargetMode="External"/><Relationship Id="rId11" Type="http://schemas.openxmlformats.org/officeDocument/2006/relationships/hyperlink" Target="http://www.sec.gov/Archives/edgar/data/1820302/000119312521005832/d913171dex21.htm" TargetMode="External"/><Relationship Id="rId12" Type="http://schemas.openxmlformats.org/officeDocument/2006/relationships/hyperlink" Target="http://www.sec.gov/Archives/edgar/data/1820302/000119312521101249/d107545dex21.htm" TargetMode="External"/><Relationship Id="rId13" Type="http://schemas.openxmlformats.org/officeDocument/2006/relationships/hyperlink" Target="http://www.sec.gov/Archives/edgar/data/1820302/000119312521286927/d204551dex21.htm" TargetMode="External"/><Relationship Id="rId14" Type="http://schemas.openxmlformats.org/officeDocument/2006/relationships/hyperlink" Target="http://www.sec.gov/Archives/edgar/data/1820302/000119312521303985/d219325dex31.htm" TargetMode="External"/><Relationship Id="rId15" Type="http://schemas.openxmlformats.org/officeDocument/2006/relationships/hyperlink" Target="http://www.sec.gov/Archives/edgar/data/1820302/000119312521303985/d219325dex32.htm" TargetMode="External"/><Relationship Id="rId16" Type="http://schemas.openxmlformats.org/officeDocument/2006/relationships/hyperlink" Target="http://www.sec.gov/Archives/edgar/data/1820302/000119312521303985/d219325dex41.htm" TargetMode="External"/><Relationship Id="rId17" Type="http://schemas.openxmlformats.org/officeDocument/2006/relationships/hyperlink" Target="http://www.sec.gov/Archives/edgar/data/1820302/000119312521303985/d219325dex42.htm" TargetMode="External"/><Relationship Id="rId18" Type="http://schemas.openxmlformats.org/officeDocument/2006/relationships/hyperlink" Target="http://www.sec.gov/Archives/edgar/data/1820302/000119312520256308/d38926dex41.htm" TargetMode="External"/><Relationship Id="rId19" Type="http://schemas.openxmlformats.org/officeDocument/2006/relationships/hyperlink" Target="http://www.sec.gov/Archives/edgar/data/1820302/000119312521303985/d219325dex43.htm" TargetMode="External"/><Relationship Id="rId20" Type="http://schemas.openxmlformats.org/officeDocument/2006/relationships/image" Target="media/image2.jpeg"/><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9187</Words>
  <CharactersWithSpaces>57424</CharactersWithSpaces>
  <Paragraphs>1112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