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05759B305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28,265.00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28,265.00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28,265.00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 OO</w:t>
      </w:r>
    </w:p>
    <w:p>
      <w:pPr>
        <w:spacing w:after="0" w:line="200" w:lineRule="exact"/>
        <w:rPr>
          <w:sz w:val="20"/>
          <w:szCs w:val="20"/>
          <w:color w:val="auto"/>
        </w:rPr>
      </w:pPr>
    </w:p>
    <w:p>
      <w:pPr>
        <w:sectPr>
          <w:pgSz w:w="11900" w:h="16847" w:orient="portrait"/>
          <w:cols w:equalWidth="0" w:num="2">
            <w:col w:w="1100" w:space="60"/>
            <w:col w:w="10040"/>
          </w:cols>
          <w:pgMar w:left="320" w:top="166" w:right="37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reported in this Schedule 13G are based upon 15,962,402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comprised of (i) 15,934,137 Shares outstanding as of September 3, 2025 (according to the issuer's proxy statement as filed with the Securities and Exchange Commission on September 9, 2025), and (ii) 28,265 Shares issuable upon conversion of certain warrants held by affiliates of the reporting persons.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Citadel Advisors Holdings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28,265.00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5"/>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28,265.00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47" w:orient="portrait"/>
          <w:cols w:equalWidth="0" w:num="1">
            <w:col w:w="11200"/>
          </w:cols>
          <w:pgMar w:left="320" w:top="166" w:right="379"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28,265.00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355" w:right="1440" w:bottom="144"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28,265.00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28,265.00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28,265.00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38" w:orient="portrait"/>
          <w:cols w:equalWidth="0" w:num="2">
            <w:col w:w="1060" w:space="60"/>
            <w:col w:w="8979"/>
          </w:cols>
          <w:pgMar w:left="360" w:top="355" w:right="1440" w:bottom="144"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355" w:right="1440" w:bottom="144" w:gutter="0" w:footer="0" w:header="0"/>
          <w:type w:val="continuous"/>
        </w:sect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ectPr>
          <w:pgSz w:w="11900" w:h="16838" w:orient="portrait"/>
          <w:cols w:equalWidth="0" w:num="1">
            <w:col w:w="10099"/>
          </w:cols>
          <w:pgMar w:left="360" w:top="355" w:right="1440" w:bottom="144" w:gutter="0" w:footer="0" w:header="0"/>
          <w:type w:val="continuous"/>
        </w:sectPr>
      </w:pPr>
    </w:p>
    <w:bookmarkStart w:id="3" w:name="page4"/>
    <w:bookmarkEnd w:id="3"/>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Citadel Securities LLC</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397,678.00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397,678.00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397,678.00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 OO</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Securities Group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397,678.00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112" w:right="1440" w:bottom="0"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Shared Dispositive</w:t>
      </w:r>
    </w:p>
    <w:p>
      <w:pPr>
        <w:ind w:left="116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397,678.00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397,678.00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Securities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397,678.00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397,678.00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397,678.00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ectPr>
          <w:pgSz w:w="11900" w:h="16838" w:orient="portrait"/>
          <w:cols w:equalWidth="0" w:num="2">
            <w:col w:w="1060" w:space="60"/>
            <w:col w:w="8979"/>
          </w:cols>
          <w:pgMar w:left="360" w:top="355" w:right="1440" w:bottom="0" w:gutter="0" w:footer="0" w:header="0"/>
          <w:type w:val="continuous"/>
        </w:sectPr>
      </w:pPr>
    </w:p>
    <w:bookmarkStart w:id="5" w:name="page6"/>
    <w:bookmarkEnd w:id="5"/>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Kenneth Griffin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71" w:orient="portrait"/>
          <w:cols w:equalWidth="0" w:num="1">
            <w:col w:w="10980"/>
          </w:cols>
          <w:pgMar w:left="360" w:top="567" w:right="55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425,943.00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425,943.00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425,943.00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71" w:orient="portrait"/>
          <w:cols w:equalWidth="0" w:num="2">
            <w:col w:w="1060" w:space="60"/>
            <w:col w:w="9860"/>
          </w:cols>
          <w:pgMar w:left="360" w:top="567" w:right="55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Bakkt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10000 Avalon Boulevard, Suite 1000, Alpharetta, GA, 30009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20"/>
        <w:spacing w:after="0" w:line="25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 issuer owned by Citadel Multi-Strategy Equities Master Fund Ltd., a Cayman Islands company ("CM"), and</w:t>
      </w:r>
    </w:p>
    <w:p>
      <w:pPr>
        <w:sectPr>
          <w:pgSz w:w="11900" w:h="16871" w:orient="portrait"/>
          <w:cols w:equalWidth="0" w:num="1">
            <w:col w:w="10980"/>
          </w:cols>
          <w:pgMar w:left="360" w:top="567" w:right="559" w:bottom="0" w:gutter="0" w:footer="0" w:header="0"/>
          <w:type w:val="continuous"/>
        </w:sectPr>
      </w:pPr>
    </w:p>
    <w:bookmarkStart w:id="6" w:name="page7"/>
    <w:bookmarkEnd w:id="6"/>
    <w:p>
      <w:pPr>
        <w:ind w:left="920" w:right="80"/>
        <w:spacing w:after="0" w:line="249" w:lineRule="auto"/>
        <w:rPr>
          <w:sz w:val="20"/>
          <w:szCs w:val="20"/>
          <w:color w:val="auto"/>
        </w:rPr>
      </w:pPr>
      <w:r>
        <w:rPr>
          <w:rFonts w:ascii="Times New Roman" w:cs="Times New Roman" w:eastAsia="Times New Roman" w:hAnsi="Times New Roman"/>
          <w:sz w:val="21"/>
          <w:szCs w:val="21"/>
          <w:color w:val="auto"/>
        </w:rPr>
        <w:t>Citadel Securities. Such owned Shares may include other instruments exercisable for or convertible into Shares. Citadel Advisors is the portfolio manager for CM. CAH is the sole member of Citadel Advisors. CGP is the general partner of CAH. CALC4 is the non-member manager of Citadel Securities. CSGP is the general partner of CALC4. Mr. Griffin is the President and Chief Executive Officer of CGP, and owns a controlling interest in CGP and CSGP. The filing of this statement shall not be construed as an admission that any of the Reporting Persons is the beneficial owner of any securities covered by the statement other than the securities actually owned by such person (if any).</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The address of each of the Reporting Persons is 830 Brickell Plaza, Miami, Florida 33131.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180" w:hanging="912"/>
        <w:spacing w:after="0" w:line="244"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$0.0001 per share (the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05759B305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12"/>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jc w:val="both"/>
        <w:ind w:left="920" w:hanging="912"/>
        <w:spacing w:after="0" w:line="187" w:lineRule="auto"/>
        <w:tabs>
          <w:tab w:leader="none" w:pos="920" w:val="left"/>
        </w:tabs>
        <w:numPr>
          <w:ilvl w:val="0"/>
          <w:numId w:val="1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1. Each of Citadel Advisors LLC, Citadel Advisors Holdings LP and Citadel GP LLC may be deemed to beneficially own 28,265 Shares. 2. Citadel Securities LLC may be deemed to beneficially own 397,678 Shares. 3. Each of Citadel Securities Group LP and Citadel Securities GP LLC may be deemed to beneficially own 397,678 Shares. 4. Mr.</w:t>
      </w:r>
    </w:p>
    <w:p>
      <w:pPr>
        <w:ind w:left="920" w:right="4980"/>
        <w:spacing w:after="0" w:line="286"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Griffin may be deemed to beneficially own 425,943 Shares. Percent of class:</w:t>
      </w:r>
    </w:p>
    <w:p>
      <w:pPr>
        <w:spacing w:after="0" w:line="156" w:lineRule="exact"/>
        <w:rPr>
          <w:rFonts w:ascii="Times New Roman" w:cs="Times New Roman" w:eastAsia="Times New Roman" w:hAnsi="Times New Roman"/>
          <w:sz w:val="42"/>
          <w:szCs w:val="42"/>
          <w:color w:val="auto"/>
          <w:vertAlign w:val="subscript"/>
        </w:rPr>
      </w:pPr>
    </w:p>
    <w:p>
      <w:pPr>
        <w:ind w:left="1140" w:hanging="214"/>
        <w:spacing w:after="0"/>
        <w:tabs>
          <w:tab w:leader="none" w:pos="114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Shares that each of Citadel Advisors LLC, Citadel Advisors Holdings LP and Citadel GP LLC may</w:t>
      </w:r>
    </w:p>
    <w:p>
      <w:pPr>
        <w:spacing w:after="0" w:line="25" w:lineRule="exact"/>
        <w:rPr>
          <w:rFonts w:ascii="Times New Roman" w:cs="Times New Roman" w:eastAsia="Times New Roman" w:hAnsi="Times New Roman"/>
          <w:sz w:val="21"/>
          <w:szCs w:val="21"/>
          <w:color w:val="auto"/>
        </w:rPr>
      </w:pPr>
    </w:p>
    <w:p>
      <w:pPr>
        <w:ind w:left="920" w:right="140" w:hanging="912"/>
        <w:spacing w:after="0" w:line="196" w:lineRule="auto"/>
        <w:tabs>
          <w:tab w:leader="none" w:pos="920" w:val="left"/>
        </w:tabs>
        <w:numPr>
          <w:ilvl w:val="0"/>
          <w:numId w:val="1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be deemed to beneficially own constitutes 0.2% of the Shares outstanding. 2. The number of Shares that Citadel Securities LLC may be deemed to beneficially own constitutes 2.5% of the Shares outstanding. 3. The number of Shares that each of Citadel Securities Group LP and Citadel Securities GP LLC may be deemed to beneficially own constitutes 2.5% of the Shares outstanding. 4. The number of Shares that Mr. Griffin may be deemed to beneficially own constitutes 2.7% of the Shares outstanding. %</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rFonts w:ascii="Times New Roman" w:cs="Times New Roman" w:eastAsia="Times New Roman" w:hAnsi="Times New Roman"/>
          <w:sz w:val="22"/>
          <w:szCs w:val="22"/>
          <w:color w:val="auto"/>
        </w:rPr>
      </w:pPr>
    </w:p>
    <w:p>
      <w:pPr>
        <w:ind w:left="1140" w:hanging="214"/>
        <w:spacing w:after="0"/>
        <w:tabs>
          <w:tab w:leader="none" w:pos="114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Citadel Advisors LLC, Citadel Advisors Holdings LP and Citadel GP LLC: 0 2. Citadel Securities LLC: 0</w:t>
      </w:r>
    </w:p>
    <w:p>
      <w:pPr>
        <w:spacing w:after="0" w:line="25" w:lineRule="exact"/>
        <w:rPr>
          <w:rFonts w:ascii="Times New Roman" w:cs="Times New Roman" w:eastAsia="Times New Roman" w:hAnsi="Times New Roman"/>
          <w:sz w:val="21"/>
          <w:szCs w:val="21"/>
          <w:color w:val="auto"/>
        </w:rPr>
      </w:pPr>
    </w:p>
    <w:p>
      <w:pPr>
        <w:ind w:left="1140" w:hanging="214"/>
        <w:spacing w:after="0"/>
        <w:tabs>
          <w:tab w:leader="none" w:pos="114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Securities Group LP and Citadel Securities GP LLC: 0 4. Mr. Griffin: 0</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240" w:firstLine="6"/>
        <w:spacing w:after="0" w:line="244" w:lineRule="auto"/>
        <w:tabs>
          <w:tab w:leader="none" w:pos="113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Advisors LLC, Citadel Advisors Holdings LP and Citadel GP LLC: 28,265 2. Citadel Securities LLC: 397,678 3. Each of Citadel Securities Group LP and Citadel Securities GP LLC: 397,678 4. Mr. Griffin: 425,943</w:t>
      </w:r>
    </w:p>
    <w:p>
      <w:pPr>
        <w:sectPr>
          <w:pgSz w:w="11900" w:h="16838" w:orient="portrait"/>
          <w:cols w:equalWidth="0" w:num="1">
            <w:col w:w="11080"/>
          </w:cols>
          <w:pgMar w:left="360" w:top="111" w:right="459" w:bottom="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220" w:hanging="214"/>
        <w:spacing w:after="0"/>
        <w:tabs>
          <w:tab w:leader="none" w:pos="22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Citadel Advisors LLC, Citadel Advisors Holdings LP and Citadel GP LLC: 0 2. Citadel Securities LLC: 0</w:t>
      </w:r>
    </w:p>
    <w:p>
      <w:pPr>
        <w:spacing w:after="0" w:line="25" w:lineRule="exact"/>
        <w:rPr>
          <w:rFonts w:ascii="Times New Roman" w:cs="Times New Roman" w:eastAsia="Times New Roman" w:hAnsi="Times New Roman"/>
          <w:sz w:val="21"/>
          <w:szCs w:val="21"/>
          <w:color w:val="auto"/>
        </w:rPr>
      </w:pPr>
    </w:p>
    <w:p>
      <w:pPr>
        <w:ind w:left="220" w:hanging="214"/>
        <w:spacing w:after="0"/>
        <w:tabs>
          <w:tab w:leader="none" w:pos="2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Securities Group LP and Citadel Securities GP LLC: 0 4. Mr. Griffin: 0</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300" w:firstLine="6"/>
        <w:spacing w:after="0" w:line="244" w:lineRule="auto"/>
        <w:tabs>
          <w:tab w:leader="none" w:pos="21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Advisors LLC, Citadel Advisors Holdings LP and Citadel GP LLC: 28,265 2. Citadel Securities LLC: 397,678 3. Each of Citadel Securities Group LP and Citadel Securities GP LLC: 397,678 4. Mr. Griffin: 425,943</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901" w:orient="portrait"/>
          <w:cols w:equalWidth="0" w:num="2">
            <w:col w:w="720" w:space="200"/>
            <w:col w:w="10220"/>
          </w:cols>
          <w:pgMar w:left="360" w:top="409"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Citadel Advisors LLC</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Citadel Advisors Holdings LP</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Citadel GP LLC</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Citadel Securities LLC</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Citadel Securities Group LP</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Citadel Securities GP LLC</w:t>
      </w:r>
    </w:p>
    <w:p>
      <w:pPr>
        <w:sectPr>
          <w:pgSz w:w="11900" w:h="16901" w:orient="portrait"/>
          <w:cols w:equalWidth="0" w:num="1">
            <w:col w:w="11140"/>
          </w:cols>
          <w:pgMar w:left="360" w:top="409" w:right="399" w:bottom="0" w:gutter="0" w:footer="0" w:header="0"/>
          <w:type w:val="continuous"/>
        </w:sectPr>
      </w:pPr>
    </w:p>
    <w:bookmarkStart w:id="8" w:name="page9"/>
    <w:bookmarkEnd w:id="8"/>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Kenneth Griffin</w:t>
      </w:r>
    </w:p>
    <w:p>
      <w:pPr>
        <w:spacing w:after="0" w:line="152"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Seth Levy, attorney-in-fact*</w:t>
      </w:r>
    </w:p>
    <w:p>
      <w:pPr>
        <w:spacing w:after="0" w:line="44"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31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Seth Levy is signing on behalf of Kenneth Griffin as attorney-in-fact pursuant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power of attorney previously filed with the Securities and Exchange Commission, and hereby incorporated by reference herein. The power of attorney was filed as an attachment to a filing by Citadel Advisors LLC on Schedule 13G for Allakos Inc. on October 13, 2023.</w:t>
      </w:r>
    </w:p>
    <w:sectPr>
      <w:pgSz w:w="11900" w:h="16838" w:orient="portrait"/>
      <w:cols w:equalWidth="0" w:num="1">
        <w:col w:w="11020"/>
      </w:cols>
      <w:pgMar w:left="320" w:top="27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2"/>
      <w:numFmt w:val="bullet"/>
      <w:start w:val="1"/>
    </w:lvl>
  </w:abstractNum>
  <w:abstractNum w:abstractNumId="1">
    <w:nsid w:val="216231B"/>
    <w:multiLevelType w:val="hybridMultilevel"/>
    <w:lvl w:ilvl="0">
      <w:lvlJc w:val="left"/>
      <w:lvlText w:val="3"/>
      <w:numFmt w:val="bullet"/>
      <w:start w:val="1"/>
    </w:lvl>
  </w:abstractNum>
  <w:abstractNum w:abstractNumId="2">
    <w:nsid w:val="1F16E9E8"/>
    <w:multiLevelType w:val="hybridMultilevel"/>
    <w:lvl w:ilvl="0">
      <w:lvlJc w:val="left"/>
      <w:lvlText w:val="2"/>
      <w:numFmt w:val="bullet"/>
      <w:start w:val="1"/>
    </w:lvl>
  </w:abstractNum>
  <w:abstractNum w:abstractNumId="3">
    <w:nsid w:val="1190CDE7"/>
    <w:multiLevelType w:val="hybridMultilevel"/>
    <w:lvl w:ilvl="0">
      <w:lvlJc w:val="left"/>
      <w:lvlText w:val="3"/>
      <w:numFmt w:val="bullet"/>
      <w:start w:val="1"/>
    </w:lvl>
  </w:abstractNum>
  <w:abstractNum w:abstractNumId="4">
    <w:nsid w:val="66EF438D"/>
    <w:multiLevelType w:val="hybridMultilevel"/>
    <w:lvl w:ilvl="0">
      <w:lvlJc w:val="left"/>
      <w:lvlText w:val="9"/>
      <w:numFmt w:val="bullet"/>
      <w:start w:val="1"/>
    </w:lvl>
  </w:abstractNum>
  <w:abstractNum w:abstractNumId="5">
    <w:nsid w:val="140E0F76"/>
    <w:multiLevelType w:val="hybridMultilevel"/>
    <w:lvl w:ilvl="0">
      <w:lvlJc w:val="left"/>
      <w:lvlText w:val="1"/>
      <w:numFmt w:val="bullet"/>
      <w:start w:val="1"/>
    </w:lvl>
  </w:abstractNum>
  <w:abstractNum w:abstractNumId="6">
    <w:nsid w:val="3352255A"/>
    <w:multiLevelType w:val="hybridMultilevel"/>
    <w:lvl w:ilvl="0">
      <w:lvlJc w:val="left"/>
      <w:lvlText w:val="2"/>
      <w:numFmt w:val="bullet"/>
      <w:start w:val="1"/>
    </w:lvl>
  </w:abstractNum>
  <w:abstractNum w:abstractNumId="7">
    <w:nsid w:val="109CF92E"/>
    <w:multiLevelType w:val="hybridMultilevel"/>
    <w:lvl w:ilvl="0">
      <w:lvlJc w:val="left"/>
      <w:lvlText w:val="3"/>
      <w:numFmt w:val="bullet"/>
      <w:start w:val="1"/>
    </w:lvl>
  </w:abstractNum>
  <w:abstractNum w:abstractNumId="8">
    <w:nsid w:val="DED7263"/>
    <w:multiLevelType w:val="hybridMultilevel"/>
    <w:lvl w:ilvl="0">
      <w:lvlJc w:val="left"/>
      <w:lvlText w:val="2"/>
      <w:numFmt w:val="bullet"/>
      <w:start w:val="1"/>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1)"/>
      <w:numFmt w:val="lowerLetter"/>
      <w:start w:val="3"/>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11"/>
    </w:lvl>
  </w:abstractNum>
  <w:abstractNum w:abstractNumId="13">
    <w:nsid w:val="4E6AFB66"/>
    <w:multiLevelType w:val="hybridMultilevel"/>
    <w:lvl w:ilvl="0">
      <w:lvlJc w:val="left"/>
      <w:lvlText w:val="(%1)"/>
      <w:numFmt w:val="lowerLetter"/>
      <w:start w:val="1"/>
    </w:lvl>
    <w:lvl w:ilvl="1">
      <w:lvlJc w:val="left"/>
      <w:lvlText w:val="%2."/>
      <w:numFmt w:val="decimal"/>
      <w:start w:val="1"/>
    </w:lvl>
  </w:abstractNum>
  <w:abstractNum w:abstractNumId="14">
    <w:nsid w:val="25E45D32"/>
    <w:multiLevelType w:val="hybridMultilevel"/>
    <w:lvl w:ilvl="0">
      <w:lvlJc w:val="left"/>
      <w:lvlText w:val="%1"/>
      <w:numFmt w:val="lowerLetter"/>
      <w:start w:val="1"/>
    </w:lvl>
    <w:lvl w:ilvl="1">
      <w:lvlJc w:val="left"/>
      <w:lvlText w:val="%2."/>
      <w:numFmt w:val="decimal"/>
      <w:start w:val="3"/>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3"/>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2025-11-14T15:19:00Z</dcterms:created>
  <dcterms:modified xsi:type="dcterms:W3CDTF">2025-11-14T15:19:00Z</dcterms:modified>
</cp:coreProperties>
</file>