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9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71"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001-39544</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005" w:type="dxa"/>
        <w:jc w:val="left"/>
        <w:tblInd w:w="0" w:type="dxa"/>
        <w:tblLayout w:type="fixed"/>
        <w:tblCellMar>
          <w:top w:w="28" w:type="dxa"/>
          <w:left w:w="28" w:type="dxa"/>
          <w:bottom w:w="28" w:type="dxa"/>
          <w:right w:w="28" w:type="dxa"/>
        </w:tblCellMar>
      </w:tblPr>
      <w:tblGrid>
        <w:gridCol w:w="997"/>
        <w:gridCol w:w="876"/>
        <w:gridCol w:w="887"/>
        <w:gridCol w:w="364"/>
        <w:gridCol w:w="364"/>
        <w:gridCol w:w="517"/>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41-2324812</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3280 Peachtree Rd NE</w:t>
            </w:r>
          </w:p>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Suites 07-128, 07-130 &amp; 07-132</w:t>
            </w:r>
          </w:p>
          <w:p>
            <w:pPr>
              <w:pStyle w:val="TableContents"/>
              <w:bidi w:val="0"/>
              <w:spacing w:lineRule="auto" w:line="240" w:before="0" w:after="15"/>
              <w:jc w:val="center"/>
              <w:rPr>
                <w:rFonts w:ascii="Times New Roman;serif" w:hAnsi="Times New Roman;serif"/>
                <w:b/>
                <w:color w:val="000000"/>
                <w:sz w:val="20"/>
              </w:rPr>
            </w:pPr>
            <w:r>
              <w:rPr>
                <w:rFonts w:ascii="Times New Roman;serif" w:hAnsi="Times New Roman;serif"/>
                <w:b/>
                <w:color w:val="000000"/>
                <w:sz w:val="20"/>
              </w:rPr>
              <w:t>Atlanta, Georgia</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(332) 203 3017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76"/>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left"/>
        <w:rPr/>
      </w:pPr>
      <w:r>
        <w:rPr/>
      </w:r>
    </w:p>
    <w:tbl>
      <w:tblPr>
        <w:tblW w:w="9412" w:type="dxa"/>
        <w:jc w:val="left"/>
        <w:tblInd w:w="0" w:type="dxa"/>
        <w:tblLayout w:type="fixed"/>
        <w:tblCellMar>
          <w:top w:w="28" w:type="dxa"/>
          <w:left w:w="28" w:type="dxa"/>
          <w:bottom w:w="28" w:type="dxa"/>
          <w:right w:w="28" w:type="dxa"/>
        </w:tblCellMar>
      </w:tblPr>
      <w:tblGrid>
        <w:gridCol w:w="1426"/>
        <w:gridCol w:w="1251"/>
        <w:gridCol w:w="1268"/>
        <w:gridCol w:w="109"/>
        <w:gridCol w:w="109"/>
        <w:gridCol w:w="109"/>
        <w:gridCol w:w="499"/>
        <w:gridCol w:w="499"/>
        <w:gridCol w:w="501"/>
        <w:gridCol w:w="109"/>
        <w:gridCol w:w="109"/>
        <w:gridCol w:w="109"/>
        <w:gridCol w:w="970"/>
        <w:gridCol w:w="970"/>
        <w:gridCol w:w="137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BKKT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New York Stock Exchange</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Warrants to purchase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BKKT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New York Stock Exchange</w:t>
            </w:r>
          </w:p>
        </w:tc>
      </w:tr>
    </w:tbl>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p>
    <w:p>
      <w:pPr>
        <w:pStyle w:val="TextBody"/>
        <w:bidi w:val="0"/>
        <w:spacing w:lineRule="auto" w:line="240" w:before="80" w:after="283"/>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80" w:after="283"/>
        <w:ind w:left="0" w:right="0" w:firstLine="576"/>
        <w:jc w:val="left"/>
        <w:rPr/>
      </w:pPr>
      <w:r>
        <w:rPr>
          <w:rFonts w:ascii="Times New Roman;serif" w:hAnsi="Times New Roman;serif"/>
          <w:b w:val="false"/>
          <w:color w:val="000000"/>
          <w:sz w:val="18"/>
        </w:rPr>
        <w:t xml:space="preserve">Indicate by check mark whether the registrant is a shell company (as defined in Rule 12b-2 of the Exchange Act).Yes ☐ No </w:t>
      </w:r>
      <w:r>
        <w:rPr>
          <w:color w:val="000000"/>
        </w:rPr>
        <w:t>☒</w:t>
      </w:r>
    </w:p>
    <w:p>
      <w:pPr>
        <w:pStyle w:val="TextBody"/>
        <w:bidi w:val="0"/>
        <w:spacing w:lineRule="auto" w:line="240" w:before="80" w:after="283"/>
        <w:ind w:left="0" w:right="0" w:firstLine="576"/>
        <w:jc w:val="left"/>
        <w:rPr>
          <w:rFonts w:ascii="Times New Roman;serif" w:hAnsi="Times New Roman;serif"/>
          <w:b w:val="false"/>
          <w:color w:val="000000"/>
          <w:sz w:val="18"/>
        </w:rPr>
      </w:pPr>
      <w:r>
        <w:rPr>
          <w:rFonts w:ascii="Times New Roman;serif" w:hAnsi="Times New Roman;serif"/>
          <w:b w:val="false"/>
          <w:color w:val="000000"/>
          <w:sz w:val="18"/>
        </w:rPr>
        <w:t>As of August 5, 2026, there were 45,069,458 shares of the registrant’s Class A Common Stock, 7,140,383 public warrants, 1,153,200 Class 1 warrants and 864,650 Class 2 warrants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9404" w:type="dxa"/>
        <w:jc w:val="left"/>
        <w:tblInd w:w="0" w:type="dxa"/>
        <w:tblLayout w:type="fixed"/>
        <w:tblCellMar>
          <w:top w:w="28" w:type="dxa"/>
          <w:left w:w="28" w:type="dxa"/>
          <w:bottom w:w="28" w:type="dxa"/>
          <w:right w:w="28" w:type="dxa"/>
        </w:tblCellMar>
      </w:tblPr>
      <w:tblGrid>
        <w:gridCol w:w="320"/>
        <w:gridCol w:w="281"/>
        <w:gridCol w:w="283"/>
        <w:gridCol w:w="2668"/>
        <w:gridCol w:w="2668"/>
        <w:gridCol w:w="2673"/>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13">
              <w:r>
                <w:rPr>
                  <w:rStyle w:val="InternetLink"/>
                  <w:rFonts w:ascii="Times New Roman;serif" w:hAnsi="Times New Roman;serif"/>
                  <w:b w:val="false"/>
                  <w:color w:val="0E32E1"/>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16">
              <w:r>
                <w:rPr>
                  <w:rStyle w:val="InternetLink"/>
                  <w:rFonts w:ascii="Times New Roman;serif" w:hAnsi="Times New Roman;serif"/>
                  <w:b w:val="false"/>
                  <w:color w:val="0E32E1"/>
                  <w:sz w:val="20"/>
                  <w:u w:val="single"/>
                </w:rPr>
                <w:t>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16">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19">
              <w:r>
                <w:rPr>
                  <w:rStyle w:val="InternetLink"/>
                  <w:rFonts w:ascii="Times New Roman;serif" w:hAnsi="Times New Roman;serif"/>
                  <w:b w:val="false"/>
                  <w:color w:val="0E32E1"/>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19">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2">
              <w:r>
                <w:rPr>
                  <w:rStyle w:val="InternetLink"/>
                  <w:rFonts w:ascii="Times New Roman;serif" w:hAnsi="Times New Roman;serif"/>
                  <w:b w:val="false"/>
                  <w:color w:val="0E32E1"/>
                  <w:sz w:val="20"/>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2">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5">
              <w:r>
                <w:rPr>
                  <w:rStyle w:val="InternetLink"/>
                  <w:rFonts w:ascii="Times New Roman;serif" w:hAnsi="Times New Roman;serif"/>
                  <w:b w:val="false"/>
                  <w:color w:val="0E32E1"/>
                  <w:sz w:val="20"/>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5">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8">
              <w:r>
                <w:rPr>
                  <w:rStyle w:val="InternetLink"/>
                  <w:rFonts w:ascii="Times New Roman;serif" w:hAnsi="Times New Roman;serif"/>
                  <w:b w:val="false"/>
                  <w:color w:val="0E32E1"/>
                  <w:sz w:val="20"/>
                  <w:u w:val="single"/>
                </w:rPr>
                <w:t>Consolidated Statements of Changes in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8">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31">
              <w:r>
                <w:rPr>
                  <w:rStyle w:val="InternetLink"/>
                  <w:rFonts w:ascii="Times New Roman;serif" w:hAnsi="Times New Roman;serif"/>
                  <w:b w:val="false"/>
                  <w:color w:val="0E32E1"/>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31">
              <w:r>
                <w:rPr>
                  <w:rStyle w:val="InternetLink"/>
                  <w:rFonts w:ascii="Times New Roman;serif" w:hAnsi="Times New Roman;serif"/>
                  <w:b w:val="false"/>
                  <w:strike w:val="false"/>
                  <w:dstrike w:val="false"/>
                  <w:color w:val="000000"/>
                  <w:sz w:val="20"/>
                  <w:u w:val="none"/>
                  <w:effect w:val="none"/>
                </w:rPr>
                <w:t>11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34">
              <w:r>
                <w:rPr>
                  <w:rStyle w:val="InternetLink"/>
                  <w:rFonts w:ascii="Times New Roman;serif" w:hAnsi="Times New Roman;serif"/>
                  <w:b w:val="false"/>
                  <w:color w:val="0E32E1"/>
                  <w:sz w:val="20"/>
                  <w:u w:val="single"/>
                </w:rPr>
                <w:t>Notes to Unaudited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34">
              <w:r>
                <w:rPr>
                  <w:rStyle w:val="InternetLink"/>
                  <w:rFonts w:ascii="Times New Roman;serif" w:hAnsi="Times New Roman;serif"/>
                  <w:b w:val="false"/>
                  <w:strike w:val="false"/>
                  <w:dstrike w:val="false"/>
                  <w:color w:val="000000"/>
                  <w:sz w:val="20"/>
                  <w:u w:val="none"/>
                  <w:effect w:val="none"/>
                </w:rPr>
                <w:t>12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163">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163">
              <w:r>
                <w:rPr>
                  <w:rStyle w:val="InternetLink"/>
                  <w:rFonts w:ascii="Times New Roman;serif" w:hAnsi="Times New Roman;serif"/>
                  <w:b w:val="false"/>
                  <w:strike w:val="false"/>
                  <w:dstrike w:val="false"/>
                  <w:color w:val="000000"/>
                  <w:sz w:val="20"/>
                  <w:u w:val="none"/>
                  <w:effect w:val="none"/>
                </w:rPr>
                <w:t>51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17">
              <w:r>
                <w:rPr>
                  <w:rStyle w:val="InternetLink"/>
                  <w:rFonts w:ascii="Times New Roman;serif" w:hAnsi="Times New Roman;serif"/>
                  <w:b w:val="false"/>
                  <w:color w:val="0E32E1"/>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17">
              <w:r>
                <w:rPr>
                  <w:rStyle w:val="InternetLink"/>
                  <w:rFonts w:ascii="Times New Roman;serif" w:hAnsi="Times New Roman;serif"/>
                  <w:b w:val="false"/>
                  <w:strike w:val="false"/>
                  <w:dstrike w:val="false"/>
                  <w:color w:val="000000"/>
                  <w:sz w:val="20"/>
                  <w:u w:val="none"/>
                  <w:effect w:val="none"/>
                </w:rPr>
                <w:t>68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20">
              <w:r>
                <w:rPr>
                  <w:rStyle w:val="InternetLink"/>
                  <w:rFonts w:ascii="Times New Roman;serif" w:hAnsi="Times New Roman;serif"/>
                  <w:b w:val="false"/>
                  <w:color w:val="0E32E1"/>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20">
              <w:r>
                <w:rPr>
                  <w:rStyle w:val="InternetLink"/>
                  <w:rFonts w:ascii="Times New Roman;serif" w:hAnsi="Times New Roman;serif"/>
                  <w:b w:val="false"/>
                  <w:strike w:val="false"/>
                  <w:dstrike w:val="false"/>
                  <w:color w:val="000000"/>
                  <w:sz w:val="20"/>
                  <w:u w:val="none"/>
                  <w:effect w:val="none"/>
                </w:rPr>
                <w:t>68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23">
              <w:r>
                <w:rPr>
                  <w:rStyle w:val="InternetLink"/>
                  <w:rFonts w:ascii="Times New Roman;serif" w:hAnsi="Times New Roman;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26">
              <w:r>
                <w:rPr>
                  <w:rStyle w:val="InternetLink"/>
                  <w:rFonts w:ascii="Times New Roman;serif" w:hAnsi="Times New Roman;serif"/>
                  <w:b w:val="false"/>
                  <w:color w:val="0E32E1"/>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26">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29">
              <w:r>
                <w:rPr>
                  <w:rStyle w:val="InternetLink"/>
                  <w:rFonts w:ascii="Times New Roman;serif" w:hAnsi="Times New Roman;serif"/>
                  <w:b w:val="false"/>
                  <w:color w:val="0E32E1"/>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29">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32">
              <w:r>
                <w:rPr>
                  <w:rStyle w:val="InternetLink"/>
                  <w:rFonts w:ascii="Times New Roman;serif" w:hAnsi="Times New Roman;serif"/>
                  <w:b w:val="false"/>
                  <w:color w:val="000080"/>
                  <w:sz w:val="20"/>
                  <w:u w:val="single"/>
                </w:rPr>
                <w:t>Unregistered Sales of Equity Securities, Use of Proceeds</w:t>
              </w:r>
            </w:hyperlink>
            <w:r>
              <w:rPr>
                <w:rFonts w:ascii="Times New Roman;serif" w:hAnsi="Times New Roman;serif"/>
                <w:b w:val="false"/>
                <w:color w:val="0E32E1"/>
                <w:sz w:val="20"/>
                <w:u w:val="single"/>
              </w:rPr>
              <w:t>, and Issuer Purchases of Equity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32">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35">
              <w:r>
                <w:rPr>
                  <w:rStyle w:val="InternetLink"/>
                  <w:rFonts w:ascii="Times New Roman;serif" w:hAnsi="Times New Roman;serif"/>
                  <w:b w:val="false"/>
                  <w:color w:val="0E32E1"/>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35">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38">
              <w:r>
                <w:rPr>
                  <w:rStyle w:val="InternetLink"/>
                  <w:rFonts w:ascii="Times New Roman;serif" w:hAnsi="Times New Roman;serif"/>
                  <w:b w:val="false"/>
                  <w:color w:val="0E32E1"/>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38">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41">
              <w:r>
                <w:rPr>
                  <w:rStyle w:val="InternetLink"/>
                  <w:rFonts w:ascii="Times New Roman;serif" w:hAnsi="Times New Roman;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41">
              <w:r>
                <w:rPr>
                  <w:rStyle w:val="InternetLink"/>
                  <w:rFonts w:ascii="Times New Roman;serif" w:hAnsi="Times New Roman;serif"/>
                  <w:b w:val="false"/>
                  <w:strike w:val="false"/>
                  <w:dstrike w:val="false"/>
                  <w:color w:val="000000"/>
                  <w:sz w:val="20"/>
                  <w:u w:val="none"/>
                  <w:effect w:val="none"/>
                </w:rPr>
                <w:t>70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44">
              <w:r>
                <w:rPr>
                  <w:rStyle w:val="InternetLink"/>
                  <w:rFonts w:ascii="Times New Roman;serif" w:hAnsi="Times New Roman;serif"/>
                  <w:b w:val="false"/>
                  <w:color w:val="0E32E1"/>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44">
              <w:r>
                <w:rPr>
                  <w:rStyle w:val="InternetLink"/>
                  <w:rFonts w:ascii="Times New Roman;serif" w:hAnsi="Times New Roman;serif"/>
                  <w:b w:val="false"/>
                  <w:strike w:val="false"/>
                  <w:dstrike w:val="false"/>
                  <w:color w:val="000000"/>
                  <w:sz w:val="20"/>
                  <w:u w:val="none"/>
                  <w:effect w:val="none"/>
                </w:rPr>
                <w:t>72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f60e4e89b847d29353d33ad111be51_247">
              <w:r>
                <w:rPr>
                  <w:rStyle w:val="InternetLink"/>
                  <w:rFonts w:ascii="Times New Roman;serif" w:hAnsi="Times New Roman;serif"/>
                  <w:b w:val="false"/>
                  <w:color w:val="0E32E1"/>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f60e4e89b847d29353d33ad111be51_247">
              <w:r>
                <w:rPr>
                  <w:rStyle w:val="InternetLink"/>
                  <w:rFonts w:ascii="Times New Roman;serif" w:hAnsi="Times New Roman;serif"/>
                  <w:b w:val="false"/>
                  <w:strike w:val="false"/>
                  <w:dstrike w:val="false"/>
                  <w:color w:val="000000"/>
                  <w:sz w:val="20"/>
                  <w:u w:val="none"/>
                  <w:effect w:val="none"/>
                </w:rPr>
                <w:t>73</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72465"/>
                <wp:effectExtent l="0" t="0" r="0" b="0"/>
                <wp:wrapNone/>
                <wp:docPr id="2" name="Frame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to “Bakkt,” “we,” “us,” “our,” or the “Company” in this Quarterly Report on Form 10-Q (this “Report”) refer to Bakkt, Inc. and its subsidiaries.</w:t>
      </w:r>
    </w:p>
    <w:p>
      <w:pPr>
        <w:pStyle w:val="TextBody"/>
        <w:bidi w:val="0"/>
        <w:spacing w:lineRule="auto" w:line="333"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pStyle w:val="TextBody"/>
        <w:bidi w:val="0"/>
        <w:spacing w:lineRule="auto" w:line="333" w:before="240" w:after="283"/>
        <w:jc w:val="both"/>
        <w:rPr>
          <w:color w:val="231F20"/>
        </w:rPr>
      </w:pPr>
      <w:r>
        <w:rPr>
          <w:color w:val="231F20"/>
        </w:rPr>
        <w:t>•    </w:t>
      </w:r>
      <w:r>
        <w:rPr>
          <w:rFonts w:ascii="Times New Roman;serif" w:hAnsi="Times New Roman;serif"/>
          <w:b w:val="false"/>
          <w:color w:val="231F20"/>
          <w:sz w:val="20"/>
        </w:rPr>
        <w:t>future financial and operational performance, including trends in digital asset services revenue and trading volumes;</w:t>
      </w:r>
    </w:p>
    <w:p>
      <w:pPr>
        <w:pStyle w:val="TextBody"/>
        <w:bidi w:val="0"/>
        <w:spacing w:lineRule="auto" w:line="333" w:before="240" w:after="283"/>
        <w:jc w:val="both"/>
        <w:rPr>
          <w:color w:val="231F20"/>
        </w:rPr>
      </w:pPr>
      <w:r>
        <w:rPr>
          <w:color w:val="231F20"/>
        </w:rPr>
        <w:t>•    </w:t>
      </w:r>
      <w:r>
        <w:rPr>
          <w:rFonts w:ascii="Times New Roman;serif" w:hAnsi="Times New Roman;serif"/>
          <w:b w:val="false"/>
          <w:color w:val="231F20"/>
          <w:sz w:val="20"/>
        </w:rPr>
        <w:t>expansion and adoption of Bakkt Markets, Bakkt Agent and Bakkt Global;</w:t>
      </w:r>
    </w:p>
    <w:p>
      <w:pPr>
        <w:pStyle w:val="TextBody"/>
        <w:bidi w:val="0"/>
        <w:spacing w:before="0" w:after="0"/>
        <w:jc w:val="both"/>
        <w:rPr/>
      </w:pPr>
      <w:r>
        <w:rPr/>
      </w:r>
    </w:p>
    <w:p>
      <w:pPr>
        <w:pStyle w:val="TextBody"/>
        <w:bidi w:val="0"/>
        <w:spacing w:lineRule="auto" w:line="333" w:before="0" w:after="0"/>
        <w:jc w:val="both"/>
        <w:rPr/>
      </w:pPr>
      <w:r>
        <w:rPr>
          <w:color w:val="000000"/>
        </w:rPr>
        <w:t>•</w:t>
      </w:r>
      <w:r>
        <w:rPr>
          <w:rFonts w:ascii="Times New Roman;serif" w:hAnsi="Times New Roman;serif"/>
          <w:b w:val="false"/>
          <w:color w:val="000000"/>
          <w:sz w:val="20"/>
        </w:rPr>
        <w:t>the integration of Distributed Technologies Research Global Ltd. (“DTR”) into our business and platform, the realization of the anticipated benefits and synergies of the acquisition, and the timing and cost of integration activities;</w:t>
      </w:r>
    </w:p>
    <w:p>
      <w:pPr>
        <w:pStyle w:val="TextBody"/>
        <w:bidi w:val="0"/>
        <w:spacing w:before="0" w:after="0"/>
        <w:jc w:val="both"/>
        <w:rPr/>
      </w:pPr>
      <w:r>
        <w:rPr/>
      </w:r>
    </w:p>
    <w:p>
      <w:pPr>
        <w:pStyle w:val="TextBody"/>
        <w:bidi w:val="0"/>
        <w:spacing w:lineRule="auto" w:line="333" w:before="0" w:after="0"/>
        <w:jc w:val="both"/>
        <w:rPr/>
      </w:pPr>
      <w:r>
        <w:rPr>
          <w:color w:val="0000FF"/>
        </w:rPr>
        <w:t>•</w:t>
      </w:r>
      <w:r>
        <w:rPr>
          <w:rFonts w:ascii="Times New Roman;serif" w:hAnsi="Times New Roman;serif"/>
          <w:b w:val="false"/>
          <w:color w:val="231F20"/>
          <w:sz w:val="20"/>
        </w:rPr>
        <w:t>our ability to grow our client base, enter into and maintain commercial partnerships and onboard new customers;</w:t>
      </w:r>
    </w:p>
    <w:p>
      <w:pPr>
        <w:pStyle w:val="TextBody"/>
        <w:bidi w:val="0"/>
        <w:spacing w:lineRule="auto" w:line="333" w:before="240" w:after="283"/>
        <w:jc w:val="both"/>
        <w:rPr/>
      </w:pPr>
      <w:r>
        <w:rPr>
          <w:color w:val="231F20"/>
        </w:rPr>
        <w:t>•</w:t>
      </w:r>
      <w:r>
        <w:rPr>
          <w:rFonts w:ascii="Times New Roman;serif" w:hAnsi="Times New Roman;serif"/>
          <w:b w:val="false"/>
          <w:color w:val="231F20"/>
          <w:sz w:val="20"/>
        </w:rPr>
        <w:t xml:space="preserve">anticipated benefits of investments and expansion into international markets; </w:t>
      </w:r>
    </w:p>
    <w:p>
      <w:pPr>
        <w:pStyle w:val="TextBody"/>
        <w:bidi w:val="0"/>
        <w:spacing w:lineRule="auto" w:line="333" w:before="240" w:after="283"/>
        <w:jc w:val="both"/>
        <w:rPr/>
      </w:pPr>
      <w:r>
        <w:rPr>
          <w:color w:val="000000"/>
        </w:rPr>
        <w:t>•</w:t>
      </w:r>
      <w:r>
        <w:rPr>
          <w:color w:val="231F20"/>
        </w:rPr>
        <w:t xml:space="preserve"> </w:t>
      </w:r>
      <w:r>
        <w:rPr>
          <w:rFonts w:ascii="Times New Roman;serif" w:hAnsi="Times New Roman;serif"/>
          <w:b w:val="false"/>
          <w:color w:val="231F20"/>
          <w:sz w:val="20"/>
        </w:rPr>
        <w:t xml:space="preserve">development, launch and scalability of our products and platform capabilities, including payment infrastructure and AI-enabled solutions; </w:t>
      </w:r>
    </w:p>
    <w:p>
      <w:pPr>
        <w:pStyle w:val="TextBody"/>
        <w:bidi w:val="0"/>
        <w:spacing w:lineRule="auto" w:line="333" w:before="240" w:after="283"/>
        <w:jc w:val="both"/>
        <w:rPr/>
      </w:pPr>
      <w:r>
        <w:rPr>
          <w:color w:val="000000"/>
        </w:rPr>
        <w:t>•</w:t>
      </w:r>
      <w:r>
        <w:rPr>
          <w:rFonts w:ascii="Times New Roman;serif" w:hAnsi="Times New Roman;serif"/>
          <w:b w:val="false"/>
          <w:color w:val="231F20"/>
          <w:sz w:val="20"/>
        </w:rPr>
        <w:t>our liquidity, capital resources and ability to raise capital, including through equity offerings;</w:t>
      </w:r>
    </w:p>
    <w:p>
      <w:pPr>
        <w:pStyle w:val="TextBody"/>
        <w:bidi w:val="0"/>
        <w:spacing w:lineRule="auto" w:line="333" w:before="240" w:after="283"/>
        <w:jc w:val="both"/>
        <w:rPr/>
      </w:pPr>
      <w:r>
        <w:rPr>
          <w:color w:val="231F20"/>
        </w:rPr>
        <w:t>•</w:t>
      </w:r>
      <w:r>
        <w:rPr>
          <w:rFonts w:ascii="Times New Roman;serif" w:hAnsi="Times New Roman;serif"/>
          <w:b w:val="false"/>
          <w:color w:val="231F20"/>
          <w:sz w:val="20"/>
        </w:rPr>
        <w:t>our cost structure, operating efficiency and capital allocation initiatives;</w:t>
      </w:r>
    </w:p>
    <w:p>
      <w:pPr>
        <w:pStyle w:val="TextBody"/>
        <w:bidi w:val="0"/>
        <w:spacing w:lineRule="auto" w:line="333" w:before="240" w:after="283"/>
        <w:jc w:val="both"/>
        <w:rPr/>
      </w:pPr>
      <w:r>
        <w:rPr>
          <w:color w:val="231F20"/>
        </w:rPr>
        <w:t>•</w:t>
      </w:r>
      <w:r>
        <w:rPr>
          <w:rFonts w:ascii="Times New Roman;serif" w:hAnsi="Times New Roman;serif"/>
          <w:b w:val="false"/>
          <w:color w:val="231F20"/>
          <w:sz w:val="20"/>
        </w:rPr>
        <w:t>industry growth and adoption of digital assets, stablecoins, tokenization and related technologies;</w:t>
      </w:r>
    </w:p>
    <w:p>
      <w:pPr>
        <w:pStyle w:val="TextBody"/>
        <w:bidi w:val="0"/>
        <w:spacing w:lineRule="auto" w:line="333" w:before="240" w:after="283"/>
        <w:jc w:val="both"/>
        <w:rPr/>
      </w:pPr>
      <w:r>
        <w:rPr>
          <w:color w:val="231F20"/>
        </w:rPr>
        <w:t>•</w:t>
      </w:r>
      <w:r>
        <w:rPr>
          <w:rFonts w:ascii="Times New Roman;serif" w:hAnsi="Times New Roman;serif"/>
          <w:b w:val="false"/>
          <w:color w:val="231F20"/>
          <w:sz w:val="20"/>
        </w:rPr>
        <w:t>regulatory developments affecting digital assets, payments and stablecoins; and</w:t>
      </w:r>
    </w:p>
    <w:p>
      <w:pPr>
        <w:pStyle w:val="TextBody"/>
        <w:bidi w:val="0"/>
        <w:spacing w:lineRule="auto" w:line="333" w:before="240" w:after="283"/>
        <w:ind w:left="0" w:right="0" w:hanging="540"/>
        <w:jc w:val="both"/>
        <w:rPr>
          <w:color w:val="231F20"/>
        </w:rPr>
      </w:pPr>
      <w:r>
        <w:rPr>
          <w:color w:val="231F20"/>
        </w:rPr>
        <w:t>•    </w:t>
      </w:r>
      <w:r>
        <w:rPr>
          <w:rFonts w:ascii="Times New Roman;serif" w:hAnsi="Times New Roman;serif"/>
          <w:b w:val="false"/>
          <w:color w:val="231F20"/>
          <w:sz w:val="20"/>
        </w:rPr>
        <w:t>our business strategy and competitive positioning.</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These forward-looking statements are based on information available as of the date of this Report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You should not place undue reliance on these forward-looking statements. Should one or more of a number of known and unknown risks and uncertainties materialize, or should any of our assumptions prove incorrect, our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72465"/>
                <wp:effectExtent l="0" t="0" r="0" b="0"/>
                <wp:wrapNone/>
                <wp:docPr id="3" name="Frame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231F20"/>
          <w:sz w:val="20"/>
        </w:rPr>
      </w:pPr>
      <w:r>
        <w:rPr>
          <w:rFonts w:ascii="Times New Roman;serif" w:hAnsi="Times New Roman;serif"/>
          <w:b w:val="false"/>
          <w:color w:val="231F20"/>
          <w:sz w:val="20"/>
        </w:rPr>
        <w:t>results or performance may be materially different from those expressed or implied by these forward-looking statements. Some factors that could cause actual results to differ include, but are not limited to:</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ability to grow and manage growth profitably;</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whether the Company will be able to successfully integrate its operations with those of DTR, including its infrastructure, and achieve the expected benefits therefrom;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operation, reliability, market acceptance and regulatory environment for digital assets, stablecoin-based payment systems and digital settlement infrastructure;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changes in the Company’s business strategy;</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adoption of its updated Investment Policy and related treasury strategy, including the Company’s ability to successfully consummate acquisitions, integrate or manage investments in potential acquisition targets and investees;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price of digital assets, including Bitcoin;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risks associated with operating in the digital asset industry,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fluctuation of the Company’s operating results, including because the Company may be required to account for its digital assets at fair value;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time the price of its purchase of digital assets pursuant to its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impact of the market value of digital assets on the Company’s ability to satisfy its financial obligations, including any debt financings;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unrealized fair value gains on its digital asset holdings subjecting the Company to the corporate alternative minimum tax;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legal, commercial, regulatory and technical uncertainty regarding digital assets and enhanced regulatory oversight of companies holding digital assets including the possibility that regulators reclassify any digital assets held by the Company, including Bitcoin, as a security causing the Company to be in violation of securities laws and be classified as an “investment company” under the Investment Company Act of 1940;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enhanced regulatory oversight as a result of the Company’s Investment Policy and related treasury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concentration of the Company’s expected digital asset holdings relative to non-digital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inability to use the Company’s digital asset holdings as a source of liquidity to the same extent as cash and cash equivalents, due to, for example, risks associated with digital assets and other risks inherent to its entirely electronic, virtual form and decentralized network;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 or a third-party service provider experiencing a security breach or cyber-attack where unauthorized parties obtain access to its 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loss of access to or theft or data loss of the Company’s or its customers' digital assets, which could be unrecoverable due to the immutable nature of blockchain transactions; if the Company elects to hold its or its customers' digital assets through a third-party custodian, the loss of direct control over those digital assets and dependence on the custodian’s security practices and operational integrity which may lead to the loss of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72465"/>
                <wp:effectExtent l="0" t="0" r="0" b="0"/>
                <wp:wrapNone/>
                <wp:docPr id="4"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digital assets as a result of the insolvency of the custodian, theft by employees or insiders of the custodian or if the custodian’s security measures are comprised, including as a result of a cyber-attack;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 not being subject to the legal and regulatory protections applicable to investment companies such as mutual funds and exchange-traded funds, or to obligations applicable to investment advisers;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non-performance, breach of contract or other violations by counterparties assisting the Company in effecting its Investment Policy and related treasury strategy;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future capital requirements and sources and uses of cash, including funds to satisfy its liquidity needs;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ability to raise capital and investments in us, including by our Chief Executive Officer;</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changes in the market in which the Company competes, including with respect to its competitive landscape, technology evolution or changes in applicable laws or regulations;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changes in the markets that the Company targets;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volatility and disruptions in the digital assets, digital payments and stablecoin markets that subject the Company to additional risks, including the risk that banks may not provide banking services to the Company and market sentiments regarding digital assets, digital payments and stablecoins;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possibility that the Company may be adversely affected by other macroeconomic, geopolitical, business, and/or competitive factors;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launch new services and products, including with its expected commercial partners, or to profitably expand into new markets and services;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execute its growth strategies, including identifying and executing acquisitions and divestitures and the Company’s initiatives to add new clients;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reach definitive agreements with its expected commercial counterparties;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the Company’s failure to comply with extensive government regulations, oversight, licensure and appraisals;</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uncertain and evolving regulatory regime governing blockchain technologies, stablecoins, digital payments and digital assets;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establish and maintain effective internal controls and procedures;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exposure to any liability, protracted and costly litigation or reputational damage relating to the Company’s data security;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impact of any goodwill or other intangible assets impairments on the Company’s operating results; </w:t>
      </w:r>
    </w:p>
    <w:p>
      <w:pPr>
        <w:pStyle w:val="TextBody"/>
        <w:bidi w:val="0"/>
        <w:spacing w:lineRule="auto" w:line="333" w:before="120" w:after="283"/>
        <w:ind w:left="0" w:right="0" w:hanging="360"/>
        <w:jc w:val="both"/>
        <w:rPr/>
      </w:pPr>
      <w:r>
        <w:rPr>
          <w:color w:val="231F20"/>
        </w:rPr>
        <w:t>•</w:t>
      </w:r>
      <w:r>
        <w:rPr>
          <w:rFonts w:ascii="Times New Roman;serif" w:hAnsi="Times New Roman;serif"/>
          <w:b w:val="false"/>
          <w:color w:val="231F20"/>
          <w:sz w:val="20"/>
        </w:rPr>
        <w:t xml:space="preserve">the Company’s ability to maintain the listing of its securities on the New York Stock Exchange; </w:t>
      </w:r>
    </w:p>
    <w:p>
      <w:pPr>
        <w:pStyle w:val="TextBody"/>
        <w:bidi w:val="0"/>
        <w:spacing w:lineRule="auto" w:line="333" w:before="120" w:after="283"/>
        <w:ind w:left="0" w:right="0" w:hanging="360"/>
        <w:jc w:val="left"/>
        <w:rPr/>
      </w:pPr>
      <w:r>
        <w:rPr>
          <w:color w:val="231F20"/>
        </w:rPr>
        <w:t>•</w:t>
      </w:r>
      <w:r>
        <w:rPr>
          <w:rFonts w:ascii="Times New Roman;serif" w:hAnsi="Times New Roman;serif"/>
          <w:b w:val="false"/>
          <w:color w:val="231F20"/>
          <w:sz w:val="20"/>
        </w:rPr>
        <w:t>and other risks and uncertainties indicated in the Company’s filings with the SEC, including its most recent Annual Report on Form 10-K for the year ended December 31, 2025, and the risks set forth under Part II – Item 1A Risk Factors of the Company's Quarterly Report on Form 10-Q for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2465"/>
                <wp:effectExtent l="0" t="0" r="0" b="0"/>
                <wp:wrapNone/>
                <wp:docPr id="5"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Bakkt,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9775" w:type="dxa"/>
        <w:jc w:val="left"/>
        <w:tblInd w:w="0" w:type="dxa"/>
        <w:tblLayout w:type="fixed"/>
        <w:tblCellMar>
          <w:top w:w="28" w:type="dxa"/>
          <w:left w:w="28" w:type="dxa"/>
          <w:bottom w:w="28" w:type="dxa"/>
          <w:right w:w="28" w:type="dxa"/>
        </w:tblCellMar>
      </w:tblPr>
      <w:tblGrid>
        <w:gridCol w:w="2446"/>
        <w:gridCol w:w="2150"/>
        <w:gridCol w:w="2183"/>
        <w:gridCol w:w="212"/>
        <w:gridCol w:w="796"/>
        <w:gridCol w:w="117"/>
        <w:gridCol w:w="109"/>
        <w:gridCol w:w="109"/>
        <w:gridCol w:w="109"/>
        <w:gridCol w:w="277"/>
        <w:gridCol w:w="1047"/>
        <w:gridCol w:w="220"/>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insurance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72,200 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Transchem Warrants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162,788 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50,006 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17)</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Class A Common Stock ($0.0001 par value, 560,000,000 shares authorized, 45,059,802 shares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issued and outstanding as of June 30, 2026 and 25,523,039 shares issued and outstanding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 of December 31, 2025)</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1,189,365 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1,017,004 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(905,172)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354,390 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112,782 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162,788 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120" w:after="283"/>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79"/>
        <w:gridCol w:w="1139"/>
        <w:gridCol w:w="1143"/>
        <w:gridCol w:w="255"/>
        <w:gridCol w:w="959"/>
        <w:gridCol w:w="141"/>
        <w:gridCol w:w="109"/>
        <w:gridCol w:w="109"/>
        <w:gridCol w:w="109"/>
        <w:gridCol w:w="255"/>
        <w:gridCol w:w="959"/>
        <w:gridCol w:w="141"/>
        <w:gridCol w:w="109"/>
        <w:gridCol w:w="109"/>
        <w:gridCol w:w="109"/>
        <w:gridCol w:w="238"/>
        <w:gridCol w:w="894"/>
        <w:gridCol w:w="132"/>
        <w:gridCol w:w="109"/>
        <w:gridCol w:w="109"/>
        <w:gridCol w:w="109"/>
        <w:gridCol w:w="222"/>
        <w:gridCol w:w="987"/>
        <w:gridCol w:w="180"/>
      </w:tblGrid>
      <w:tr>
        <w:trPr/>
        <w:tc>
          <w:tcPr>
            <w:tcW w:w="15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services 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communication</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from continuing operations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Transchem Warrant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 and equity in net earnings of affiliates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before equity in net earnings of affiliates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Bakkt, Inc.</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Class A Common Stockholders: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2465"/>
                <wp:effectExtent l="0" t="0" r="0" b="0"/>
                <wp:wrapNone/>
                <wp:docPr id="7"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Bakkt, Inc.</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Consolidated Statements of Comprehensive Loss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(in thousands)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50"/>
        <w:gridCol w:w="1043"/>
        <w:gridCol w:w="1041"/>
        <w:gridCol w:w="309"/>
        <w:gridCol w:w="1023"/>
        <w:gridCol w:w="172"/>
        <w:gridCol w:w="109"/>
        <w:gridCol w:w="109"/>
        <w:gridCol w:w="109"/>
        <w:gridCol w:w="291"/>
        <w:gridCol w:w="1056"/>
        <w:gridCol w:w="162"/>
        <w:gridCol w:w="109"/>
        <w:gridCol w:w="109"/>
        <w:gridCol w:w="109"/>
        <w:gridCol w:w="280"/>
        <w:gridCol w:w="925"/>
        <w:gridCol w:w="155"/>
        <w:gridCol w:w="109"/>
        <w:gridCol w:w="109"/>
        <w:gridCol w:w="109"/>
        <w:gridCol w:w="261"/>
        <w:gridCol w:w="944"/>
        <w:gridCol w:w="212"/>
      </w:tblGrid>
      <w:tr>
        <w:trPr/>
        <w:tc>
          <w:tcPr>
            <w:tcW w:w="135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 net of tax</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Bakkt, Inc.</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(14,303)</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2465"/>
                <wp:effectExtent l="0" t="0" r="0" b="0"/>
                <wp:wrapNone/>
                <wp:docPr id="8"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Bakkt, Inc.</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Consolidated Statements of Changes in Stockholders' Equity</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(in thousands, except share data) </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11164" w:type="dxa"/>
        <w:jc w:val="left"/>
        <w:tblInd w:w="0" w:type="dxa"/>
        <w:tblLayout w:type="fixed"/>
        <w:tblCellMar>
          <w:top w:w="28" w:type="dxa"/>
          <w:left w:w="28" w:type="dxa"/>
          <w:bottom w:w="28" w:type="dxa"/>
          <w:right w:w="28" w:type="dxa"/>
        </w:tblCellMar>
      </w:tblPr>
      <w:tblGrid>
        <w:gridCol w:w="544"/>
        <w:gridCol w:w="268"/>
        <w:gridCol w:w="269"/>
        <w:gridCol w:w="413"/>
        <w:gridCol w:w="413"/>
        <w:gridCol w:w="196"/>
        <w:gridCol w:w="109"/>
        <w:gridCol w:w="109"/>
        <w:gridCol w:w="109"/>
        <w:gridCol w:w="181"/>
        <w:gridCol w:w="241"/>
        <w:gridCol w:w="109"/>
        <w:gridCol w:w="109"/>
        <w:gridCol w:w="109"/>
        <w:gridCol w:w="109"/>
        <w:gridCol w:w="203"/>
        <w:gridCol w:w="203"/>
        <w:gridCol w:w="196"/>
        <w:gridCol w:w="109"/>
        <w:gridCol w:w="109"/>
        <w:gridCol w:w="109"/>
        <w:gridCol w:w="181"/>
        <w:gridCol w:w="406"/>
        <w:gridCol w:w="109"/>
        <w:gridCol w:w="109"/>
        <w:gridCol w:w="109"/>
        <w:gridCol w:w="109"/>
        <w:gridCol w:w="181"/>
        <w:gridCol w:w="751"/>
        <w:gridCol w:w="109"/>
        <w:gridCol w:w="109"/>
        <w:gridCol w:w="109"/>
        <w:gridCol w:w="109"/>
        <w:gridCol w:w="206"/>
        <w:gridCol w:w="720"/>
        <w:gridCol w:w="125"/>
        <w:gridCol w:w="109"/>
        <w:gridCol w:w="109"/>
        <w:gridCol w:w="109"/>
        <w:gridCol w:w="280"/>
        <w:gridCol w:w="767"/>
        <w:gridCol w:w="169"/>
        <w:gridCol w:w="109"/>
        <w:gridCol w:w="109"/>
        <w:gridCol w:w="109"/>
        <w:gridCol w:w="109"/>
        <w:gridCol w:w="109"/>
        <w:gridCol w:w="109"/>
        <w:gridCol w:w="109"/>
        <w:gridCol w:w="109"/>
        <w:gridCol w:w="109"/>
        <w:gridCol w:w="181"/>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25,523,039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1,017,004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(905,172)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947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112,782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offerings, net of issuance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5,015,233 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30,709,542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1,086,656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(916,822)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1,041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170,878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339,058 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professional fees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fixed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DTR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11,316,776 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Contingently issuable equity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45,059,802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1,189,365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(835,980)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1,001</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354,390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2465"/>
                <wp:effectExtent l="0" t="0" r="0" b="0"/>
                <wp:wrapNone/>
                <wp:docPr id="9" name="Frame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tbl>
      <w:tblPr>
        <w:tblW w:w="13371" w:type="dxa"/>
        <w:jc w:val="center"/>
        <w:tblInd w:w="0" w:type="dxa"/>
        <w:tblLayout w:type="fixed"/>
        <w:tblCellMar>
          <w:top w:w="28" w:type="dxa"/>
          <w:left w:w="28" w:type="dxa"/>
          <w:bottom w:w="28" w:type="dxa"/>
          <w:right w:w="28" w:type="dxa"/>
        </w:tblCellMar>
      </w:tblPr>
      <w:tblGrid>
        <w:gridCol w:w="544"/>
        <w:gridCol w:w="268"/>
        <w:gridCol w:w="269"/>
        <w:gridCol w:w="375"/>
        <w:gridCol w:w="376"/>
        <w:gridCol w:w="196"/>
        <w:gridCol w:w="109"/>
        <w:gridCol w:w="109"/>
        <w:gridCol w:w="109"/>
        <w:gridCol w:w="181"/>
        <w:gridCol w:w="241"/>
        <w:gridCol w:w="109"/>
        <w:gridCol w:w="109"/>
        <w:gridCol w:w="109"/>
        <w:gridCol w:w="109"/>
        <w:gridCol w:w="375"/>
        <w:gridCol w:w="376"/>
        <w:gridCol w:w="196"/>
        <w:gridCol w:w="109"/>
        <w:gridCol w:w="109"/>
        <w:gridCol w:w="109"/>
        <w:gridCol w:w="181"/>
        <w:gridCol w:w="241"/>
        <w:gridCol w:w="109"/>
        <w:gridCol w:w="109"/>
        <w:gridCol w:w="109"/>
        <w:gridCol w:w="109"/>
        <w:gridCol w:w="181"/>
        <w:gridCol w:w="646"/>
        <w:gridCol w:w="109"/>
        <w:gridCol w:w="109"/>
        <w:gridCol w:w="109"/>
        <w:gridCol w:w="109"/>
        <w:gridCol w:w="206"/>
        <w:gridCol w:w="720"/>
        <w:gridCol w:w="125"/>
        <w:gridCol w:w="109"/>
        <w:gridCol w:w="109"/>
        <w:gridCol w:w="109"/>
        <w:gridCol w:w="330"/>
        <w:gridCol w:w="686"/>
        <w:gridCol w:w="200"/>
        <w:gridCol w:w="109"/>
        <w:gridCol w:w="109"/>
        <w:gridCol w:w="109"/>
        <w:gridCol w:w="227"/>
        <w:gridCol w:w="716"/>
        <w:gridCol w:w="138"/>
        <w:gridCol w:w="109"/>
        <w:gridCol w:w="109"/>
        <w:gridCol w:w="109"/>
        <w:gridCol w:w="252"/>
        <w:gridCol w:w="796"/>
        <w:gridCol w:w="153"/>
        <w:gridCol w:w="109"/>
        <w:gridCol w:w="109"/>
        <w:gridCol w:w="109"/>
        <w:gridCol w:w="181"/>
        <w:gridCol w:w="57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V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Bakkt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6,510,885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7,178,303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832,693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(797,960)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33,894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28,959</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62,853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6,656,355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7,177,774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835,134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(790,250)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(827)</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44,059</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37,500</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81,559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upon vesting of share-based awards, net of tax withholding</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317,687 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V shares for Class A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(14,734)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6,974,740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7,177,076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840,671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(804,984)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(395)</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35,294</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22,531</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57,825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2465"/>
                <wp:effectExtent l="0" t="0" r="0" b="0"/>
                <wp:wrapNone/>
                <wp:docPr id="10" name="Frame1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Bakkt, Inc.</w:t>
      </w:r>
    </w:p>
    <w:p>
      <w:pPr>
        <w:pStyle w:val="TextBody"/>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Consolidated Statements of Cash Flows</w:t>
      </w:r>
    </w:p>
    <w:p>
      <w:pPr>
        <w:pStyle w:val="TextBody"/>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 xml:space="preserve">(in thousands) </w:t>
      </w:r>
    </w:p>
    <w:p>
      <w:pPr>
        <w:pStyle w:val="TextBody"/>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(Unaudited)</w:t>
      </w:r>
    </w:p>
    <w:tbl>
      <w:tblPr>
        <w:tblW w:w="9924" w:type="dxa"/>
        <w:jc w:val="center"/>
        <w:tblInd w:w="0" w:type="dxa"/>
        <w:tblLayout w:type="fixed"/>
        <w:tblCellMar>
          <w:top w:w="28" w:type="dxa"/>
          <w:left w:w="28" w:type="dxa"/>
          <w:bottom w:w="28" w:type="dxa"/>
          <w:right w:w="28" w:type="dxa"/>
        </w:tblCellMar>
      </w:tblPr>
      <w:tblGrid>
        <w:gridCol w:w="2476"/>
        <w:gridCol w:w="2185"/>
        <w:gridCol w:w="2194"/>
        <w:gridCol w:w="109"/>
        <w:gridCol w:w="109"/>
        <w:gridCol w:w="109"/>
        <w:gridCol w:w="258"/>
        <w:gridCol w:w="772"/>
        <w:gridCol w:w="155"/>
        <w:gridCol w:w="109"/>
        <w:gridCol w:w="109"/>
        <w:gridCol w:w="109"/>
        <w:gridCol w:w="238"/>
        <w:gridCol w:w="790"/>
        <w:gridCol w:w="202"/>
      </w:tblGrid>
      <w:tr>
        <w:trPr/>
        <w:tc>
          <w:tcPr>
            <w:tcW w:w="247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Six Months Ended</w:t>
              <w:br/>
              <w:t>June 30, 2025</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(13,915)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Adjustments to reconcile net (loss) income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9,681 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Loss on sale of Bakkt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Gain on lease assignment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(1,755)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Gain from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(23,644)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Loss on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Change in fair value of Transchem warrant and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(97,820)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Professional fees paid in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Prepaid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Deposits with clearing 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Unsettled crypto trades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Due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(2,360)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Customer funds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(67,230)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Assets and liabilities of businesses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(26,910)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(95,929)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Capitalized internal-use software development costs and other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Sale of Bakkt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received from settlement of derivative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Purchase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Consideration for the acquisition of DTR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Consideration for the acquisition of Gyzer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Investment in Swan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Investment in Transchem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(12,437)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4,369 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3"/>
              </w:rPr>
              <w:t xml:space="preserve">Proceeds from the exercise of warrants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Withholding tax payments on net share settlements on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(1,712)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Equity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paid for Equity offerings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borrowings on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paid for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issuance of convertible debentures,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23,750 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67,232 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21,264 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increase (decrease) in cash, cash equivalents, restricted cash, customer funds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27,939 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(69,381)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cash equivalents, restricted cash, customer funds and deposits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153,746 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cash equivalents, restricted cash, customer funds and deposits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72,841 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84,365 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Non-cash operating lease right-of-use asset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Supplemental disclosure of non-cash investing and financing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Non-cash acquisition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103,661 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Reconciliation of cash, cash equivalents, restricted cash, customer funds and deposits to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43,493 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17,965 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Customer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21,336 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Deposits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Total cash, cash equivalents, restricted cash, customer funds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72,841 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84,365 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i/>
          <w:color w:val="231F20"/>
          <w:sz w:val="20"/>
        </w:rPr>
        <w:t>The accompanying notes are an integral part of these consolidated financial statements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2465"/>
                <wp:effectExtent l="0" t="0" r="0" b="0"/>
                <wp:wrapNone/>
                <wp:docPr id="11" name="Frame1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Bakkt,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Notes to Consolidated Financial 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 and Description of Business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Inc. (“Bakkt” or the “Company”) provides software and application program interface products, services, and infrastructure to companies focused on digital asset transactions.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provides, “we,” “us,” “our,” “Bakkt,” the “Company” and like terms refer to Bakkt, Inc. and its subsidiaries, including Bakkt Opco Holdings, LLC ("Opco").</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provides, or is working to provide, simplified solutions focused in the following areas:</w:t>
      </w:r>
    </w:p>
    <w:p>
      <w:pPr>
        <w:pStyle w:val="TextBody"/>
        <w:bidi w:val="0"/>
        <w:spacing w:lineRule="auto" w:line="333" w:before="240" w:after="283"/>
        <w:jc w:val="both"/>
        <w:rPr>
          <w:rFonts w:ascii="Times New Roman;serif" w:hAnsi="Times New Roman;serif"/>
          <w:b/>
          <w:i/>
          <w:color w:val="000000"/>
          <w:sz w:val="20"/>
          <w:u w:val="single"/>
        </w:rPr>
      </w:pPr>
      <w:r>
        <w:rPr>
          <w:rFonts w:ascii="Times New Roman;serif" w:hAnsi="Times New Roman;serif"/>
          <w:b/>
          <w:i/>
          <w:color w:val="000000"/>
          <w:sz w:val="20"/>
          <w:u w:val="single"/>
        </w:rPr>
        <w:t>Digital Assets</w:t>
      </w:r>
    </w:p>
    <w:p>
      <w:pPr>
        <w:pStyle w:val="TextBody"/>
        <w:bidi w:val="0"/>
        <w:spacing w:lineRule="auto" w:line="333" w:before="240" w:after="283"/>
        <w:ind w:left="0" w:right="0" w:hanging="360"/>
        <w:jc w:val="both"/>
        <w:rPr/>
      </w:pPr>
      <w:r>
        <w:rPr>
          <w:color w:val="000000"/>
        </w:rPr>
        <w:t>•</w:t>
      </w:r>
      <w:r>
        <w:rPr>
          <w:rFonts w:ascii="Times New Roman;serif" w:hAnsi="Times New Roman;serif"/>
          <w:b/>
          <w:i/>
          <w:color w:val="0C0C0C"/>
          <w:sz w:val="20"/>
        </w:rPr>
        <w:t>Trading.</w:t>
      </w:r>
      <w:r>
        <w:rPr>
          <w:color w:val="0C0C0C"/>
        </w:rPr>
        <w:t xml:space="preserve"> </w:t>
      </w:r>
      <w:r>
        <w:rPr>
          <w:rFonts w:ascii="Times New Roman;serif" w:hAnsi="Times New Roman;serif"/>
          <w:b w:val="false"/>
          <w:color w:val="0C0C0C"/>
          <w:sz w:val="20"/>
        </w:rPr>
        <w:t>Bakkt’s platform provides customers with the ability to buy, sell and store digital assets via application programming interfaces or embedded web experience. The Company enables clients in various industries to provide their customers with the ability to transact in digital assets directly in their trusted environments. Bakkt</w:t>
      </w:r>
      <w:r>
        <w:rPr>
          <w:color w:val="000000"/>
        </w:rPr>
        <w:t xml:space="preserve"> </w:t>
      </w:r>
      <w:r>
        <w:rPr>
          <w:rFonts w:ascii="Times New Roman;serif" w:hAnsi="Times New Roman;serif"/>
          <w:b w:val="false"/>
          <w:color w:val="000000"/>
          <w:sz w:val="20"/>
        </w:rPr>
        <w:t>currently facilitates transactions in the digital assets listed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2465"/>
                <wp:effectExtent l="0" t="0" r="0" b="0"/>
                <wp:wrapNone/>
                <wp:docPr id="12" name="Frame1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tbl>
      <w:tblPr>
        <w:tblW w:w="3270" w:type="dxa"/>
        <w:jc w:val="center"/>
        <w:tblInd w:w="0" w:type="dxa"/>
        <w:tblLayout w:type="fixed"/>
        <w:tblCellMar>
          <w:top w:w="28" w:type="dxa"/>
          <w:left w:w="28" w:type="dxa"/>
          <w:bottom w:w="28" w:type="dxa"/>
          <w:right w:w="28" w:type="dxa"/>
        </w:tblCellMar>
      </w:tblPr>
      <w:tblGrid>
        <w:gridCol w:w="847"/>
        <w:gridCol w:w="744"/>
        <w:gridCol w:w="748"/>
        <w:gridCol w:w="271"/>
        <w:gridCol w:w="271"/>
        <w:gridCol w:w="38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left w:val="single" w:sz="8" w:space="0" w:color="000000"/>
            </w:tcBorders>
            <w:shd w:fill="EEECE1"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Digital Asset</w:t>
            </w:r>
          </w:p>
        </w:tc>
        <w:tc>
          <w:tcPr>
            <w:tcW w:w="931" w:type="dxa"/>
            <w:gridSpan w:val="3"/>
            <w:tcBorders>
              <w:top w:val="single" w:sz="8" w:space="0" w:color="000000"/>
              <w:left w:val="single" w:sz="8" w:space="0" w:color="000000"/>
              <w:right w:val="single" w:sz="8" w:space="0" w:color="000000"/>
            </w:tcBorders>
            <w:shd w:fill="EEECE1"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Symbol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Aave</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AAVE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Cardano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Algorand</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ALGO</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Arbitrum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Cosmos</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ATOM</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Avalanche</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AVAX</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Attention Token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Cash</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BCH</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Binance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Bonk</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BONK</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Compound</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Curve DAO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Dogecoin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DOGE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Polka Dot</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Ethereum Classic</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Ethereum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Graph</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Hedera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HBAR</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Computer Protocol</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Lido DAO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LDO</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Chainlink</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Litecoin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 Protocol</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Nexo</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NEXO</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Optimism</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Pepe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PEPE</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Polygon Ecosystem Token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Sandbox</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Shiba Inu</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SHIB</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Sui</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SUI</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Celestia</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TIA</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Toncoin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TON</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TRUMP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$TRUMP</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Tron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TRX</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Uniswap</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USD Coin</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USDC</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Tether</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USDT</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Dog Wif Hat</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WIF</w:t>
            </w:r>
          </w:p>
        </w:tc>
      </w:tr>
      <w:tr>
        <w:trPr/>
        <w:tc>
          <w:tcPr>
            <w:tcW w:w="23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Stellar</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XLM</w:t>
            </w:r>
          </w:p>
        </w:tc>
      </w:tr>
      <w:tr>
        <w:trPr/>
        <w:tc>
          <w:tcPr>
            <w:tcW w:w="23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Ripple</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XRP</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2465"/>
                <wp:effectExtent l="0" t="0" r="0" b="0"/>
                <wp:wrapNone/>
                <wp:docPr id="13" name="Frame1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240" w:after="283"/>
        <w:jc w:val="both"/>
        <w:rPr/>
      </w:pPr>
      <w:r>
        <w:rPr>
          <w:rFonts w:ascii="Times New Roman;serif" w:hAnsi="Times New Roman;serif"/>
          <w:b/>
          <w:i/>
          <w:color w:val="000000"/>
          <w:sz w:val="20"/>
        </w:rPr>
        <w:t>Stablecoin payments.</w:t>
      </w:r>
      <w:r>
        <w:rPr>
          <w:color w:val="000000"/>
        </w:rPr>
        <w:t xml:space="preserve"> </w:t>
      </w:r>
      <w:r>
        <w:rPr>
          <w:rFonts w:ascii="Times New Roman;serif" w:hAnsi="Times New Roman;serif"/>
          <w:b w:val="false"/>
          <w:color w:val="000000"/>
          <w:sz w:val="20"/>
        </w:rPr>
        <w:t xml:space="preserve">Bakkt's platform enables the Company's customers to make cross border payments using blockchain technology and fiat support while leveraging agentic tools powered by artificial intelligence. </w:t>
      </w:r>
    </w:p>
    <w:p>
      <w:pPr>
        <w:pStyle w:val="TextBody"/>
        <w:bidi w:val="0"/>
        <w:spacing w:lineRule="auto" w:line="333" w:before="240" w:after="283"/>
        <w:jc w:val="both"/>
        <w:rPr/>
      </w:pPr>
      <w:r>
        <w:rPr>
          <w:rFonts w:ascii="Times New Roman;serif" w:hAnsi="Times New Roman;serif"/>
          <w:b/>
          <w:i/>
          <w:color w:val="0C0C0C"/>
          <w:sz w:val="20"/>
        </w:rPr>
        <w:t>Custody.</w:t>
      </w:r>
      <w:r>
        <w:rPr>
          <w:color w:val="0C0C0C"/>
        </w:rPr>
        <w:t xml:space="preserve"> </w:t>
      </w:r>
      <w:r>
        <w:rPr>
          <w:rFonts w:ascii="Times New Roman;serif" w:hAnsi="Times New Roman;serif"/>
          <w:b w:val="false"/>
          <w:color w:val="0C0C0C"/>
          <w:sz w:val="20"/>
        </w:rPr>
        <w:t>Bakkt Financial Solutions I, LLC ("BFS") uses third-party custodial relationships with BitGo, Coinbase Custody and Fireblocks Trust for custody and coin transfers and also self-custodies select coins to facilitate consumer withdrawals.</w:t>
      </w:r>
    </w:p>
    <w:p>
      <w:pPr>
        <w:pStyle w:val="TextBody"/>
        <w:bidi w:val="0"/>
        <w:spacing w:lineRule="auto" w:line="333" w:before="240" w:after="283"/>
        <w:ind w:left="0" w:right="0" w:firstLine="720"/>
        <w:jc w:val="both"/>
        <w:rPr>
          <w:rFonts w:ascii="Times New Roman;serif" w:hAnsi="Times New Roman;serif"/>
          <w:b w:val="false"/>
          <w:color w:val="0C0C0C"/>
          <w:sz w:val="20"/>
        </w:rPr>
      </w:pPr>
      <w:r>
        <w:rPr>
          <w:rFonts w:ascii="Times New Roman;serif" w:hAnsi="Times New Roman;serif"/>
          <w:b w:val="false"/>
          <w:color w:val="0C0C0C"/>
          <w:sz w:val="20"/>
        </w:rPr>
        <w:t>BFS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offered digital asset services in the U.S., Latin America, Europe, and Asia.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policies are as set forth in the notes to its Annual Report on Form 10-K for the year ended December 31, 2025 (the "Form 10-K").</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the opinion of management, all adjustments (consisting of normal recurring accruals), considered necessary for a fair presentation have been included. The interim results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are not necessarily indicative of the results that may be expected for the year ending December 31, 2026, or for any other future annual or interim period. These unaudited interim consolidated financial statements should be read in conjunction with the Company’s audited financial statements and accompanying notes thereto included in the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GAAP requires management to make estimates and assumptions that affect the amounts reported in the financial statements and accompanying notes.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issued warrants, and fair market value of stock-based awards. Actual results and outcomes may differ from management’s estimates and assumptions and such differences may be material to the Company's 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2465"/>
                <wp:effectExtent l="0" t="0" r="0" b="0"/>
                <wp:wrapNone/>
                <wp:docPr id="14" name="Frame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Issued 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its financial instruments to determine if such instruments are derivatives or contain features that qualify as embedded derivatives under ASC 815, or liabilities under ASC 480.</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issued warrants that do not meet the definition of a liability under ASC 480 and are indexed to the Company’s own stock and classified in stockholders’ equity under ASC 815-40, the warrants are recorded at fair value at the date of issuance and are not subsequently remeasured. The Pre-Funded Warrants issued in February 2026 met these criteria and were recorded as a component of additional paid-in capital within stockholders' equity.</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Investment in Transchem Warrants (Warrant Assets)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evaluated the Transchem Warrants under ASC 815, Derivatives and Hedging, and concluded they do not meet the definition of a derivative because the net settlement criterion is not satisfied — the Transchem Warrants contain no contractual net settlement provision, no market mechanism exists to net-settle the instrument, and the underlying Transchem shares are not readily convertible to cash during the applicable statutory lock-in period given the regulatory restrictions on transfer and the limited trading volume of Transchem's listed shares. Accordingly, the Transchem Warrants are accounted for as an equity investment within the scope of ASC 321, Investments — Equity Securities. The Company has irrevocably elected the fair value option under ASC 825-10 and ASC 321-10-35-2, with changes in fair value recognized each reporting period in the condensed consolidated statements of operations. The unfunded 75% of the exercise price is not recorded as a liability and is instead disclosed as a funding commitment (see Note 17, Commitments and Contingencies).</w:t>
      </w:r>
    </w:p>
    <w:p>
      <w:pPr>
        <w:pStyle w:val="TextBody"/>
        <w:bidi w:val="0"/>
        <w:spacing w:lineRule="auto" w:line="333"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Segments</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Bakkt</w:t>
      </w:r>
      <w:r>
        <w:rPr>
          <w:color w:val="000000"/>
        </w:rPr>
        <w:t xml:space="preserve"> </w:t>
      </w:r>
      <w:r>
        <w:rPr>
          <w:rFonts w:ascii="Times New Roman;serif" w:hAnsi="Times New Roman;serif"/>
          <w:b w:val="false"/>
          <w:color w:val="000000"/>
          <w:sz w:val="20"/>
        </w:rPr>
        <w:t xml:space="preserve">has one operating and reportable segment. Operating segments are defined as components of an enterprise about which separate financial information is evaluated regularly by the chief operating decision maker (“CODM”), who is Akshay Naheta, the Company's Chief Executive Officer, in deciding how to allocate resources and assessing performance. </w:t>
      </w:r>
    </w:p>
    <w:p>
      <w:pPr>
        <w:pStyle w:val="TextBody"/>
        <w:bidi w:val="0"/>
        <w:spacing w:lineRule="auto" w:line="333"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Discontinued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comprised a part of the Company’s strategic transformation into a pure-play digital asset infrastructure platform. The sale transaction closed on October 1, 2025.</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represented a strategic shift that would have a major effect on the Company's operations and financial results, and would result in the elimination of the operations and cash flows of the Loyalty Business from ongoing operations. As such, the results of operations, financial position, and cash flows of the Loyalty Business have been reclassified and are presented as discontinued operations for the quarter and the six months ended June 30, 2025. The related operating results, including any gains or losses on the sale, are reported separately from continuing operations in the consolidated statements of operations for all periods presented. Refer to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xml:space="preserve">,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72465"/>
                <wp:effectExtent l="0" t="0" r="0" b="0"/>
                <wp:wrapNone/>
                <wp:docPr id="15" name="Frame1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Liquidity and Going Concern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each reporting period, in accordance with U.S. GAAP,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Evaluation in conjunction with the issuance of the June 30, 2026 unaudited consolidated financial statements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the Company has consumed cash in excess of cash inflows from operations and fundraising. The Company’s accumulated deficit totaled $836.0 million as of June 30, 2026. Due to ongoing losses, the Company has been working to optimize capital allocation and reduce cash expenses since the fourth quarter of 2022.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digital assets.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Historically, the Company’s sources of liquidity included cash and cash equivalents, available-for-sale securities and equity offerings. As discussed in Note 11,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 xml:space="preserve">in January and February 2026 the Company raised $21.5 million through at-the-market offerings and $48.1 million through a registered direct offering of common stock and pre-funded warrants.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there is not substantial doubt about our ability to continue as a going concern within one year after the date these financial statements are issued, as the Company's cash and cash equivalents, inclusive of net proceeds from the at-the-market offerings and common stock and pre-funded warrant issuance, are sufficient to fund Bakkt's operations for 12 months from the date these financial statements are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72465"/>
                <wp:effectExtent l="0" t="0" r="0" b="0"/>
                <wp:wrapNone/>
                <wp:docPr id="16" name="Frame1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August 2020, the Financial Accounting Standards Board (“FASB”) issued Accounting Standards Update (“ASU”) 2020-06, </w:t>
      </w:r>
      <w:r>
        <w:rPr>
          <w:rFonts w:ascii="Times New Roman;serif" w:hAnsi="Times New Roman;serif"/>
          <w:b w:val="false"/>
          <w:i/>
          <w:color w:val="000000"/>
          <w:sz w:val="20"/>
        </w:rPr>
        <w:t>Accounting for Convertible Instruments and Contracts in an Entity's Own Equity</w:t>
      </w:r>
      <w:r>
        <w:rPr>
          <w:color w:val="000000"/>
        </w:rPr>
        <w:t xml:space="preserve"> </w:t>
      </w:r>
      <w:r>
        <w:rPr>
          <w:rFonts w:ascii="Times New Roman;serif" w:hAnsi="Times New Roman;serif"/>
          <w:b w:val="false"/>
          <w:color w:val="000000"/>
          <w:sz w:val="20"/>
        </w:rPr>
        <w:t xml:space="preserve">("ASU 2020-06"). This ASU simplifies the accounting for convertible instruments by 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was subject to and adopted ASU 2020-06. The adoption of this ASU did not have a material impact on the Company's consolidated financial statements.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additional tax disclosures, predominantly related to the effective income tax rate reconciliation and income taxes paid. The ASU was effective for annual periods beginning in fiscal 2025. Early adoption was permitted. The adoption of ASU No. 2023-09 impacted the Company’s income tax disclosures but did not have a material impact on its consolidated financial position, results of operations, or cash flows. The Company adopted this guidance on a prospective basis effective January 1, 2025. Refer to Note 18,</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for impacts to the related disclosures.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In December 2023, the FASB issued ASU No. 2023-08,</w:t>
      </w:r>
      <w:r>
        <w:rPr>
          <w:color w:val="000000"/>
        </w:rPr>
        <w:t xml:space="preserve"> </w:t>
      </w:r>
      <w:r>
        <w:rPr>
          <w:rFonts w:ascii="Times New Roman;serif" w:hAnsi="Times New Roman;serif"/>
          <w:b w:val="false"/>
          <w:i/>
          <w:color w:val="000000"/>
          <w:sz w:val="20"/>
        </w:rPr>
        <w:t>Intangibles-Goodwill and Other-Crypto Assets</w:t>
      </w:r>
      <w:r>
        <w:rPr>
          <w:color w:val="000000"/>
        </w:rPr>
        <w:t xml:space="preserve"> </w:t>
      </w:r>
      <w:r>
        <w:rPr>
          <w:rFonts w:ascii="Times New Roman;serif" w:hAnsi="Times New Roman;serif"/>
          <w:b w:val="false"/>
          <w:i/>
          <w:color w:val="000000"/>
          <w:sz w:val="20"/>
        </w:rPr>
        <w:t>(Topic 350-60), Accounting for and Disclosure of Crypto Assets (“ASU 2023-08”)</w:t>
      </w:r>
      <w:r>
        <w:rPr>
          <w:rFonts w:ascii="Times New Roman;serif" w:hAnsi="Times New Roman;serif"/>
          <w:b w:val="false"/>
          <w:color w:val="000000"/>
          <w:sz w:val="20"/>
        </w:rPr>
        <w:t xml:space="preserve">, which requires entities measure assets that meet the scope criteria at fair value with changes recognized in net income each reporting period. ASU 2023-08 also requires enhanced disclosures for interim and annual periods. The ASU was effective for fiscal years beginning after December 15, 2024, including interim periods within those years. The adoption of this ASU did not have a material impact on the Company’s consolidated financial statements. </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The ASU provides a comprehensive list of interim disclosures required by U.S. GAAP and includes a disclosure principle that requires entities to disclose events since the last annual reporting period that have a material impact on the reporting entity. The ASU also clarifies the applicability of Accounting Standards Codification (“ASC”) 270, </w:t>
      </w:r>
      <w:r>
        <w:rPr>
          <w:rFonts w:ascii="Times New Roman;serif" w:hAnsi="Times New Roman;serif"/>
          <w:b w:val="false"/>
          <w:i/>
          <w:color w:val="000000"/>
          <w:sz w:val="20"/>
        </w:rPr>
        <w:t>Interim Reporting</w:t>
      </w:r>
      <w:r>
        <w:rPr>
          <w:rFonts w:ascii="Times New Roman;serif" w:hAnsi="Times New Roman;serif"/>
          <w:b w:val="false"/>
          <w:color w:val="000000"/>
          <w:sz w:val="20"/>
        </w:rPr>
        <w:t>, and the form and content of interim financial statements in accordance with U.S. GAAP. The amendments are effective for interim reporting periods within annual reporting periods beginning after December 15, 2027, with early adoption permitted. The adoption of this ASU is not expected to have a material impact on the Company’s consolidated financial statements.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xml:space="preserve">. The ASU replaces the existing project-stage model with a principles-based "probable-to-complete" capitalization threshold and relocates website-development cost into ASC 350-40, </w:t>
      </w:r>
      <w:r>
        <w:rPr>
          <w:rFonts w:ascii="Times New Roman;serif" w:hAnsi="Times New Roman;serif"/>
          <w:b w:val="false"/>
          <w:i/>
          <w:color w:val="000000"/>
          <w:sz w:val="20"/>
        </w:rPr>
        <w:t>Intangibles-Goodwill and Other: Internal-Use Software</w:t>
      </w:r>
      <w:r>
        <w:rPr>
          <w:rFonts w:ascii="Times New Roman;serif" w:hAnsi="Times New Roman;serif"/>
          <w:b w:val="false"/>
          <w:color w:val="000000"/>
          <w:sz w:val="20"/>
        </w:rPr>
        <w:t>. The amendments are effective for fiscal years beginning after December 15, 2027, with early adoption permitted. The Company is evaluating the impact of this standard on its consolidated financial statements and related disclosures.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xml:space="preserve">. The ASU provides a practical expedient when developing reasonable and supportable forecast as part of estimating credit losses that assumes that current conditions as of the balance sheet date do not change for the remaining life of the asset. The amendments are effective for annual reporting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72465"/>
                <wp:effectExtent l="0" t="0" r="0" b="0"/>
                <wp:wrapNone/>
                <wp:docPr id="17" name="Frame1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after December 15, 2025, and interim reporting periods within those periods, with early adoption permitted. The adoption of this ASU is not expected to have a material impact on the Company’s consolidated financial statements.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disclosure of additional information about specific expense categories in 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3.Discontinued Operations</w:t>
      </w:r>
    </w:p>
    <w:p>
      <w:pPr>
        <w:pStyle w:val="TextBody"/>
        <w:bidi w:val="0"/>
        <w:spacing w:lineRule="auto" w:line="333" w:before="240" w:after="283"/>
        <w:ind w:left="0" w:right="0" w:firstLine="720"/>
        <w:jc w:val="both"/>
        <w:rPr/>
      </w:pPr>
      <w:r>
        <w:rPr>
          <w:rFonts w:ascii="Times New Roman;serif" w:hAnsi="Times New Roman;serif"/>
          <w:b w:val="false"/>
          <w:color w:val="0C0C0C"/>
          <w:sz w:val="20"/>
        </w:rPr>
        <w:t xml:space="preserve">Bakkt's Loyalty Business offered a full spectrum of supplier content through configurable, white-label e-commerce storefronts that end users could acquire via redemption of loyalty points. The Company's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The Company's platform provided a unified shopping experience that was built to seamlessly extend the Company's customers’ loyalty strategies and user experience for their loyalty programs. Bakkt's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the Company agreed to sell the Loyalty Business, and closed the sale on October 1, 2025. As described in Note 2, </w:t>
      </w:r>
      <w:r>
        <w:rPr>
          <w:rFonts w:ascii="Times New Roman;serif" w:hAnsi="Times New Roman;serif"/>
          <w:b w:val="false"/>
          <w:i/>
          <w:color w:val="0C0C0C"/>
          <w:sz w:val="20"/>
        </w:rPr>
        <w:t>Summary of Significant Accounting Policies</w:t>
      </w:r>
      <w:r>
        <w:rPr>
          <w:rFonts w:ascii="Times New Roman;serif" w:hAnsi="Times New Roman;serif"/>
          <w:b w:val="false"/>
          <w:color w:val="0C0C0C"/>
          <w:sz w:val="20"/>
        </w:rPr>
        <w:t>, the Loyalty business is reported as a discontinued operation.</w:t>
      </w:r>
      <w:r>
        <w:rPr>
          <w:color w:val="000000"/>
        </w:rPr>
        <w:t xml:space="preserve"> </w:t>
      </w:r>
      <w:r>
        <w:rPr>
          <w:rFonts w:ascii="Times New Roman;serif" w:hAnsi="Times New Roman;serif"/>
          <w:b w:val="false"/>
          <w:color w:val="000000"/>
          <w:sz w:val="20"/>
        </w:rPr>
        <w:t xml:space="preserve">The Company had a Transition Service Agreement with the Loyalty buyer whereby both parties agreed to provide services to each other. The Transition Services Agreement ended in the first quarter of 2026. The amount paid between the parties for the Transition Services Agreement for the three and six months ended June 30, 2026, was immaterial.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As of June 30, 2026 and December 31, 2025, there were no assets and liabilities of the Loyalty Business classified as held for sale. There were no discontinued operations during the three and six months ended June 30, 2026</w:t>
      </w:r>
      <w:r>
        <w:rPr>
          <w:rFonts w:ascii="Times New Roman;serif" w:hAnsi="Times New Roman;serif"/>
          <w:b w:val="false"/>
          <w:color w:val="0000FF"/>
          <w:sz w:val="20"/>
        </w:rPr>
        <w:t xml:space="preserve">. </w:t>
      </w:r>
      <w:r>
        <w:rPr>
          <w:rFonts w:ascii="Times New Roman;serif" w:hAnsi="Times New Roman;serif"/>
          <w:b w:val="false"/>
          <w:color w:val="000000"/>
          <w:sz w:val="20"/>
        </w:rPr>
        <w:t xml:space="preserve">The following table summarizes the results of discontinued operations for the three and six months ended June 30, 2025 (in thousands): </w:t>
      </w:r>
    </w:p>
    <w:tbl>
      <w:tblPr>
        <w:tblW w:w="7389" w:type="dxa"/>
        <w:jc w:val="center"/>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09"/>
        <w:gridCol w:w="367"/>
        <w:gridCol w:w="1183"/>
        <w:gridCol w:w="204"/>
        <w:gridCol w:w="109"/>
        <w:gridCol w:w="109"/>
        <w:gridCol w:w="109"/>
        <w:gridCol w:w="109"/>
        <w:gridCol w:w="109"/>
        <w:gridCol w:w="109"/>
        <w:gridCol w:w="109"/>
        <w:gridCol w:w="313"/>
        <w:gridCol w:w="1031"/>
        <w:gridCol w:w="245"/>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Loyalty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communication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72465"/>
                <wp:effectExtent l="0" t="0" r="0" b="0"/>
                <wp:wrapNone/>
                <wp:docPr id="18" name="Frame1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pPr>
      <w:r>
        <w:rPr>
          <w:rFonts w:ascii="Times New Roman;serif" w:hAnsi="Times New Roman;serif"/>
          <w:b w:val="false"/>
          <w:color w:val="000000"/>
          <w:sz w:val="20"/>
        </w:rPr>
        <w:t>There were no significant non-cash operating activities for discontinued operations for the three and six months ended June 30, 2026.</w:t>
      </w:r>
      <w:r>
        <w:rPr>
          <w:color w:val="000000"/>
        </w:rPr>
        <w:t xml:space="preserve"> </w:t>
      </w:r>
      <w:r>
        <w:rPr>
          <w:rFonts w:ascii="Times New Roman;serif" w:hAnsi="Times New Roman;serif"/>
          <w:b w:val="false"/>
          <w:color w:val="000000"/>
          <w:sz w:val="20"/>
        </w:rPr>
        <w:t>The following table summarizes the significant non-cash operating activities for discontinued operations for the three and six months ended June 30, 2025 (in thousands):</w:t>
      </w:r>
    </w:p>
    <w:p>
      <w:pPr>
        <w:pStyle w:val="TextBody"/>
        <w:bidi w:val="0"/>
        <w:spacing w:before="0" w:after="0"/>
        <w:ind w:left="0" w:right="0" w:firstLine="720"/>
        <w:jc w:val="left"/>
        <w:rPr/>
      </w:pPr>
      <w:r>
        <w:rPr/>
      </w:r>
    </w:p>
    <w:tbl>
      <w:tblPr>
        <w:tblW w:w="6713" w:type="dxa"/>
        <w:jc w:val="center"/>
        <w:tblInd w:w="0" w:type="dxa"/>
        <w:tblLayout w:type="fixed"/>
        <w:tblCellMar>
          <w:top w:w="28" w:type="dxa"/>
          <w:left w:w="28" w:type="dxa"/>
          <w:bottom w:w="28" w:type="dxa"/>
          <w:right w:w="28" w:type="dxa"/>
        </w:tblCellMar>
      </w:tblPr>
      <w:tblGrid>
        <w:gridCol w:w="929"/>
        <w:gridCol w:w="814"/>
        <w:gridCol w:w="821"/>
        <w:gridCol w:w="109"/>
        <w:gridCol w:w="109"/>
        <w:gridCol w:w="109"/>
        <w:gridCol w:w="109"/>
        <w:gridCol w:w="109"/>
        <w:gridCol w:w="433"/>
        <w:gridCol w:w="931"/>
        <w:gridCol w:w="241"/>
        <w:gridCol w:w="109"/>
        <w:gridCol w:w="109"/>
        <w:gridCol w:w="109"/>
        <w:gridCol w:w="109"/>
        <w:gridCol w:w="109"/>
        <w:gridCol w:w="314"/>
        <w:gridCol w:w="893"/>
        <w:gridCol w:w="247"/>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Six Months Ended</w:t>
              <w:br/>
              <w:t>June 30, 2025</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4.Business Combinations and Asset Acquisitions</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Distributed Technologies Research Group Ltd.</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"Closing date"), we completed the acquisition of Distributed Technologies Research Group Ltd. ("DTR") pursuant to a Share Purchase Agreement dated January 11, 2026 (the "Purchase Agreement") by and among Bakkt and the sellers of DTR (the "Closing"). We recognized goodwill from the acquisition due to the assembled, experienced workforce and anticipated growth we expect to achieve from DTR's product capabilities. The total consideration as measured at April 30, 2026 included $97.6 million in Class A common stock (the "Consideration Shares"), $1.7 million of cash paid to Akshay Naheta for the reimbursement of certain shareholder loans extended to DTR by Mr. Naheta that were outstanding immediately prior to the Closing, and $1.5 million of DTR transaction expenses we agreed to reimburse under the Purchase Agreement.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following the Closing, to the extent the Company issues shares of Common Stock in respect of warrants to purchase shares of Common Stock that were outstanding as of the date of the Purchase Agreement, the Consideration Shares will be increased by a number of shares equal to (x) 31.5% multiplied by (y) the number of shares of Common Stock issued upon the exercise or conversion of such warrants (the "top-up consideration"). Assuming all such warrants are fully exercised for cash, the Company would issue up to an additional 725,592 shares of Common Stock as part of the Consideration Shares. As part of the purchase price allocation the value of the contingent consideration was estimated to be $4.9 million. The top-up consideration was recognized as a liability measured at fair value at the Closing date since it is not indexed directly to Bakkt's own shares (it is based on the warrant exercise activity of current warrant holders).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accounting for the acquisition of DTR is preliminary as of April 30, 2026. The allocation of purchase price to assets acquired and liabilities assumed is based on management's preliminary estimates of fair value. The final determination of these fair values is subject to finalization of third-party valuations and tax assessments. Management expects to finalize the purchase price allocation as soon as practicable, but no later than one year from the acquisition date (the measurement period). The following is a reconciliation of the fair value of consideration transferred in the acquisition to the preliminary fair value of the assets acquired and liabilities assumed.</w:t>
      </w:r>
    </w:p>
    <w:tbl>
      <w:tblPr>
        <w:tblW w:w="5511" w:type="dxa"/>
        <w:jc w:val="left"/>
        <w:tblInd w:w="0" w:type="dxa"/>
        <w:tblLayout w:type="fixed"/>
        <w:tblCellMar>
          <w:top w:w="28" w:type="dxa"/>
          <w:left w:w="28" w:type="dxa"/>
          <w:bottom w:w="28" w:type="dxa"/>
          <w:right w:w="28" w:type="dxa"/>
        </w:tblCellMar>
      </w:tblPr>
      <w:tblGrid>
        <w:gridCol w:w="1139"/>
        <w:gridCol w:w="1003"/>
        <w:gridCol w:w="1008"/>
        <w:gridCol w:w="211"/>
        <w:gridCol w:w="721"/>
        <w:gridCol w:w="109"/>
        <w:gridCol w:w="386"/>
        <w:gridCol w:w="386"/>
        <w:gridCol w:w="548"/>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32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20"/>
              </w:rPr>
            </w:pPr>
            <w:r>
              <w:rPr>
                <w:rFonts w:ascii="Times New Roman;serif" w:hAnsi="Times New Roman;serif"/>
                <w:b/>
                <w:color w:val="000000"/>
                <w:sz w:val="20"/>
              </w:rPr>
              <w:t>Est. useful life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Total tangible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Marketing-related assets (trade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16,790 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72465"/>
                <wp:effectExtent l="0" t="0" r="0" b="0"/>
                <wp:wrapNone/>
                <wp:docPr id="19" name="Frame1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tbl>
      <w:tblPr>
        <w:tblW w:w="4623" w:type="dxa"/>
        <w:jc w:val="left"/>
        <w:tblInd w:w="0" w:type="dxa"/>
        <w:tblLayout w:type="fixed"/>
        <w:tblCellMar>
          <w:top w:w="28" w:type="dxa"/>
          <w:left w:w="28" w:type="dxa"/>
          <w:bottom w:w="28" w:type="dxa"/>
          <w:right w:w="28" w:type="dxa"/>
        </w:tblCellMar>
      </w:tblPr>
      <w:tblGrid>
        <w:gridCol w:w="1126"/>
        <w:gridCol w:w="988"/>
        <w:gridCol w:w="991"/>
        <w:gridCol w:w="211"/>
        <w:gridCol w:w="826"/>
        <w:gridCol w:w="109"/>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92,032 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20"/>
              </w:rPr>
            </w:pPr>
            <w:r>
              <w:rPr>
                <w:rFonts w:ascii="Times New Roman;serif" w:hAnsi="Times New Roman;serif"/>
                <w:b/>
                <w:color w:val="000000"/>
                <w:sz w:val="20"/>
              </w:rPr>
              <w:t>Total consideration transferred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000000"/>
                <w:sz w:val="20"/>
              </w:rPr>
            </w:pPr>
            <w:r>
              <w:rPr>
                <w:rFonts w:ascii="Times New Roman;serif" w:hAnsi="Times New Roman;serif"/>
                <w:b w:val="false"/>
                <w:color w:val="000000"/>
                <w:sz w:val="20"/>
              </w:rPr>
              <w:t>105,669 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assembled workforce with an estimated replacement cost of $1.2 million was also identified and valued but does not qualify for recognition as a separate intangible asset apart from goodwill and is included within the goodwill balance above.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of $92.0 million represents the excess of the consideration transferred over the fair value of the identifiable net assets acquired and is not expected to be deductible for Cyprus income tax purposes. Goodwill is primarily attributable to DTR’s assembled workforce, expected synergies from integrating DTR’s technology into Bakkt’s platform, and other benefits that do not qualify for separate recognition as identifiable intangible assets.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above fair values are as of the Closing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Other assets and liabilities were carried over at their acquired costs which was not materially different than their fair values.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Closing date fair value of the top-up consideration payable in Class A common stock based on future warrant exercises was estimated using a Monte Carlo simulation under a geometric Brownian motion / risk-neutral framework. The analysis incorporated 5,000,000 simulated paths, Bakkt’s Closing date common stock price, the risk-free rate corresponding to the warrants’ remaining contractual terms, an equity volatility assumption of 150.0% based on Bakkt’s observed stock price volatility, and the specific exercise and settlement provisions of each warrant class. The Class 1 RDO Warrants were assumed to remain outstanding through their contractual expiration and to be exercised for cash when in the money. The Class 2 RDO Warrants incorporated their alternative cashless exercise feature when applicable and otherwise assumed cash exercise. The Public SPAC Warrants were modeled based on their contractual cash exercise provisions. This fair value measurement uses significant unobservable inputs and is therefore classified as Level 3 in the fair value hierarchy. The change in fair value of the top-up consideration between the Closing date and June 30, 2026 was not material.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by DTR from the Closing date through June 30, 2026 was $6.8 million, and is included in the Company's statements of operations. Net loss generated by DTR from the Closing date through June 30, 2026 was $0.9 million, and is included in the Company's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financial information presents the Company's results of operations as if the acquisition of DTR had occurred on January 1, 2025. The unaudited pro forma financial information as presented below is for illustrative purposes and does not purport to represent what the results of operations would actually have been if the acquisition of DTR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three months and six months ended June 30, 2026 would be $172.0 million and $424.8 million, respectively. Proforma revenue for the three and six months ended June 30, 2025 would be $568.1 million and $1,633.9 million, respectively. Proforma net income attributable to Bakkt, Inc. for the three and six months ended June 30, 2026 would be $80.3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72465"/>
                <wp:effectExtent l="0" t="0" r="0" b="0"/>
                <wp:wrapNone/>
                <wp:docPr id="20" name="Frame2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$67.2 million, respectively. Proforma net loss attributable to Bakkt, Inc. for the three and six months ended June 30, 2025 would be ($16.2) million and ($10.1) million, respectively.</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Refer to Note 9, </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for related party disclosures.</w:t>
      </w:r>
    </w:p>
    <w:p>
      <w:pPr>
        <w:pStyle w:val="TextBody"/>
        <w:bidi w:val="0"/>
        <w:spacing w:lineRule="auto" w:line="333"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Gyzer Inc.</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2026 (the “Gyzer Closing Date”), Opco acquired 100% of the issued and outstanding capital stock of Gyzer Inc. (“Gyzer”) pursuant to a Stock Purchase Agreement with Gyzer’s founder (the “Seller”). The primary purpose of the transaction was to secure the services of Gyzer’s three key personnel (the “Retained Individuals”), who entered into employment and restrictive covenant agreements with the Company concurrently with closing. All other Gyzer personnel were terminated as of the Gyzer Closing Date.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evaluated the transaction under the framework in ASC 805-10-55-5A and concluded that substantially all of the value acquired was concentrated in the Retained Individuals and that Gyzer did not include a substantive process at the Gyzer Closing Date. Accordingly, the transaction does not meet the definition of a business under ASC 805 and has been accounted for as an asset acquisition in accordance with ASC 805-50, under which the cost of the transaction was accumulated and allocated to an acquired workforce intangible asset, with direct, incremental transaction costs capitalized as a component of that cost.</w:t>
      </w:r>
    </w:p>
    <w:p>
      <w:pPr>
        <w:pStyle w:val="TextBody"/>
        <w:bidi w:val="0"/>
        <w:spacing w:lineRule="auto" w:line="333"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 consisted of the following:</w:t>
      </w:r>
    </w:p>
    <w:tbl>
      <w:tblPr>
        <w:tblW w:w="10205" w:type="dxa"/>
        <w:jc w:val="left"/>
        <w:tblInd w:w="0" w:type="dxa"/>
        <w:tblLayout w:type="fixed"/>
        <w:tblCellMar>
          <w:top w:w="28" w:type="dxa"/>
          <w:left w:w="28" w:type="dxa"/>
          <w:bottom w:w="28" w:type="dxa"/>
          <w:right w:w="28" w:type="dxa"/>
        </w:tblCellMar>
      </w:tblPr>
      <w:tblGrid>
        <w:gridCol w:w="3215"/>
        <w:gridCol w:w="2795"/>
        <w:gridCol w:w="2803"/>
        <w:gridCol w:w="299"/>
        <w:gridCol w:w="873"/>
        <w:gridCol w:w="220"/>
      </w:tblGrid>
      <w:tr>
        <w:trPr/>
        <w:tc>
          <w:tcPr>
            <w:tcW w:w="321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88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w:t>
            </w:r>
          </w:p>
        </w:tc>
        <w:tc>
          <w:tcPr>
            <w:tcW w:w="139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Amount ($000's)</w:t>
            </w:r>
          </w:p>
        </w:tc>
      </w:tr>
      <w:tr>
        <w:trPr/>
        <w:tc>
          <w:tcPr>
            <w:tcW w:w="8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satisfy outstanding Seller loan to Gyzer</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94,595 shares of Class A common stock (contingently issuable, see below)</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warrant to purchase 50,000 shares of Class A common stock, exercise price $10.00 per share (contingently exercisable, see below)</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incremental transaction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stock and warrant consideration components above are subject to forfeiture and will not vest (and, in the case of the warrant, will not become exercisable) unless one of the following performance conditions is achieved during the two-year period following the Gyzer Closing Date (the "performance period"): (i) $250 million in aggregate trading volume on the Company’s platform attributable to the Seller, or (ii) the volume-weighted average price of the Company’s common stock equaling or exceeding $25.00 per share for 20 consecutive trading days. If neither condition is satisfied within the performance period (as it may be extended under the agreement), the unvested shares and warrant will be automatically cancelled without further consideration.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Gyzer Closing Date fair values of the stock and warrant consideration components above were determined using a Monte Carlo simulation, given the market-condition-based vesting feature of both instruments. The simulation modeled 100,000 potential future paths of the Company’s stock price over the two-year performance period using a Geometric Brownian Motion model, based on (i) a starting stock price of $8.55 per share, the closing price of the Company’s common stock on the Gyzer Closing Date, (ii) a risk-free rate of 3.92%, based on the two-year U.S. Treasury note, and (iii) an annualized volatility assumption of 105%, developed from a blend of the Company’s own observed historical stock price volatility following a change in its business strategy and ownership structure and the observed volatility of a group of guideline public companies. In each simulated path in which the $25.00 stock price hurdle was not met, the instruments were assumed to vest based on management’s estimate of the probability of achieving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72465"/>
                <wp:effectExtent l="0" t="0" r="0" b="0"/>
                <wp:wrapNone/>
                <wp:docPr id="21" name="Frame2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$250 million trading volume threshold. The resulting values in each simulated path were discounted to present value at the risk-free rate and averaged across all paths to arrive at the acquisition-date fair value of each instrument.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consideration was allocated entirely to an assembled workforce intangible asset, reflecting the acquisition of the Retained Individuals’ expertise and continuity of operations. The intangible asset is being amortized on a straight-line basis over its 24-month useful life, which management believes reflects the pattern in which the economic benefits of the asset are expected to be consumed.</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separate warrant to purchase up to 200,000 shares of Class A common stock was issued to the Seller in connection with his employment agreement as Chief Commercial Officer of the Company. Because that warrant is subject to service- and performance-based vesting and is forfeited upon termination of employment, it is accounted for as stock-based compensation under ASC 718 and is not included in the consideration transferred for the Gyzer acquisition. See Note 14, Share-Based and Unit-Based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5.Revenue from Contracts with Customers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Crypto Services revenue by service type as follows (in thousands):</w:t>
      </w:r>
    </w:p>
    <w:tbl>
      <w:tblPr>
        <w:tblW w:w="10022"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323"/>
        <w:gridCol w:w="1265"/>
        <w:gridCol w:w="167"/>
        <w:gridCol w:w="109"/>
        <w:gridCol w:w="109"/>
        <w:gridCol w:w="109"/>
        <w:gridCol w:w="323"/>
        <w:gridCol w:w="1265"/>
        <w:gridCol w:w="167"/>
        <w:gridCol w:w="109"/>
        <w:gridCol w:w="109"/>
        <w:gridCol w:w="109"/>
        <w:gridCol w:w="284"/>
        <w:gridCol w:w="1114"/>
        <w:gridCol w:w="147"/>
        <w:gridCol w:w="109"/>
        <w:gridCol w:w="109"/>
        <w:gridCol w:w="109"/>
        <w:gridCol w:w="250"/>
        <w:gridCol w:w="1157"/>
        <w:gridCol w:w="18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w:t>
              <w:br/>
              <w:t>June 30,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1,633,829 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568,103 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1,633,859 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Bakkt recognized revenue from foreign jurisdictions of $22.4 million and $54.0 million </w:t>
      </w:r>
      <w:r>
        <w:rPr>
          <w:rFonts w:ascii="Times New Roman;serif" w:hAnsi="Times New Roman;serif"/>
          <w:b w:val="false"/>
          <w:color w:val="000000"/>
          <w:sz w:val="20"/>
          <w:shd w:fill="FFFFFF" w:val="clear"/>
        </w:rPr>
        <w:t>for the three and six months ended June 30, 2026 respectively, and $32.2 million and $67.0 million for the three and six months ended June 30, 2025, respectively.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to which its revenues relate.</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Contract liabilities consist of deferred revenue for amounts invoiced prior to the Company meeting the criteria for revenue recognition. Bakkt invoices customers for service fees at the beginning of service performance, and such fees are recognized as revenue over time as the Company satisfies performance obligations. Contract liabilities are classified as “Deferred revenue, current” and “Deferred revenue, noncurrent” in the consolidated balance sheets. The activity in deferred revenue for the six months ended June 30, 2026 and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respectively, was as follows (in thousands):</w:t>
      </w:r>
    </w:p>
    <w:tbl>
      <w:tblPr>
        <w:tblW w:w="10205" w:type="dxa"/>
        <w:jc w:val="left"/>
        <w:tblInd w:w="0" w:type="dxa"/>
        <w:tblLayout w:type="fixed"/>
        <w:tblCellMar>
          <w:top w:w="28" w:type="dxa"/>
          <w:left w:w="28" w:type="dxa"/>
          <w:bottom w:w="28" w:type="dxa"/>
          <w:right w:w="28" w:type="dxa"/>
        </w:tblCellMar>
      </w:tblPr>
      <w:tblGrid>
        <w:gridCol w:w="2474"/>
        <w:gridCol w:w="2168"/>
        <w:gridCol w:w="2182"/>
        <w:gridCol w:w="404"/>
        <w:gridCol w:w="892"/>
        <w:gridCol w:w="208"/>
        <w:gridCol w:w="109"/>
        <w:gridCol w:w="109"/>
        <w:gridCol w:w="109"/>
        <w:gridCol w:w="423"/>
        <w:gridCol w:w="814"/>
        <w:gridCol w:w="313"/>
      </w:tblGrid>
      <w:tr>
        <w:trPr/>
        <w:tc>
          <w:tcPr>
            <w:tcW w:w="247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contract liability</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 included in the beginning balance</w:t>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cash received, net of amounts recognized in revenue during the period</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contract liability</w:t>
            </w:r>
          </w:p>
        </w:tc>
        <w:tc>
          <w:tcPr>
            <w:tcW w:w="4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For the three and six months ended June 30, 2026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Company incurred no incremental costs to obtain and/or fulfill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72465"/>
                <wp:effectExtent l="0" t="0" r="0" b="0"/>
                <wp:wrapNone/>
                <wp:docPr id="22" name="Frame2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6.Goodwill and Intangible Assets,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goodwill consisted of the following (in thousands):</w:t>
      </w:r>
    </w:p>
    <w:tbl>
      <w:tblPr>
        <w:tblW w:w="4814"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109"/>
        <w:gridCol w:w="109"/>
        <w:gridCol w:w="109"/>
        <w:gridCol w:w="211"/>
        <w:gridCol w:w="97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Bakkt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DTR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goodwill in the amount of $92.0 million in connection with the acquisition of DTR.</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was allocated to the sale of the Loyalty Business based on the financial terms and conditions of the sale of that business.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completed the sale of Bakkt Trust. As part of the sale, approximately $3.3 million of goodwill was included in the carrying amount of Bakkt Trust upon sale and in determining the loss on sale.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Bakkt management did not identify any indicators of impairment related to goodwill and other intangible assets during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Company's largest digital assets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 potential impairment of the Company's goodwill during the three months ended March 31, 2025. Bakkt management elected to bypass performing a qualitative assessment and proceeded directly to a quantitative impairment assessment.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retained a third-party valuation firm to estimate the fair value of its indefinite lived intangible asset (the “Tradename”) and single reporting unit.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72465"/>
                <wp:effectExtent l="0" t="0" r="0" b="0"/>
                <wp:wrapNone/>
                <wp:docPr id="23" name="Frame2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 rate used in the valuations described above was 12.5%.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the Company’s quantitative impairment analyses as of March 31, 2025 indicated that there was no impairment of the Company’s Tradename or goodwill. Bakkt management considered the existence of material nonpublic information as of March 31, 2025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787"/>
        <w:gridCol w:w="548"/>
        <w:gridCol w:w="474"/>
        <w:gridCol w:w="608"/>
        <w:gridCol w:w="570"/>
        <w:gridCol w:w="572"/>
        <w:gridCol w:w="109"/>
        <w:gridCol w:w="109"/>
        <w:gridCol w:w="109"/>
        <w:gridCol w:w="283"/>
        <w:gridCol w:w="969"/>
        <w:gridCol w:w="146"/>
        <w:gridCol w:w="109"/>
        <w:gridCol w:w="109"/>
        <w:gridCol w:w="109"/>
        <w:gridCol w:w="409"/>
        <w:gridCol w:w="903"/>
        <w:gridCol w:w="212"/>
        <w:gridCol w:w="109"/>
        <w:gridCol w:w="109"/>
        <w:gridCol w:w="109"/>
        <w:gridCol w:w="301"/>
        <w:gridCol w:w="579"/>
        <w:gridCol w:w="156"/>
        <w:gridCol w:w="109"/>
        <w:gridCol w:w="109"/>
        <w:gridCol w:w="109"/>
        <w:gridCol w:w="267"/>
        <w:gridCol w:w="913"/>
        <w:gridCol w:w="200"/>
      </w:tblGrid>
      <w:tr>
        <w:trPr/>
        <w:tc>
          <w:tcPr>
            <w:tcW w:w="78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 trade names</w:t>
            </w:r>
          </w:p>
        </w:tc>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workforce</w:t>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compete agreements</w:t>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Marketing-related assets</w:t>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72465"/>
                <wp:effectExtent l="0" t="0" r="0" b="0"/>
                <wp:wrapNone/>
                <wp:docPr id="24" name="Frame2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8"/>
        <w:gridCol w:w="490"/>
        <w:gridCol w:w="493"/>
        <w:gridCol w:w="647"/>
        <w:gridCol w:w="613"/>
        <w:gridCol w:w="614"/>
        <w:gridCol w:w="109"/>
        <w:gridCol w:w="109"/>
        <w:gridCol w:w="109"/>
        <w:gridCol w:w="313"/>
        <w:gridCol w:w="915"/>
        <w:gridCol w:w="161"/>
        <w:gridCol w:w="109"/>
        <w:gridCol w:w="109"/>
        <w:gridCol w:w="109"/>
        <w:gridCol w:w="459"/>
        <w:gridCol w:w="884"/>
        <w:gridCol w:w="238"/>
        <w:gridCol w:w="109"/>
        <w:gridCol w:w="109"/>
        <w:gridCol w:w="109"/>
        <w:gridCol w:w="109"/>
        <w:gridCol w:w="301"/>
        <w:gridCol w:w="579"/>
        <w:gridCol w:w="156"/>
        <w:gridCol w:w="109"/>
        <w:gridCol w:w="109"/>
        <w:gridCol w:w="109"/>
        <w:gridCol w:w="292"/>
        <w:gridCol w:w="853"/>
        <w:gridCol w:w="222"/>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67" w:type="dxa"/>
            <w:gridSpan w:val="3"/>
            <w:tcBorders/>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 trade names</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7.Consolidated Balance Sheet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8186" w:type="dxa"/>
        <w:jc w:val="left"/>
        <w:tblInd w:w="0" w:type="dxa"/>
        <w:tblLayout w:type="fixed"/>
        <w:tblCellMar>
          <w:top w:w="28" w:type="dxa"/>
          <w:left w:w="28" w:type="dxa"/>
          <w:bottom w:w="28" w:type="dxa"/>
          <w:right w:w="28" w:type="dxa"/>
        </w:tblCellMar>
      </w:tblPr>
      <w:tblGrid>
        <w:gridCol w:w="1744"/>
        <w:gridCol w:w="1532"/>
        <w:gridCol w:w="1539"/>
        <w:gridCol w:w="258"/>
        <w:gridCol w:w="883"/>
        <w:gridCol w:w="133"/>
        <w:gridCol w:w="109"/>
        <w:gridCol w:w="109"/>
        <w:gridCol w:w="109"/>
        <w:gridCol w:w="344"/>
        <w:gridCol w:w="1175"/>
        <w:gridCol w:w="251"/>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customers, clients and liquidity partners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Included in other receivables is $5.0 million due from the buyer of the Loyalty Business under the Purchase Agreement. See Note 17,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 description of the litigation the Company filed against the buyer of the Loyalty Business.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Other Current Assets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(in thousands):</w:t>
      </w:r>
    </w:p>
    <w:tbl>
      <w:tblPr>
        <w:tblW w:w="6416" w:type="dxa"/>
        <w:jc w:val="left"/>
        <w:tblInd w:w="0" w:type="dxa"/>
        <w:tblLayout w:type="fixed"/>
        <w:tblCellMar>
          <w:top w:w="28" w:type="dxa"/>
          <w:left w:w="28" w:type="dxa"/>
          <w:bottom w:w="28" w:type="dxa"/>
          <w:right w:w="28" w:type="dxa"/>
        </w:tblCellMar>
      </w:tblPr>
      <w:tblGrid>
        <w:gridCol w:w="1103"/>
        <w:gridCol w:w="967"/>
        <w:gridCol w:w="975"/>
        <w:gridCol w:w="258"/>
        <w:gridCol w:w="883"/>
        <w:gridCol w:w="133"/>
        <w:gridCol w:w="109"/>
        <w:gridCol w:w="109"/>
        <w:gridCol w:w="109"/>
        <w:gridCol w:w="344"/>
        <w:gridCol w:w="1175"/>
        <w:gridCol w:w="251"/>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 from Loyalty buyer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Loyalty buyer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72465"/>
                <wp:effectExtent l="0" t="0" r="0" b="0"/>
                <wp:wrapNone/>
                <wp:docPr id="25" name="Frame2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(in thousands):</w:t>
      </w:r>
    </w:p>
    <w:tbl>
      <w:tblPr>
        <w:tblW w:w="7480" w:type="dxa"/>
        <w:jc w:val="left"/>
        <w:tblInd w:w="0" w:type="dxa"/>
        <w:tblLayout w:type="fixed"/>
        <w:tblCellMar>
          <w:top w:w="28" w:type="dxa"/>
          <w:left w:w="28" w:type="dxa"/>
          <w:bottom w:w="28" w:type="dxa"/>
          <w:right w:w="28" w:type="dxa"/>
        </w:tblCellMar>
      </w:tblPr>
      <w:tblGrid>
        <w:gridCol w:w="1487"/>
        <w:gridCol w:w="1308"/>
        <w:gridCol w:w="1315"/>
        <w:gridCol w:w="287"/>
        <w:gridCol w:w="839"/>
        <w:gridCol w:w="148"/>
        <w:gridCol w:w="109"/>
        <w:gridCol w:w="109"/>
        <w:gridCol w:w="109"/>
        <w:gridCol w:w="380"/>
        <w:gridCol w:w="1110"/>
        <w:gridCol w:w="279"/>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gross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and 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depreciation and amortization expense related to property, equipment and software amounted to $0.2 million and $0.3 million, of which $0.1 million and $0.2 million, respectively, related to amortization expense of capitalized internal-use software placed in service. For the three and six months ended June 30, 2026, the Company recognized impairment charges $1.2 million related to capitalized software. No impairment charges were recognized for the three and six months ended June 30, 2025.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and amortization expense related to property, equipment and software amounted to $0.2 million and $0.4 million, of which $0.1 million and $0.3 million, respectively, related to amortization expense of capitalized internal-use software placed in service.</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Equity Method Investment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equity method investment balances were as follows (in thousands):</w:t>
      </w:r>
    </w:p>
    <w:p>
      <w:pPr>
        <w:pStyle w:val="TextBody"/>
        <w:bidi w:val="0"/>
        <w:spacing w:before="0" w:after="0"/>
        <w:jc w:val="both"/>
        <w:rPr/>
      </w:pPr>
      <w:r>
        <w:rPr/>
      </w:r>
    </w:p>
    <w:tbl>
      <w:tblPr>
        <w:tblW w:w="4557" w:type="dxa"/>
        <w:jc w:val="left"/>
        <w:tblInd w:w="0" w:type="dxa"/>
        <w:tblLayout w:type="fixed"/>
        <w:tblCellMar>
          <w:top w:w="28" w:type="dxa"/>
          <w:left w:w="28" w:type="dxa"/>
          <w:bottom w:w="28" w:type="dxa"/>
          <w:right w:w="28" w:type="dxa"/>
        </w:tblCellMar>
      </w:tblPr>
      <w:tblGrid>
        <w:gridCol w:w="430"/>
        <w:gridCol w:w="377"/>
        <w:gridCol w:w="379"/>
        <w:gridCol w:w="258"/>
        <w:gridCol w:w="883"/>
        <w:gridCol w:w="133"/>
        <w:gridCol w:w="109"/>
        <w:gridCol w:w="109"/>
        <w:gridCol w:w="109"/>
        <w:gridCol w:w="344"/>
        <w:gridCol w:w="1175"/>
        <w:gridCol w:w="251"/>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Bitcoin.co.jp</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2025, the Company entered into a share purchase agreement with RIZAP Group, Inc. under which it acquired approximately 28% of the outstanding shares of Bitcoin Japan Corporation ("BJC", f.k.a., MarushoHotta Co., Ltd.), a publicly traded company listed in Tokyo for ¥1,676,551,082 ($11.5 million). As of June 30, 2026, there was no material basis differences between the carrying value of the investment and the amount of underlying equity in the net assets of BJC. Bakkt’s Chief Executive Officer is a member of the board of directors of BJC.</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 net loss of $0.3 million and $0.5 million for the three and six months ended June 30, 2026, respectively related to its share of net earnings of BJC. No amounts were recorded for the three and six months ended June 30, 2025 as the Company did not have an ownership interest in BJC during that period.</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identify any indicators of impairment as of the reporting date. The value of Bakkt's investment in BJC based on the public trading price as of June 30, 2026 was approximately $16.7 million.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consisted of the following (in thousands):</w:t>
      </w:r>
    </w:p>
    <w:tbl>
      <w:tblPr>
        <w:tblW w:w="6250" w:type="dxa"/>
        <w:jc w:val="left"/>
        <w:tblInd w:w="0" w:type="dxa"/>
        <w:tblLayout w:type="fixed"/>
        <w:tblCellMar>
          <w:top w:w="28" w:type="dxa"/>
          <w:left w:w="28" w:type="dxa"/>
          <w:bottom w:w="28" w:type="dxa"/>
          <w:right w:w="28" w:type="dxa"/>
        </w:tblCellMar>
      </w:tblPr>
      <w:tblGrid>
        <w:gridCol w:w="1043"/>
        <w:gridCol w:w="916"/>
        <w:gridCol w:w="921"/>
        <w:gridCol w:w="287"/>
        <w:gridCol w:w="839"/>
        <w:gridCol w:w="148"/>
        <w:gridCol w:w="109"/>
        <w:gridCol w:w="109"/>
        <w:gridCol w:w="109"/>
        <w:gridCol w:w="380"/>
        <w:gridCol w:w="1110"/>
        <w:gridCol w:w="279"/>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clearinghouse</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 for sale of Loyalty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26" name="Frame2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digital assets it owns as indefinite-lived intangible assets and initially measures such digital assets at cost (under a first-in, first-out basis). These assets are not amortized, but are measured at fair value each reporting period with changes recognized in net income (loss). Bakkt generally holds a nominal amount of each digital asset it supports on its platform to facilitate trades and settlements, if necessary. The digital assets are reported in "Other assets" on the consolidated balance sheets and fair value changes are recognized in "other income, net" on the consolidated statements of operations. The Company's owned digital assets are typically liquidated on a daily basis during the fulfillment of customer orders and settlement with liquidity providers. Fair value changes were not material for the three and six months ended June 30, 2026. Bakkt's owned digital assets were $1.2 million and $1.2 million as of June 30, 2026 and December 31, 2025. The Company classifies cash flows from digital assets within cash flows from operating activities.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Accounts Payable and Accrued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consisted of the following (in thousands):</w:t>
      </w:r>
    </w:p>
    <w:tbl>
      <w:tblPr>
        <w:tblW w:w="6206" w:type="dxa"/>
        <w:jc w:val="left"/>
        <w:tblInd w:w="0" w:type="dxa"/>
        <w:tblLayout w:type="fixed"/>
        <w:tblCellMar>
          <w:top w:w="28" w:type="dxa"/>
          <w:left w:w="28" w:type="dxa"/>
          <w:bottom w:w="28" w:type="dxa"/>
          <w:right w:w="28" w:type="dxa"/>
        </w:tblCellMar>
      </w:tblPr>
      <w:tblGrid>
        <w:gridCol w:w="1027"/>
        <w:gridCol w:w="902"/>
        <w:gridCol w:w="906"/>
        <w:gridCol w:w="287"/>
        <w:gridCol w:w="839"/>
        <w:gridCol w:w="148"/>
        <w:gridCol w:w="109"/>
        <w:gridCol w:w="109"/>
        <w:gridCol w:w="109"/>
        <w:gridCol w:w="344"/>
        <w:gridCol w:w="1175"/>
        <w:gridCol w:w="25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clients and customers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(in thousands):</w:t>
      </w:r>
    </w:p>
    <w:tbl>
      <w:tblPr>
        <w:tblW w:w="7150" w:type="dxa"/>
        <w:jc w:val="left"/>
        <w:tblInd w:w="0" w:type="dxa"/>
        <w:tblLayout w:type="fixed"/>
        <w:tblCellMar>
          <w:top w:w="28" w:type="dxa"/>
          <w:left w:w="28" w:type="dxa"/>
          <w:bottom w:w="28" w:type="dxa"/>
          <w:right w:w="28" w:type="dxa"/>
        </w:tblCellMar>
      </w:tblPr>
      <w:tblGrid>
        <w:gridCol w:w="1368"/>
        <w:gridCol w:w="1202"/>
        <w:gridCol w:w="1210"/>
        <w:gridCol w:w="342"/>
        <w:gridCol w:w="756"/>
        <w:gridCol w:w="176"/>
        <w:gridCol w:w="109"/>
        <w:gridCol w:w="109"/>
        <w:gridCol w:w="109"/>
        <w:gridCol w:w="380"/>
        <w:gridCol w:w="1110"/>
        <w:gridCol w:w="279"/>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 liability</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 (in thousands):</w:t>
      </w:r>
    </w:p>
    <w:tbl>
      <w:tblPr>
        <w:tblW w:w="6430" w:type="dxa"/>
        <w:jc w:val="left"/>
        <w:tblInd w:w="0" w:type="dxa"/>
        <w:tblLayout w:type="fixed"/>
        <w:tblCellMar>
          <w:top w:w="28" w:type="dxa"/>
          <w:left w:w="28" w:type="dxa"/>
          <w:bottom w:w="28" w:type="dxa"/>
          <w:right w:w="28" w:type="dxa"/>
        </w:tblCellMar>
      </w:tblPr>
      <w:tblGrid>
        <w:gridCol w:w="1108"/>
        <w:gridCol w:w="973"/>
        <w:gridCol w:w="979"/>
        <w:gridCol w:w="287"/>
        <w:gridCol w:w="839"/>
        <w:gridCol w:w="148"/>
        <w:gridCol w:w="109"/>
        <w:gridCol w:w="109"/>
        <w:gridCol w:w="109"/>
        <w:gridCol w:w="448"/>
        <w:gridCol w:w="992"/>
        <w:gridCol w:w="329"/>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DTR top-up consideration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8.Investment in Transchem Limited Warrants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2026 (the "allotment date"), Opco was allotted 47,500,000 warrants (the “Transchem Warrants”) to subscribe for equity shares of Transchem Limited (“Transchem”), an Indian company listed on the BSE Limited, on a preferential basis under the SEBI (ICDR) Regulations, 2018. The Company paid upfront subscription consideration of 25% of the total warrant issue price, or ₹18.75 per warrant (approximately $9,409,784 in the aggregate at the transaction-date exchange rate), with the remaining 75% (₹56.25 per warrant, or approximately $28,258,858 in the aggregate at the June 30, 2026 exchange rate) payable only upon exercise. Each Transchem Warrant is exercisable on a 1-for-1 basis into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72465"/>
                <wp:effectExtent l="0" t="0" r="0" b="0"/>
                <wp:wrapNone/>
                <wp:docPr id="27" name="Frame2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Transchem equity share and expires 18 months from the allotment date. Upon full exercise, and absent other capital changes at Transchem, the Company's holding would represent approximately 64.4% of Transchem's fully diluted equity.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an unrealized gain of approximately $98.3 million related to the change in fair value of the Transchem Warrants during the period in which they were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9.Convertible Debenture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Bakkt entered into a private placement with YA II PN, LTD. (the "Private Placement"), a Cayman Islands exempt limited company (the “Investor”). The Private Placement closed on June 18, 2025.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Private Placement, the Investor purchased a $25 million convertible debenture (the “Convertible Debenture”) from the Company for a price of $23.75 million. The Company used the net proceeds from the Private Placement for working capital and general corporate purposes.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received conversion notices from the Investor to convert $17.5 million of the Convertible Debenture into Class A Common Stock. In total, 1,746,552 shares of Class A Common Stock were issued to the Investor with respect to the conversions. On September 15, 2025, the Company elected to redeem the remaining $7.5 million of Convertible Debentures for cash, including a redemption premium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10.Tax Receivable Agreement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15, 2021, Bakkt entered into a Tax Receivable Agreement (the "TRA") with certain Opco equity holders. Each Opco common unit, when coupled with one share of the Company's Class V Common Stock was referred to as a “Paired Interest.” Pursuant to the TRA, among other things, holders of Opco Common Units could, subject to certain conditions, exchange such Paired Interests for Class A Common Stock on a one-for-one basis, subject to the terms of the Amended and Restated Exchange Agreement, dated as of May 3, 2022 (the "Exchange Agreement"), including Bakkt's right to elect to deliver cash in lieu of Class A Common Stock and, in certain cases, adjustments as set forth therein. Opco had in effect an election under Section 754 of the Internal Revenue Code for each taxable year in which an exchange of Opco Common Units for Class A Common Stock (or cash) occurred.</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exchanges were expected to result in increases in the tax basis of the tangible and intangible assets of Opco. Those increases in tax basis could have potentially reduced the amount of tax that the Company would have otherwise be required to pay in the future. Those increases in tax basis also could have potentially decreased gains (or increased losses) on future dispositions of certain capital assets to the extent tax basis was allocated to those capital assets.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 provided for the payment by the Company to exchanging holders of Opco Common Units of 85% of certain net income tax benefits, if any, that the Company realized (or in certain cases was deemed to realize) as a result of these increases in tax basis related to entering into the TRA, including tax benefits attributable to payments under the TRA. This payment obligation was an obligation of the Company and not of Opco. For purposes of the TRA, the cash tax savings in income tax is computed by comparing the Company's actual income tax liability (calculated with certain assumptions) to the amount of such taxes that the Company would have been required to pay had there been no increase to the tax basis of the assets of Opco as a result of Opco having an election in effect under Section 754 of the Code for each taxable year in which an exchange of Opco Common Units for Class A Common Stock occurred and had the Company not entered into the TRA. Such change is calculated under the TRA without regard to any transfers of Opco Common Units or distributions with respect to such Opco Common Units before the exchange under the Exchange Agreement to which Section 743(b) or 734(b) of the Code applies. Prior to the Reorganization on November 3, 2025, 1,063,576 Opco Common Units were exchanged for Class A Common Stock.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Bakkt, Intercontinental Exchange Holdings, Inc. ("ICE") and Mr. Naheta entered into an amendment (the “TRA Amendment”) to the TRA, dated as of October 15, 2021, by and among the Company and the persons named therein, as well as a Contribution Agreement relating to their respective rights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72465"/>
                <wp:effectExtent l="0" t="0" r="0" b="0"/>
                <wp:wrapNone/>
                <wp:docPr id="28" name="Frame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TRA (as amended, the “Contribution Agreement”). Pursuant to the TRA Amendment and the Contribution Agreement, ICE and Mr. Naheta agreed that they would, at closing, (i) contribute their rights under the TRA to the Company in exchange for a cash payment from the Company equal to the respective amount to which ICE and Mr. Naheta would otherwise be entitled under the TRA (as amended), (ii) Mr. Naheta would further contribute such cash payable to Mr. Naheta to the Company in exchange for shares of the Company Class A Common Stock, and (iii) ICE would further contribute such cash payable to ICE to the Company in exchange for shares of Series A Non-Voting Convertible Preferred Stock (“Preferred Stock”) of the Company, each convertible into one share of the Company Class A Common Stock (such conversion being conditional upon the expiry or termination of the waiting period (and any extension thereof, including pursuant to any timing agreement) applicable to it under the Hart-Scott-Rodino Antitrust Improvements Act of 1976, as amended (the “HSR Act”)), and further agreed that the respective obligations of ICE and Mr. Naheta, on the one hand, and the Company, on the other hand, to transfer the foregoing cash amounts will be net-settled and offset against one another. In addition, the TRA Amendment set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 At the completion of the Reorganization, the Company issued 465,890 and 69,733 shares of the Company Class A Common Stock to ICE and Mr. Naheta, respectively. Total expense for the TRA settlement was $26.9 million, recorded in operating expenses within the consolidated statements of operations for the year ended December 31, 2025. The payments to TRA holders other than ICE and Mr. Naheta were $5.7 million; approximately $0.5 million remained to be paid under the TRA settlement as of June 30, 2026. The Reorganization terminated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11.Related Parties</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DTR Acquisition</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Purchase Agreement</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On January 11, 2026,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("Mr. Naheta"), pursuant to which the Company agreed to acquire all of the outstanding equity interests in DTR from Mr. Naheta and the other beneficial owners of the DTR shares (collectively, the “DTR Holders”) in exchange for the Company issuing the Consideration Shares (as defined below) to the DTR Holders (the “DTR Acquisition”). </w:t>
      </w:r>
      <w:r>
        <w:rPr>
          <w:rFonts w:ascii="Times New Roman;serif" w:hAnsi="Times New Roman;serif"/>
          <w:b w:val="false"/>
          <w:color w:val="000000"/>
          <w:sz w:val="20"/>
        </w:rPr>
        <w:t xml:space="preserve">Mr. Naheta is Chief Executive Officer (“CEO”), President and a member of the Board. Prior to the Closing (as defined below), Opco designated </w:t>
      </w:r>
      <w:r>
        <w:rPr>
          <w:rFonts w:ascii="Times New Roman;serif" w:hAnsi="Times New Roman;serif"/>
          <w:b w:val="false"/>
          <w:color w:val="000000"/>
          <w:sz w:val="20"/>
          <w:shd w:fill="FFFFFF" w:val="clear"/>
        </w:rPr>
        <w:t xml:space="preserve">an indirect </w:t>
      </w:r>
      <w:r>
        <w:rPr>
          <w:rFonts w:ascii="Times New Roman;serif" w:hAnsi="Times New Roman;serif"/>
          <w:b w:val="false"/>
          <w:color w:val="000000"/>
          <w:sz w:val="20"/>
        </w:rPr>
        <w:t xml:space="preserve">wholly-owned subsidiary incorporated in Cyprus, Bividen Limited (“Bividen”), as the Buyer Designee (as defined in the Purchase Agreement) pursuant to the Purchase Agreement, and Bividen replaced Opco as Buyer (as defined in the Purchase Agreement) for purposes of consummating the DTR Acquisition. </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Pursuant to the terms and subject to the conditions set forth in the Purchase Agreement, on April 30, 2026, the Company, through Bividen, completed the DTR Acquisition (the “Closing”). At Closing, the Company issued an aggregate of 11,316,775 shares (such shares, the “Consideration Shares”) of Common Stock, comprised of (A) 31.5% of (i) the aggregate number of shares of Common Stock that were issued and outstanding immediately prior to the Closing plus (ii) the aggregate number of shares of the Company’s capital stock issuable upon full exercise or conversion of any options or other convertible derivative securities (which was deemed to include the Company’s outstanding pre-funded warrants) that were outstanding immediately prior to the Closing, on an as-converted basis, but excluding any outstanding warrants to purchase shares of the Common Stock, or 2,303,465 shares, less (B) the Adjustment Amount (as defined below). The aggregate number of shares of Common Stock issuable as Consideration Shares was reduced by 196,532 shares of Common Stock (the “Adjustment Amount”) pursuant to the terms of the Purchase Agreement, which such Adjustment Amount equals (x) the aggregate amount of certain shareholder loans extended to DTR by </w:t>
      </w:r>
      <w:r>
        <w:rPr>
          <w:rFonts w:ascii="Times New Roman;serif" w:hAnsi="Times New Roman;serif"/>
          <w:b w:val="false"/>
          <w:color w:val="000000"/>
          <w:sz w:val="20"/>
          <w:shd w:fill="FFFFFF" w:val="clear"/>
        </w:rPr>
        <w:t>Mr. Naheta</w:t>
      </w:r>
      <w:r>
        <w:rPr>
          <w:color w:val="000000"/>
        </w:rPr>
        <w:t xml:space="preserve"> </w:t>
      </w:r>
      <w:r>
        <w:rPr>
          <w:rFonts w:ascii="Times New Roman;serif" w:hAnsi="Times New Roman;serif"/>
          <w:b w:val="false"/>
          <w:color w:val="000000"/>
          <w:sz w:val="20"/>
        </w:rPr>
        <w:t xml:space="preserve">or his affiliates that were outstanding immediately prior to the Closing and (y) transaction expenses that DTR or Mr. Naheta incurred in excess of the $1.5 million of transaction expenses that the Company agreed to reimburse under the Purchase Agreement divided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72465"/>
                <wp:effectExtent l="0" t="0" r="0" b="0"/>
                <wp:wrapNone/>
                <wp:docPr id="29" name="Frame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by (z) the volume-weighted average trading price for a share of Class A Common Stock measured over the 20 consecutive trading day period ending on and including the day immediately prior to the Closing, or $8.65.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following the Closing, to the extent the Company issues shares of Common Stock in respect of warrants to purchase shares of Common Stock that were outstanding as of the date of the Purchase Agreement, the Consideration Shares will be increased by a number of shares equal to (x) 31.5% multiplied by (y) the number of shares of Common Stock issued upon the exercise or conversion of such warrants. Assuming all such warrants are fully exercised for cash, the Company would issue up to an additional 725,592 shares of Common Stock as part of the Consideration Shares.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Special Committee of the Board, composed entirely of independent and disinterested directors (the “Special Committee”), was formed and granted full authority to review, negotiate, and approve the terms of the DTR Acquisition on behalf of the Company. After evaluating the DTR Acquisition, the Special Committee unanimously determined that the DTR Acquisition was fair to, and in the best interests of, the Company and its stockholders (excluding Mr. Naheta and his affiliates), approved the DTR Acquisition, and recommended that the full Board (excluding Mr. Naheta from such consideration) approve the DTR Acquisition.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Special Committee’s approval, the Board (excluding Mr. Naheta from such consideration) approved the DTR Acquisition and determined to submit the DTR Acquisition to the Company’s stockholders for approval. Mr. Naheta is a member of the Board, and recused himself from consideration and deliberation with respect to the DTR Acquisition and abstained from the vote.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In connection with the Purchase Agreement: (i) each current DTR Holder entered into a joinder agreement with Opco, the Company, DTR and </w:t>
      </w:r>
      <w:r>
        <w:rPr>
          <w:rFonts w:ascii="Times New Roman;serif" w:hAnsi="Times New Roman;serif"/>
          <w:b w:val="false"/>
          <w:color w:val="000000"/>
          <w:sz w:val="20"/>
          <w:shd w:fill="FFFFFF" w:val="clear"/>
        </w:rPr>
        <w:t>Mr. Naheta</w:t>
      </w:r>
      <w:r>
        <w:rPr>
          <w:color w:val="000000"/>
        </w:rPr>
        <w:t xml:space="preserve"> </w:t>
      </w:r>
      <w:r>
        <w:rPr>
          <w:rFonts w:ascii="Times New Roman;serif" w:hAnsi="Times New Roman;serif"/>
          <w:b w:val="false"/>
          <w:color w:val="000000"/>
          <w:sz w:val="20"/>
        </w:rPr>
        <w:t xml:space="preserve">pursuant to which such DTR Holder agrees to be bound by, and assume, all of the obligations and liabilities of </w:t>
      </w:r>
      <w:r>
        <w:rPr>
          <w:rFonts w:ascii="Times New Roman;serif" w:hAnsi="Times New Roman;serif"/>
          <w:b w:val="false"/>
          <w:color w:val="000000"/>
          <w:sz w:val="20"/>
          <w:shd w:fill="FFFFFF" w:val="clear"/>
        </w:rPr>
        <w:t>Mr. Naheta</w:t>
      </w:r>
      <w:r>
        <w:rPr>
          <w:color w:val="000000"/>
        </w:rPr>
        <w:t xml:space="preserve"> </w:t>
      </w:r>
      <w:r>
        <w:rPr>
          <w:rFonts w:ascii="Times New Roman;serif" w:hAnsi="Times New Roman;serif"/>
          <w:b w:val="false"/>
          <w:color w:val="000000"/>
          <w:sz w:val="20"/>
        </w:rPr>
        <w:t xml:space="preserve">under the Purchase Agreement, (ii) </w:t>
      </w:r>
      <w:r>
        <w:rPr>
          <w:rFonts w:ascii="Times New Roman;serif" w:hAnsi="Times New Roman;serif"/>
          <w:b w:val="false"/>
          <w:color w:val="000000"/>
          <w:sz w:val="20"/>
          <w:shd w:fill="FFFFFF" w:val="clear"/>
        </w:rPr>
        <w:t>Mr. Naheta</w:t>
      </w:r>
      <w:r>
        <w:rPr>
          <w:color w:val="000000"/>
        </w:rPr>
        <w:t xml:space="preserve"> </w:t>
      </w:r>
      <w:r>
        <w:rPr>
          <w:rFonts w:ascii="Times New Roman;serif" w:hAnsi="Times New Roman;serif"/>
          <w:b w:val="false"/>
          <w:color w:val="000000"/>
          <w:sz w:val="20"/>
        </w:rPr>
        <w:t xml:space="preserve">entered into a non-competition agreement (the “Non-Competition Agreement”) with the Company, (iii) each current DTR Holder, the Company, Mr. Naheta and ICE entered into an amended and restated registration rights agreement (the “Amended and Restated RRA”) and (iv) each of the Company’s directors, executive officers and certain stockholders holding more than five percent of the Company’s voting securities (collectively, the “Voting and Support Parties”) executed a voting and support agreement (the “Voting and Support Agreement”) with the Company and DTR. The Voting and Support Agreement automatically terminated at the Closing.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of the DTR Acquisition, the Company issued approximately 8,322,949 shares of Class A Common Stock to Akshay Naheta, in exchange for approximately 91,555,125 shares of DTR capital stock held by Mr. Naheta (which such number is inclusive of certain shares of Class A Common Stock held of record by Mr. Naheta as nominee and custodian for certain former equity holders of DTR pursuant to certain agreements, as to which Mr. Naheta disclaims beneficial ownership). In addition, the Company issued at the Closing of the DTR acquisition approximately 735,615 shares of Class A Common Stock to Lotus Grove Trust (the “Lotus Trust”) in exchange for approximately 8,092,000 shares of DTR capital stock held by the Lotus Trust, which is a trust for the benefit of certain members of Mr. Naheta’s immediate family. Mr. Naheta does not have any pecuniary interest in the Lotus Trust and will not exercise voting control or investment power over such shares of Class A Common Stock held by the Lotus Trust. </w:t>
      </w:r>
    </w:p>
    <w:p>
      <w:pPr>
        <w:pStyle w:val="TextBody"/>
        <w:bidi w:val="0"/>
        <w:spacing w:lineRule="auto" w:line="333"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Non-Competition Agreement</w:t>
      </w:r>
    </w:p>
    <w:p>
      <w:pPr>
        <w:pStyle w:val="TextBody"/>
        <w:bidi w:val="0"/>
        <w:spacing w:lineRule="auto" w:line="333"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72465"/>
                <wp:effectExtent l="0" t="0" r="0" b="0"/>
                <wp:wrapNone/>
                <wp:docPr id="30" name="Frame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w:t>
      </w:r>
    </w:p>
    <w:p>
      <w:pPr>
        <w:pStyle w:val="TextBody"/>
        <w:bidi w:val="0"/>
        <w:spacing w:lineRule="auto" w:line="333"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Amended and Restated Registration Rights Agreement</w:t>
      </w:r>
    </w:p>
    <w:p>
      <w:pPr>
        <w:pStyle w:val="TextBody"/>
        <w:bidi w:val="0"/>
        <w:spacing w:lineRule="auto" w:line="333"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Amended and Restated RRA, which is effective at the Closing, amends and restates that certain Registration Rights Agreement dated as of October 15, 2021 (the “Prior RRA”), pursuant to which the Company granted ICE and the other holders party thereto certain registration rights with respect to certain securities of the Company. Under the terms of the Amended and Restated RRA, the Company agreed, among other things, to register for resale (a) any Common Stock currently owned by ICE or that may be issued upon exercise of any warrants currently owned by ICE, (b) the Consideration Shares, and (c) any other equity securities of the Company issued or issuable to any stockholder with respect to any such share of Common Stock referred to in clauses (a) and (b) by way of a stock dividend or stock split or in connection with a combination of shares, recapitalization, merger, consolidation or reorganization (collectively, the “Registrable Securities”). Pursuant to the terms of the Amended and Restated RRA, the Company prepared and filed a registration statement with the U.S. Securities and Exchange Commission (the “SEC”) to register for resale the Registrable Securities. The Company has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w:t>
      </w:r>
    </w:p>
    <w:p>
      <w:pPr>
        <w:pStyle w:val="TextBody"/>
        <w:bidi w:val="0"/>
        <w:spacing w:lineRule="auto" w:line="333"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Voting and Support Agreement</w:t>
      </w:r>
    </w:p>
    <w:p>
      <w:pPr>
        <w:pStyle w:val="TextBody"/>
        <w:bidi w:val="0"/>
        <w:spacing w:lineRule="auto" w:line="333"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Voting and Support Agreement, the Voting and Support Parties agreed to vote their shares of the Company’s common stock and preferred stock (including those owned beneficially) (collectively, the “Subject Shares”), in favor of the DTR Acquisition. The Voting and Support Agreement also contained restrictions on transfer of Subject Shares held by the Voting and Support Parties. The Voting and Support Agreement automatically terminated upon the Closing. As at signing of the Voting and Support Agreement, the Voting and Support Parties together beneficially owned approximately 36.1% of the Company’s outstanding shares of Common Stock.</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Commercial Agreement With DTR</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Bakkt entered into a Commercial Agreement (the “Commercial Agreement”) with DTR, which at the time was owned by Mr. Naheta, which set forth the terms and conditions governing the integration of Bakkt’s various solutions related to financial transaction processing and digital asset trading with DTR’s technology related to the execution of global payments powered by stablecoins.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Commercial Agreement, DTR granted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was processed under the Commercial Agreement, Bakkt was entitled to a customary fee for similar types of transactions. As of April 30, 2026, no payments were made under the Commercial Agreement The Commercial Agreement terminated upon the Closing of the Company's acquisition of DTR.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72465"/>
                <wp:effectExtent l="0" t="0" r="0" b="0"/>
                <wp:wrapNone/>
                <wp:docPr id="31" name="Frame3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Marketing Agreement</w:t>
      </w:r>
    </w:p>
    <w:p>
      <w:pPr>
        <w:pStyle w:val="TextBody"/>
        <w:bidi w:val="0"/>
        <w:spacing w:lineRule="auto" w:line="333" w:before="240" w:after="283"/>
        <w:ind w:left="0" w:right="0" w:firstLine="720"/>
        <w:jc w:val="both"/>
        <w:rPr/>
      </w:pPr>
      <w:r>
        <w:rPr>
          <w:rFonts w:ascii="Times New Roman;serif" w:hAnsi="Times New Roman;serif"/>
          <w:b w:val="false"/>
          <w:color w:val="000000"/>
          <w:sz w:val="20"/>
        </w:rPr>
        <w:t>In August 2025, the Company entered into agreements with a family member of an executive of BJC for branding and website management services and public relations and social media management services.</w:t>
      </w:r>
      <w:r>
        <w:rPr>
          <w:color w:val="000000"/>
        </w:rPr>
        <w:t xml:space="preserve"> </w:t>
      </w:r>
      <w:r>
        <w:rPr>
          <w:rFonts w:ascii="Times New Roman;serif" w:hAnsi="Times New Roman;serif"/>
          <w:b w:val="false"/>
          <w:color w:val="000000"/>
          <w:sz w:val="20"/>
        </w:rPr>
        <w:t>There were no fees payable under these agreements as of June 30, 2026. We paid $0.1 million and $0.1 million under such agreements during the three and six month periods ended June 30, 2026.</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Sale of Bakkt Trust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17, 2025, Bakkt entered into an agreement with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of Bakkt Trust was completed on May 15, 2025. As a result of the sale, Bakkt recognized a loss of $2.3 million reflected in Other income, net in the consolidated statement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related to pass through of a portion of third-party software costs and time incurred by Bakkt employees that supported Bakkt Trust. The TSA could be terminated with six months' notice by either party for cause or by mutual agreement of the parties but expired under normal course as of December 31, 2025. Amounts billed under the TSA were generally recognized as a recovery of expenses incurred or as a component of "Other income, net" in the consolidated statements of operations. No amounts were owed to Bakkt under the TSA as of June 30, 2026. </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ICE Credit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2024, Bakkt and Opco entered into a revolving credit facility with ICE (the “ICE Credit Facility”), a major shareholder, (the “Lender”), with certain subsidiaries of Bakkt party thereto from time to time, as guarantors, whereby the Lender agreed to provide a secured revolving line of credit of up to $40.0 million to the Company for working capital and general corporate purposes.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ICE Credit Facility did not amortize. Borrowings under the ICE Credit Facility accrued interest at a rate equal to, at Opco’s election, either the secured overnight financing rate (“SOFR”) for a term of one, three or six months plus 12%, or the prime rate plus 11%.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Opco paid a commitment fee of 0.5% per annum on the daily average of the available commitment that could be borrowed, less the outstanding principal amount of all loans (excluding any capitalized interest). Loans under the ICE Credit Facility could be prepaid without penalty, subject to customary breakage costs for loans bearing interest at the term SOFR rate. Amounts repaid under the ICE Credit Facility could be reborrowed prior to the maturity date, subject to certain customary conditions set forth in the ICE Credit Facility.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2025, the Company drew down $5.0 million under ICE Credit Facility. On June 17, 2025, the Company, the Borrower and ICE entered into an amendment to the ICE Credit Facility to permit the issuance of a convertible debenture which has since been redeemed in full. On June 18, 2025, the Company repaid all principal and accrued interest then outstanding on the ICE Credit Facility. On July 30, 2025, the Company terminated the ICE Credit Facility and repaid all fees due thereunder through the date of termination.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interest expense of less than $0.1 million for the three and six months ended June 30, 2025. The effective interest rate on the ICE Credit Facility as of payoff on June 18, 2025 was 16.3%.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72465"/>
                <wp:effectExtent l="0" t="0" r="0" b="0"/>
                <wp:wrapNone/>
                <wp:docPr id="32" name="Frame3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12.Warrants</w:t>
      </w:r>
    </w:p>
    <w:p>
      <w:pPr>
        <w:pStyle w:val="TextBody"/>
        <w:bidi w:val="0"/>
        <w:spacing w:lineRule="auto" w:line="333"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Gyzer Warrants</w:t>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Gyzer Inc. on May 7, 2026, the Company issued certain warrants as part of the purchase consideration and compensation arrangements. As purchase consideration, the seller received a warrant to purchase up to 50,000 shares of the Company's Class A common stock at an exercise price of $10.00 per share. The warrant vests upon the earlier of (i) the achievement of $250 million in aggregate trading volume attributable to the holder on the Company's platform during the applicable performance period, subject to an extension of the performance period if specified operating conditions relating to the Company's U.S. dollar payment capabilities are not satisfied within two months of the closing date, or (ii) the volume-weighted average price of the Company's Class A common stock equaling or exceeding $25.00 per share for 20 consecutive trading days during the performance period.</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pursuant to an employment agreement entered into at closing, Gyzer's Chief Executive Officer, Daniel Charles Ishag, received an employee warrant to purchase up to 200,000 shares of the Company's Class A common stock at an exercise price of $10.00 per share. Of these warrants, 30,000 shares vest based solely on continued service over a two-year period in four equal installments of 7,500 shares on each of the six-month, one-year, eighteen-month, and two-year anniversaries of the grant date. The remaining 170,000 warrant shares vest upon the achievement of specified aggregate trading volume milestones on the Company's platform during the applicable performance period, subject to the same extension provisions related to the Company's U.S. dollar payment capabilities. The Company accounts for these warrants in accordance with the applicable guidance under U.S. GAAP based on their respective terms and conditions.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warrants issued in connection with the acquisition and related employment agreement under the guidance of ASC 480, Distinguishing Liabilities from Equity, ASC 815, Derivatives and Hedging, and, where applicable, ASC 718, Compensation—Stock Compensation. The Company concluded that the warrants qualify for equity classification and recorded them at their respective grant-date fair values. The acquisition-related warrant was included as purchase consideration, while the employee warrant is recognized as share-based compensation expense over the applicable vesting period.</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Pre-Funded 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Pre-Funded Warrants to purchase 2,475,201 shares of Class A Common Stock were issued in connection with the Company’s registered direct offering on February 27, 2026 (the "2026 Registered Direct Offering") and were issued pursuant to a purchase agreement with a single investor (the "2026 Pre-Funded Warrants"). The warrants were exercisable at any time at the holder’s option, either through cash payment of a nominal exercise price of $0.0001 per share or on a cashless basis. The 2026 Pre-Funded Warrants were exercised in full in April 2026.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April 29, 2026, the investors holding the 2026 Pre-Funded Warrants elected to exercise them in full and purchase an aggregate 2,475,201 shares of Class A Common Stock. The Company received an immaterial amount of proceeds from the exercise of the 2026 Pre-Funded Warrants.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As discussed further in Note 13, </w:t>
      </w:r>
      <w:r>
        <w:rPr>
          <w:rFonts w:ascii="Times New Roman;serif" w:hAnsi="Times New Roman;serif"/>
          <w:b w:val="false"/>
          <w:i/>
          <w:color w:val="000000"/>
          <w:sz w:val="20"/>
        </w:rPr>
        <w:t>Stockholders' Equity</w:t>
      </w:r>
      <w:r>
        <w:rPr>
          <w:rFonts w:ascii="Times New Roman;serif" w:hAnsi="Times New Roman;serif"/>
          <w:b w:val="false"/>
          <w:color w:val="000000"/>
          <w:sz w:val="20"/>
        </w:rPr>
        <w:t>, in connection with the Underwriting Agreement entered into on July 28, 2025, the Company issued pre-funded warrants (the “2025 Pre-Funded Warrants”) to purchase an aggregate of 746,373 shares of the Company’s Class A common stock, par value $0.0001 per share. The 2025 Pre-Funded Warrants were issued as part of the Company’s public offering of Class A common stock and were sold at a price of $9.9999 per warrant, representing the $10.00 per share public offering price less the $0.0001 per share exercise price. Each Pre-Funded Warrant was exercisable at any time after the date of issuance until exercised in full, subject to certain ownership limitations. During the second half of 2025, 746,373 pre-funded warrants were exercised for 743,362 shares.</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were 7,140,383 public warrants to purchase Class A Common Stock (the "Public Warrants") outstanding. Holders of The Public Warrants can exercise 25 Public Warrants to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33" name="Frame3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proceeds were received from the exercise of the Public Warrants during the six months ended June 30, 2026. During the six months ended June 30, 2025, the Company received an immaterial amount of proceeds from the exercise of the Public Warrants. From the change in fair value of the warrant liability, Bakkt recognized a gain of $0.6 million and a $0.7 million, respectively during the three and six months ended June 30, 2026. During the three and six months ended June 30, 2025, Bakkt recognized a gain of $0.2 million and a gain of $2.8 million, respectively from the change in fair value of the warrant liability.</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Class 1 and Class 2 Warrants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and April 2024, Bakkt issued and sold Class 1 Warrants (“Class 1 Warrants”) to purchase an aggregate of 1,153,402 shares of Class A Common Stock, Class 2 Warrants (“Class 2 Warrants”) to purchase an aggregate of 1,153,402 shares of Class A Common Stock and Pre-Funded Warrants (“2024 Pre-Funded Warrants”) to purchase an aggregate of 448,742 shares of Class A Common Stock.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1 and Class 2 Warrants each have an exercise price of $25.50 and have a five-and-a-half year term. The Class 1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are initially recorded as a liability at fair value and reflected as “Warrant liability” in the consolidated balance sheets.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1 Warrants and Class 2 Warrants issued on April 25, 2024 were valued at $2.6 million using the Black-Scholes-Merton model for Class 1 Warrants and a binomial lattice model for the Class 2 Warrants. Prior to the second quarter of 2024, the Company used a Monte Carlo simulation to measure the fair value of the Class 2 Warrants. During the second quarter of 2024, management 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Class 1 Warrants and Class 2 Warrants exercisable for 2,017,850 shares of Class A Common Stock remain outstanding. The Company recognized a gain from the change in fair value of the warrant liability associated with the Class 1 and Class 2 Warrants of $0.8 million and $5.4 million during the three and six months ended June 30, 2026. The Company recognized a loss of $8.8 million and a gain of $20.9 million, respectively firing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13.Stockholders' Equity</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2026 Registered Direct Offering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2026 Registered Direct Offering, the Company issued 3,024,799 shares of Class A common stock at a purchase price of $8.75 per share and the 2026 Pre-Funded Warrants to purchase an aggregate of 2,475,201 shares of Class A Common Stock at a purchase price of $8.7499 per pre-funded warrant to a single investor. The 2026 Pre-Funded Warrants were exercised in full in April 2026, and as a result 2,475,201 shares of Class A Common Stock were issued in April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34" name="Frame3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At-the-Market Offering</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16, 2026, the Company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Common Stock, through the Sales Agents. Sales of Common Stock made pursuant to the Sales Agreement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As of June 30, 2026, 1,990,434 shares have been sold for gross proceeds of $21.5 million and net proceeds of $20.8 million.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Up-C Collapse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On November 3, 2025, the Company completed the Reorganization. 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Opco,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(defined in Note 14, </w:t>
      </w:r>
      <w:r>
        <w:rPr>
          <w:rFonts w:ascii="Times New Roman;serif" w:hAnsi="Times New Roman;serif"/>
          <w:b w:val="false"/>
          <w:i/>
          <w:color w:val="000000"/>
          <w:sz w:val="20"/>
        </w:rPr>
        <w:t>Share-Based Compensation</w:t>
      </w:r>
      <w:r>
        <w:rPr>
          <w:rFonts w:ascii="Times New Roman;serif" w:hAnsi="Times New Roman;serif"/>
          <w:b w:val="false"/>
          <w:color w:val="000000"/>
          <w:sz w:val="20"/>
        </w:rPr>
        <w:t xml:space="preserve">)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a corresponding number of validly issued, fully paid and nonassessable share of NewCo Class A Common Stock. Subsequent to the Reorganization, Bakkt has only one class of common stock. As part of the Reorganization, the assets and liabilities of Bakkt were contributed to Newco. The Reorganization was accounted for as a common control transaction. Refer to Note 10, </w:t>
      </w:r>
      <w:r>
        <w:rPr>
          <w:rFonts w:ascii="Times New Roman;serif" w:hAnsi="Times New Roman;serif"/>
          <w:b w:val="false"/>
          <w:i/>
          <w:color w:val="000000"/>
          <w:sz w:val="20"/>
        </w:rPr>
        <w:t>Tax Receivable Agreement</w:t>
      </w:r>
      <w:r>
        <w:rPr>
          <w:rFonts w:ascii="Times New Roman;serif" w:hAnsi="Times New Roman;serif"/>
          <w:b w:val="false"/>
          <w:color w:val="000000"/>
          <w:sz w:val="20"/>
        </w:rPr>
        <w:t xml:space="preserve">, for further details regarding the amendment of the Tax Receivable Agreement resulting from the Reorganization.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Equity Offering</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(the “Offering”). The price to the public in the Offering was $10.00 per Share and $9.9999 per 2025 Pre-Funded Warrant, which was the price per share at which the Shares were being sold to the public in the Offering, minus the $0.0001 exercise price per Pre-Funded Warrant. See Note 10, </w:t>
      </w:r>
      <w:r>
        <w:rPr>
          <w:rFonts w:ascii="Times New Roman;serif" w:hAnsi="Times New Roman;serif"/>
          <w:b w:val="false"/>
          <w:i/>
          <w:color w:val="000000"/>
          <w:sz w:val="20"/>
        </w:rPr>
        <w:t>Warrants</w:t>
      </w:r>
      <w:r>
        <w:rPr>
          <w:rFonts w:ascii="Times New Roman;serif" w:hAnsi="Times New Roman;serif"/>
          <w:b w:val="false"/>
          <w:color w:val="000000"/>
          <w:sz w:val="20"/>
        </w:rPr>
        <w:t xml:space="preserve">, for further details regarding the 2025 Pre-Funded Warrants.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Offering closed on July 30, 2025. The proceeds to the Company from the Offering were $70.4 million, net of fees to the underwriters and other offering expenses payable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35" name="Frame3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is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June 30, 2026, no shares of preferred stock are outstanding.</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560,000,000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June 30, 2026 and December 31, 2025, there were 45,059,802 and 25,523,039 shares of Class A Common Stock issued and outstanding, respectively.</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Increase of Authorized Capital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June 17, 2025, Bakkt was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(the "Board") out of funds legally available therefor. As of June 30, 2026, no dividends have been declared.</w:t>
      </w:r>
    </w:p>
    <w:p>
      <w:pPr>
        <w:pStyle w:val="TextBody"/>
        <w:bidi w:val="0"/>
        <w:spacing w:lineRule="auto" w:line="333"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A Common Stock are entitled to share ratably in all assets remaining after payment of Bakkt's debts and other liabilities, subject to prior distribution rights of preferred stock or any class or series of stock having a preference over the Class A Common Stock, then outstanding, if any.</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Reorganization, Bakkt was authorized to issue 10,000,000 shares of Class V common stock with par value $0.0001 per share (“Class V Common Stock”). These shares had no economic value but entitled the holder to one vote per share. The outstanding Class V Common Stock were exchanged for Class A Common Stock in the Reorganization, and as such, as of June 30, 2026 and December 31, 2025, there were 0 shares of Class V Common Stock issued and outstanding,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36" name="Frame3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14.Share-Based and Unit-Based Compensation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Company’s share-based and unit-based compensation awards includes awards related to continuing and discontinuing operations, unless otherwise clarified.</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2021 Incentive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2021 Omnibus Incentive Plan, as amended (the “2021 Incentive Plan”), became effective on October 15, 2021. The 2021 Incentive Plan allows the Company to make equity and equity-based incentive awards to employees, non-employee directors and consultants. There are 4,014,121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granted under the 2021 Incentive Plan may vest earlier than the first anniversary of the date of grant, subject to limited exceptions.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 xml:space="preserve">Inducement Awards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Mr. Naheta’s appointment as Co-Chief Executive Officer, Mr. Naheta received (i) 1,607,717 PSUs and (2) 11,426 RSUs (together, the “Inducement Grant”). The RSUs vested on March 19, 2026. The PSUs vest over a three-year performance period based on attainment of stock price appreciation metrics that are measured based on a rolling 90-day volume weighted average price. The Inducement Grant is subject to the terms of the 2021 Incentive Plan as if granted thereunder. As of June 30, 2026, 803,861 PSUs have vested and 803,856 remain outstanding.</w:t>
      </w:r>
    </w:p>
    <w:p>
      <w:pPr>
        <w:pStyle w:val="TextBody"/>
        <w:bidi w:val="0"/>
        <w:spacing w:lineRule="auto" w:line="333" w:before="24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2025, the Board and its Compensation Committee (the “Compensation Committee”) granted stock options to select members of management to purchase up to 2,000,000 shares of Class A Common Stock (the “Options”), subject to approval by the Company's shareholders, which approval was obtained on October 31, 2025. For accounting purposes, the Options were not deemed to be granted until shareholder approval was obtained on October 31,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Options are structured as a commitment by the grantee to exercise a predetermined number of Options every quarter for eight quarters (such committed number of Options, the “Mandatory Exercise Options”) at an exercise price per share of $10.00, which reflected the fair market value of a share of Class A Common Stock on the date of the grant. For each quarter in which the grantee exercises the Mandatory Exercise Options, the grantee will be entitled to exercise an additional number of Options (the “Optional Exercise Options”), which Optional Exercise Options will become exercisable for a period of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The Company’s stock option plan (the "Option Plan") permits early exercise of options, allowing the grantee to purchase shares prior to the vesting date, subject to the commencement of the first mandatory exercise period. Shares acquired through early exercise of unvested options are subject to transfer restrictions and may not be sold or otherwise disposed of until the applicable vesting conditions are satisfied. In order to further facilitate management’s continued participation and investment in Company growth, in the event that any Options are forfeited by a grantee in accordance with the forfeiture terms set forth above, the Options will be available for reallocation 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 As of June 30, 2026, 90,005 options have been exercised for proceeds of $0.8 million. </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Employment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2465"/>
                <wp:effectExtent l="0" t="0" r="0" b="0"/>
                <wp:wrapNone/>
                <wp:docPr id="37" name="Frame3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2026, the Company granted equity awards to Daniel Charles Ishag in connection with the Company's acquisition of Gyzer and Ishag's concurrent appointment as the Company's Chief Commercial Officer. The equity awards consist of 94,595 shares of Bakkt Class A common stock (the "Consideration Shares"), warrants exercisable for 50,000 shares of Common Stock (the "Consideration Warrants), and a warrant exercisable for 200,000 shares of Common Stock (the "Employment Agreement Warrant"). All securities are recognized as equity-based compensation in accordance with FASB ASC Topic 718, Compensation – Stock Compensation.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Employment Agreement Warrant has two vesting components. The time-based component provides that 30,000 shares will vest ratably in four equal installments of 7,500 shares on the six-, 12-, 18-, and 24-month anniversaries of the grant date, subject to continued employment. The performance-based component provides that 170,000 shares will vest in four tranches of 42,500 shares each upon Bakkt achieving aggregate platform trading volume thresholds of $1.0 billion, $1.25 billion, $1.5 billion, and $1.75 billion, respectively, during the two-year performance period. The warrant has an exercise price of $10.00 per share, terminates in July 2028, and is subject to forfeiture if applicable vesting conditions are not met. The Company recognizes stock-based compensation expense equal to the grant date fair value of the awards over the applicable service and performance periods.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Determination of Fair Value of the Employment Awards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Consideration Shares and Consideration Warrants were valued using Monte Carlo simulation with 100,000 trials to model whether the $25.00 price hurdle or $250 million trading volume threshold would be achieved. The Employment Agreement Warrant was valued using the Black-Scholes option pricing model. For the 30,000 time-based shares, no probability adjustment was applied. For the 170,000 performance-based shares, the model incorporated management's estimated probability of achievement for each trading volume threshold.</w:t>
      </w:r>
    </w:p>
    <w:p>
      <w:pPr>
        <w:pStyle w:val="TextBody"/>
        <w:bidi w:val="0"/>
        <w:spacing w:before="0" w:after="0"/>
        <w:jc w:val="left"/>
        <w:rPr/>
      </w:pPr>
      <w:r>
        <w:rPr/>
      </w:r>
    </w:p>
    <w:tbl>
      <w:tblPr>
        <w:tblW w:w="4863" w:type="dxa"/>
        <w:jc w:val="center"/>
        <w:tblInd w:w="0" w:type="dxa"/>
        <w:tblLayout w:type="fixed"/>
        <w:tblCellMar>
          <w:top w:w="28" w:type="dxa"/>
          <w:left w:w="28" w:type="dxa"/>
          <w:bottom w:w="28" w:type="dxa"/>
          <w:right w:w="28" w:type="dxa"/>
        </w:tblCellMar>
      </w:tblPr>
      <w:tblGrid>
        <w:gridCol w:w="1249"/>
        <w:gridCol w:w="1099"/>
        <w:gridCol w:w="1102"/>
        <w:gridCol w:w="280"/>
        <w:gridCol w:w="280"/>
        <w:gridCol w:w="699"/>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Parameter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Issuance Date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$25.00 Price Hurdle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$250M Volume Threshold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Employment Agreement Warrant performance-based tranches, management estimated probabilities of 55%, 50%, 45%, and 40% for the $1.0 billion, $1.25 billion, $1.5 billion, and $1.75 billion thresholds, respectively. Volatility was derived from a weighted blend of Bakkt's observed volatility since its strategic pivot (42% weighting at issuance, 46% at valuation) and top quartile guideline public company volatility (58% and 54%, respectively). Risk-free rates were based on two-year U.S. Treasury note yields, consistent with the award performance periods.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232,062 and 283,777 RSUs respectively to employees and directors under the 2021 Incentive Plan. During the three and six months ended June 30, 2026 the Company granted no PSUs to employees and directors under the 2021 Incentive Plan.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Bakkt granted 160,032 and 887,881 RSUs respectively to employees and directors under the 2021 Incentive plan. During the three and six months ended June 30, 2025, Bakkt granted 1,793,873 PSUs to employees and directors under the 2021 Incentive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Bakkt recorded $0.9 million and $2.0 million of share-based compensation expense related to RSUs during the three and six months ended June 30, 2026, respectively. Bakkt recorded $3.1 million and $5.7 million of share-based compensation expense related to RSUs during the three and six months ended June 30, 2025, respectively.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2465"/>
                <wp:effectExtent l="0" t="0" r="0" b="0"/>
                <wp:wrapNone/>
                <wp:docPr id="38" name="Frame3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recorded $1.2 million and $2.9 million in share-based compensation expense related to PSUs during the three and six months ended June 30, 2026, respectively. The Company recorded $2.7 million and $3.2 million of share-based compensation expense related to PSUs during the three and six months ended June 30, 2025. Share-based compensation expense for both RSUs and PSUs is included in “Compensation and benefits” in the consolidated statements of operations, except where classified as Restructuring expenses for certain accelerated vestings as described below. Due to the Option Plan’s early exercise feature, the Company recognized the full grant-date fair value of the stock options during the year ended December 31, 2025.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Unrecognized compensation expense as of June 30, 2026 and December 31, 2025 was $4.0 million and $6.5 million, respectively, for the RSUs and PSUs. The unrecognized compensation expense as of June 30, 2026 and December 31, 2025 will be recognized over a weighted-average period of 1.18 years and 0.80 years, respectively.</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RSU and PSU Activity</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RSU and PSU activity for the six months ended June 30, 2026 and June 30, 2025 (in thousands, except per unit data):</w:t>
      </w:r>
    </w:p>
    <w:tbl>
      <w:tblPr>
        <w:tblW w:w="10205" w:type="dxa"/>
        <w:jc w:val="left"/>
        <w:tblInd w:w="0" w:type="dxa"/>
        <w:tblLayout w:type="fixed"/>
        <w:tblCellMar>
          <w:top w:w="28" w:type="dxa"/>
          <w:left w:w="28" w:type="dxa"/>
          <w:bottom w:w="28" w:type="dxa"/>
          <w:right w:w="28" w:type="dxa"/>
        </w:tblCellMar>
      </w:tblPr>
      <w:tblGrid>
        <w:gridCol w:w="742"/>
        <w:gridCol w:w="639"/>
        <w:gridCol w:w="485"/>
        <w:gridCol w:w="506"/>
        <w:gridCol w:w="451"/>
        <w:gridCol w:w="453"/>
        <w:gridCol w:w="109"/>
        <w:gridCol w:w="109"/>
        <w:gridCol w:w="109"/>
        <w:gridCol w:w="828"/>
        <w:gridCol w:w="828"/>
        <w:gridCol w:w="831"/>
        <w:gridCol w:w="109"/>
        <w:gridCol w:w="109"/>
        <w:gridCol w:w="109"/>
        <w:gridCol w:w="431"/>
        <w:gridCol w:w="1260"/>
        <w:gridCol w:w="222"/>
        <w:gridCol w:w="109"/>
        <w:gridCol w:w="109"/>
        <w:gridCol w:w="109"/>
        <w:gridCol w:w="299"/>
        <w:gridCol w:w="1023"/>
        <w:gridCol w:w="226"/>
      </w:tblGrid>
      <w:tr>
        <w:trPr/>
        <w:tc>
          <w:tcPr>
            <w:tcW w:w="7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 and PSUs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Bakkt recorded $1.9 million and $1.9 million, respectively of share-based compensation expense related to the accelerated vesting of awards for certain employees, primarily related to the sale of Bakkt Trust and the termination of a former executive.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fair value of vested RSU and PSU awards was $3.2 million and $4.8 million respectively for the three and six months ended June 30, 2026. Total fair value of vested RSU and PSU awards was $4.1 million and $6.9 million, respectively, for the three and six months ended June 30, 2025.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RSUs and PSUs used in determining share-based compensation expense is based on the closing price of the Company's Common Stock on the grant date for standard RSUs and PSUs.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2465"/>
                <wp:effectExtent l="0" t="0" r="0" b="0"/>
                <wp:wrapNone/>
                <wp:docPr id="39" name="Frame3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tbl>
      <w:tblPr>
        <w:tblW w:w="3224" w:type="dxa"/>
        <w:jc w:val="center"/>
        <w:tblInd w:w="0" w:type="dxa"/>
        <w:tblLayout w:type="fixed"/>
        <w:tblCellMar>
          <w:top w:w="28" w:type="dxa"/>
          <w:left w:w="28" w:type="dxa"/>
          <w:bottom w:w="28" w:type="dxa"/>
          <w:right w:w="28" w:type="dxa"/>
        </w:tblCellMar>
      </w:tblPr>
      <w:tblGrid>
        <w:gridCol w:w="679"/>
        <w:gridCol w:w="596"/>
        <w:gridCol w:w="600"/>
        <w:gridCol w:w="395"/>
        <w:gridCol w:w="395"/>
        <w:gridCol w:w="55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stock price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$8.71 - $12.79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2 - 3 years</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3.79% - 3.98%</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333" w:before="240" w:after="283"/>
        <w:ind w:left="0" w:right="0" w:firstLine="720"/>
        <w:jc w:val="both"/>
        <w:rPr/>
      </w:pPr>
      <w:r>
        <w:rPr>
          <w:rFonts w:ascii="Times New Roman;serif" w:hAnsi="Times New Roman;serif"/>
          <w:b w:val="false"/>
          <w:color w:val="000000"/>
          <w:sz w:val="20"/>
        </w:rPr>
        <w:t>PSUs provide an opportunity for the recipient to receive a number of shares of Common Stock based on various performance metrics. Upon vesting, each PSU equals one share of Common Stock. The Company accrues compensation expense for the PSUs based on management's assessment of the probable outcome of the performance conditions. No PSUs were granted during the six months ended June 30, 2026.</w:t>
      </w:r>
      <w:r>
        <w:rPr>
          <w:color w:val="0000FF"/>
        </w:rPr>
        <w:t xml:space="preserve"> </w:t>
      </w:r>
      <w:r>
        <w:rPr>
          <w:rFonts w:ascii="Times New Roman;serif" w:hAnsi="Times New Roman;serif"/>
          <w:b w:val="false"/>
          <w:color w:val="000000"/>
          <w:sz w:val="20"/>
        </w:rPr>
        <w:t xml:space="preserve">PSUs awarded in 2025 are subject to market-based vesting conditions tied to the Company’s stock performance. Specifically, PSUs vest based on the achievement of a target stock price, determined using the volume-weighted average price ("VWAP") of the Common Stock over a specified period. Vesting occurs only if the Company's average stock price meets or exceeds predetermined VWAP thresholds during the measurement period and in many instances the recipients must provide at least one year of service. The metrics for PSUs granted during 2024 related to the Company's performance during fiscal year 2024, as measured against objective performance goals approved by the Board. The actual number of units earned range from 0% to 150% or 200% of the target number of units depending on the metric and achievement of the 2024 performance goals. PSUs granted in 2024 vest in two equal annual installments from 2025 to 2026. The metrics for PSUs granted during 2023 related to Bakkt's performance during fiscal year 2023, as measured against objective performance goals approved by the Board. The actual number of units earned range from 0% to 150% of the target number of units depending upon achievement of the 2023 performance goals. PSUs granted in 2023 vest in three equal annual installments from 2024 to 2026. </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Option Plan Activity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under the Option Plan for the six months ended June 30, 2026. There was no activity related to the Option Plan for the six months ended June 30, 2025.</w:t>
      </w:r>
    </w:p>
    <w:tbl>
      <w:tblPr>
        <w:tblW w:w="10205" w:type="dxa"/>
        <w:jc w:val="left"/>
        <w:tblInd w:w="0" w:type="dxa"/>
        <w:tblLayout w:type="fixed"/>
        <w:tblCellMar>
          <w:top w:w="28" w:type="dxa"/>
          <w:left w:w="28" w:type="dxa"/>
          <w:bottom w:w="28" w:type="dxa"/>
          <w:right w:w="28" w:type="dxa"/>
        </w:tblCellMar>
      </w:tblPr>
      <w:tblGrid>
        <w:gridCol w:w="784"/>
        <w:gridCol w:w="685"/>
        <w:gridCol w:w="693"/>
        <w:gridCol w:w="393"/>
        <w:gridCol w:w="322"/>
        <w:gridCol w:w="323"/>
        <w:gridCol w:w="109"/>
        <w:gridCol w:w="109"/>
        <w:gridCol w:w="109"/>
        <w:gridCol w:w="435"/>
        <w:gridCol w:w="1271"/>
        <w:gridCol w:w="225"/>
        <w:gridCol w:w="109"/>
        <w:gridCol w:w="109"/>
        <w:gridCol w:w="109"/>
        <w:gridCol w:w="789"/>
        <w:gridCol w:w="789"/>
        <w:gridCol w:w="791"/>
        <w:gridCol w:w="109"/>
        <w:gridCol w:w="109"/>
        <w:gridCol w:w="109"/>
        <w:gridCol w:w="469"/>
        <w:gridCol w:w="903"/>
        <w:gridCol w:w="352"/>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($ 000's)</w:t>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December 31, 2025</w:t>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June 30, 2026</w:t>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Determination of Fair Value of Stock Options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estimated the fair value of the stock options granted under the Option Plan using a two-step valuation methodology. First, the Company determined the stock price at which recipients would elect not to exercise each tranche of Mandatory Options and instead forfeit all remaining unexercised Options. To estimate these inflection prices, the Company valued the remaining Optional Options using the Black-Sholes option pricing model and valued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2465"/>
                <wp:effectExtent l="0" t="0" r="0" b="0"/>
                <wp:wrapNone/>
                <wp:docPr id="40" name="Frame4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Mandatory Options as forward contracts. Following determination of the inflection prices, the Company utilized a Monte Carlo simulation model to estimate the fair value of the Options.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Assumptions noted in the table below were used to estimate the fair value of the stock options.</w:t>
      </w:r>
    </w:p>
    <w:tbl>
      <w:tblPr>
        <w:tblW w:w="6623" w:type="dxa"/>
        <w:jc w:val="left"/>
        <w:tblInd w:w="0" w:type="dxa"/>
        <w:tblLayout w:type="fixed"/>
        <w:tblCellMar>
          <w:top w:w="28" w:type="dxa"/>
          <w:left w:w="28" w:type="dxa"/>
          <w:bottom w:w="28" w:type="dxa"/>
          <w:right w:w="28" w:type="dxa"/>
        </w:tblCellMar>
      </w:tblPr>
      <w:tblGrid>
        <w:gridCol w:w="2101"/>
        <w:gridCol w:w="1841"/>
        <w:gridCol w:w="1848"/>
        <w:gridCol w:w="202"/>
        <w:gridCol w:w="204"/>
        <w:gridCol w:w="427"/>
      </w:tblGrid>
      <w:tr>
        <w:trPr/>
        <w:tc>
          <w:tcPr>
            <w:tcW w:w="210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to maturity (plus the time until the tranche becomes exercisable)</w:t>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Opco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Preferred incentive units and common incentive units (collectively, “incentive units”) represented an ownership interest in Opco and were entitled to receive distributions from Opco, subject to certain vesting conditions. Opco classified incentive units as equity awards on its consolidated balance sheets. Participation units, issued directly by Opco to Opco Plan participants, did not represent an ownership interest in Opco but rather provided Opco Plan participants the contractual right to participate in the value of Opco, if any, through either a cash payment or issuance of Common Stock upon the occurrence of certain events following vesting of the participation units. Refer to Note 13 to the consolidated financial statements included in the Company's Annual Report on Form 10-K for the year ended December 31, 2025, where the modifications to the Opco Plan are described in detail.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each membership unit of Bakkt Management, LLC (the “Management Vehicle”) issued and outstanding immediately prior to the Reorganization was exchanged for the corresponding common unit of Opco (each such unit, an “Opco Incentive Unit”) granted under the Opco Plan, as amended, held by the Management Vehicle, together with the share of NewCo Class V Common Stock paired therewith, and each Opco Incentive Unit, together with the share of NewCo Class V Common Stock paired therewith, issued and outstanding immediately prior to the Reorganization was exchanged for the right to receive one validly issued, fully paid and nonassessable share of NewCo Class A Common Stock.</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Incentive Unit Activity</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incentive units outstanding subsequent to December 31, 2025, therefore there was no incentive unit activity for the six months ended June 30, 2026. The following table summarizes common incentive unit activity under the Opco Plan for the six months ended June 30, 2025 (in thousands, except per unit data):</w:t>
      </w:r>
    </w:p>
    <w:tbl>
      <w:tblPr>
        <w:tblW w:w="10205" w:type="dxa"/>
        <w:jc w:val="left"/>
        <w:tblInd w:w="0" w:type="dxa"/>
        <w:tblLayout w:type="fixed"/>
        <w:tblCellMar>
          <w:top w:w="28" w:type="dxa"/>
          <w:left w:w="28" w:type="dxa"/>
          <w:bottom w:w="28" w:type="dxa"/>
          <w:right w:w="28" w:type="dxa"/>
        </w:tblCellMar>
      </w:tblPr>
      <w:tblGrid>
        <w:gridCol w:w="633"/>
        <w:gridCol w:w="556"/>
        <w:gridCol w:w="559"/>
        <w:gridCol w:w="109"/>
        <w:gridCol w:w="109"/>
        <w:gridCol w:w="109"/>
        <w:gridCol w:w="524"/>
        <w:gridCol w:w="524"/>
        <w:gridCol w:w="525"/>
        <w:gridCol w:w="109"/>
        <w:gridCol w:w="109"/>
        <w:gridCol w:w="109"/>
        <w:gridCol w:w="756"/>
        <w:gridCol w:w="756"/>
        <w:gridCol w:w="758"/>
        <w:gridCol w:w="109"/>
        <w:gridCol w:w="109"/>
        <w:gridCol w:w="109"/>
        <w:gridCol w:w="371"/>
        <w:gridCol w:w="1269"/>
        <w:gridCol w:w="191"/>
        <w:gridCol w:w="109"/>
        <w:gridCol w:w="109"/>
        <w:gridCol w:w="109"/>
        <w:gridCol w:w="285"/>
        <w:gridCol w:w="975"/>
        <w:gridCol w:w="215"/>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Common Incentive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make any cash payments to settle vested participation units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2465"/>
                <wp:effectExtent l="0" t="0" r="0" b="0"/>
                <wp:wrapNone/>
                <wp:docPr id="41" name="Frame4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15.Net income (loss) per share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is based on the weighted average number of shares of Class A Common Stock issued and outstanding. Bakkt includes pre-funded warrants in the computation of the weighted-average number of common shares outstanding for basic income (loss) per share as the exercise price is negligible and the warrants are exercisable at any time. Diluted income (loss) per share is based on the weighted average number shares of Class A Common Stock issued and outstanding and the effect of all dilutive common stock equivalents and potentially dilutive share-based awards outstanding. The potentially dilutive securities that would be anti-dilutive are not included in the calculation of diluted income (loss) per share attributable to controlling interest.</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denominators of the basic and diluted per share computations for net income (loss)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88"/>
        <w:gridCol w:w="1110"/>
        <w:gridCol w:w="1120"/>
        <w:gridCol w:w="340"/>
        <w:gridCol w:w="943"/>
        <w:gridCol w:w="159"/>
        <w:gridCol w:w="109"/>
        <w:gridCol w:w="109"/>
        <w:gridCol w:w="109"/>
        <w:gridCol w:w="278"/>
        <w:gridCol w:w="972"/>
        <w:gridCol w:w="150"/>
        <w:gridCol w:w="109"/>
        <w:gridCol w:w="109"/>
        <w:gridCol w:w="109"/>
        <w:gridCol w:w="316"/>
        <w:gridCol w:w="865"/>
        <w:gridCol w:w="146"/>
        <w:gridCol w:w="109"/>
        <w:gridCol w:w="109"/>
        <w:gridCol w:w="109"/>
        <w:gridCol w:w="309"/>
        <w:gridCol w:w="817"/>
        <w:gridCol w:w="211"/>
      </w:tblGrid>
      <w:tr>
        <w:trPr/>
        <w:tc>
          <w:tcPr>
            <w:tcW w:w="148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 – basic and diluted:</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from continuing operations attributable to noncontrolling interest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Bakkt, Inc.</w:t>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attributable to Bakkt, Inc.</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Bakkt, Inc. - basic</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Bakkt, Inc. - diluted</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 – basic and diluted:</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41,181,719 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6,825,634 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34,816,194 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6,677,934 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vesting of Restricted stock units</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cashless exercise of Class II warrants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exercise of Stock options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vesting of Employment warrants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41,694,018 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6,825,634 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35,411,903 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6,677,934 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from continuing operations attributable to Bakkt, Inc.</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 attributable to Bakkt, Inc.</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basic share attributable to Bakkt, Inc.</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diluted share attributable to Bakkt, Inc.</w:t>
            </w:r>
          </w:p>
        </w:tc>
        <w:tc>
          <w:tcPr>
            <w:tcW w:w="3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Potential common shares issuable to employees or directors upon exercise or conversion of shares under our share-based and unit-based compensation plans and upon exercise of warrants are excluded from the computation of diluted income (loss) per common share when the effect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2465"/>
                <wp:effectExtent l="0" t="0" r="0" b="0"/>
                <wp:wrapNone/>
                <wp:docPr id="42" name="Frame4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potential common shares excluded from diluted earnings per common share as their effect would be anti-dilutive (in thousands):</w:t>
      </w:r>
    </w:p>
    <w:tbl>
      <w:tblPr>
        <w:tblW w:w="10205" w:type="dxa"/>
        <w:jc w:val="left"/>
        <w:tblInd w:w="0" w:type="dxa"/>
        <w:tblLayout w:type="fixed"/>
        <w:tblCellMar>
          <w:top w:w="28" w:type="dxa"/>
          <w:left w:w="28" w:type="dxa"/>
          <w:bottom w:w="28" w:type="dxa"/>
          <w:right w:w="28" w:type="dxa"/>
        </w:tblCellMar>
      </w:tblPr>
      <w:tblGrid>
        <w:gridCol w:w="1191"/>
        <w:gridCol w:w="993"/>
        <w:gridCol w:w="1001"/>
        <w:gridCol w:w="534"/>
        <w:gridCol w:w="518"/>
        <w:gridCol w:w="520"/>
        <w:gridCol w:w="109"/>
        <w:gridCol w:w="109"/>
        <w:gridCol w:w="109"/>
        <w:gridCol w:w="551"/>
        <w:gridCol w:w="518"/>
        <w:gridCol w:w="520"/>
        <w:gridCol w:w="109"/>
        <w:gridCol w:w="109"/>
        <w:gridCol w:w="109"/>
        <w:gridCol w:w="477"/>
        <w:gridCol w:w="461"/>
        <w:gridCol w:w="463"/>
        <w:gridCol w:w="109"/>
        <w:gridCol w:w="109"/>
        <w:gridCol w:w="109"/>
        <w:gridCol w:w="458"/>
        <w:gridCol w:w="419"/>
        <w:gridCol w:w="600"/>
      </w:tblGrid>
      <w:tr>
        <w:trPr/>
        <w:tc>
          <w:tcPr>
            <w:tcW w:w="11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(treasury stock)</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 warrants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II warrants (treasury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 (if-converted)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 common units (if-converted)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 Condition PSUs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DTR Consideration shares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Gyzer Consideration shares (treasury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14,609 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3,283 </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14,609 </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16.Capital Requirements</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BFS </w:t>
      </w:r>
      <w:r>
        <w:rPr>
          <w:rFonts w:ascii="Times New Roman;serif" w:hAnsi="Times New Roman;serif"/>
          <w:b w:val="false"/>
          <w:color w:val="0C0C0C"/>
          <w:sz w:val="20"/>
          <w:shd w:fill="FFFFFF" w:val="clear"/>
        </w:rPr>
        <w:t>holds a BitLicense from the New York Department of Financial Services ("NYDFS"), which subjects it to NYDFS’s oversight with respect to business activities conducted in New York State and with New York residents, and</w:t>
      </w:r>
      <w:r>
        <w:rPr>
          <w:color w:val="000000"/>
        </w:rPr>
        <w:t xml:space="preserve"> </w:t>
      </w:r>
      <w:r>
        <w:rPr>
          <w:rFonts w:ascii="Times New Roman;serif" w:hAnsi="Times New Roman;serif"/>
          <w:b w:val="false"/>
          <w:color w:val="000000"/>
          <w:sz w:val="20"/>
          <w:shd w:fill="FFFFFF" w:val="clear"/>
        </w:rPr>
        <w:t xml:space="preserve">is required to maintain a capital balance equal to the greater of a predefined minimum amount or the sum of </w:t>
      </w:r>
      <w:r>
        <w:rPr>
          <w:rFonts w:ascii="Times New Roman;serif" w:hAnsi="Times New Roman;serif"/>
          <w:b w:val="false"/>
          <w:color w:val="000000"/>
          <w:sz w:val="20"/>
        </w:rPr>
        <w:t>the required percentages established for transmitted assets, cold wallet and hot wallet custody assets, and predefined wind-down costs</w:t>
      </w:r>
      <w:r>
        <w:rPr>
          <w:rFonts w:ascii="Times New Roman;serif" w:hAnsi="Times New Roman;serif"/>
          <w:b w:val="false"/>
          <w:color w:val="000000"/>
          <w:sz w:val="20"/>
          <w:shd w:fill="FFFFFF" w:val="clear"/>
        </w:rPr>
        <w:t xml:space="preserve">, or expected costs associated with the orderly wind-down of the business. BFS also has money transmitter licenses wherever its business model requires (46 states plus Washington D.C.)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BFS is required to maintain tangible net worth of a minimum amount, plus the amount of customer funds held in transit. </w:t>
      </w:r>
    </w:p>
    <w:p>
      <w:pPr>
        <w:pStyle w:val="TextBody"/>
        <w:bidi w:val="0"/>
        <w:spacing w:lineRule="auto" w:line="333" w:before="240" w:after="283"/>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BFS was in compliance with its respective regulatory capital requirements. </w:t>
      </w:r>
      <w:r>
        <w:rPr>
          <w:rFonts w:ascii="Times New Roman;serif" w:hAnsi="Times New Roman;serif"/>
          <w:b w:val="false"/>
          <w:color w:val="000000"/>
          <w:sz w:val="20"/>
        </w:rPr>
        <w:t>The minimum capital requirements to which BFS is subject may restrict its ability to transfer cash. The Company may be required to transfer cash to BFS such that it can continue to meet minimum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17.Commitments and Contingencies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sponsors a 401(k) defined contribution plan covering all eligible U.S. employees. Both Company and employee contributions to the 401(k) plan are discretionary. For the three and six months ended June 30, 2026, the Company recognized approximately $0.1 million and $0.2 million respectively of matching contributions to the 401(k), which is included in "Compensation and benefits" in the consolidated statements of operations. For the three and six months ended June 30, 2025 the Company recognized approximately $0.2 million and $0.3 million, respectively of matching contributions to the 401(k), which is included in "Compensation and benefits" in the consolidated statements of operations.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Company filed a complaint in the Superior Court of the State of Delaware (the "Court"), against Project Labrador Holdco, LLC (“Roman”) in connection with the closing of Roman’s acquisition of the Company’s Loyalty Business. On February 6, 2026, the Company amended its complaint, following additional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2465"/>
                <wp:effectExtent l="0" t="0" r="0" b="0"/>
                <wp:wrapNone/>
                <wp:docPr id="43" name="Frame4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becoming due, seeking the repayment of these amounts to the Company. The Company is seeking approximately $10.0 million and attorneys’ fees in connection with breaches of the Loyalty Business purchase agreement. On February 27, 2026, Roman filed counterclaims, and has alleged that is entitled to indemnification and compensatory damages totaling $19 million.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filed a motion for judgment on the pleadings on April 10, 2026, which the Court granted on April 10, 2026. Thereafter, on June 19, 2026, Roman filed a motion for re-argument, which the Company responded to in opposition on June 26, 2026. On July 7, 2026, the Court denied Roman's motion for re-argument. On August 6, 2026, Roman filed a notice of appeal in the Supreme Court of the State of Delaware, seeking to overturn the Court's decision granting the Company's motion for judgment on the pleadings and the Court's denial of Roman's motion for re-argument. Briefing is underway.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 2025, a putative class action (the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The complaint seeks damages, as well as fees and costs. The Company intends to defend the matter vigorously; however, it is refraining from expressing any judgment upon the likelihood of a favorable or unfavorable outcome in this matter given the early stage of the litigation. On September 15, 2025, plaintiff filed an amended complaint. On November 14, 2025, Defendants filed a motion seeking the dismissal of all claims, which was fully briefed on February 12, 2026 and remains pending. No hearing has yet been scheduled on the motion.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2025, July 16, 2025, and July 18, 2025, the Company’s Board of Directors received demand letters from three shareholders (collectively, the “Demands”). These Demands are premised on the same alleged misconduct as the Class Action litigation described above, and seek (i) an internal investigation, (ii) a civil action, if applicable, and (iii) various Board actions in connection with the alleged misconduct. Defendants have asked these shareholders to pause the Board’s consideration of these Demands until resolution of Defendants’ anticipated motion to dismiss the federal securities litigation; to date, two of the three shareholders have so agreed.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legal and regulatory proceedings have arisen and may arise in the ordinary course of business. However, management does not believe that the resolution of these matters will have a material adverse effect on the Company's financial position, results of operations or cash flows. However, future results could be materially and adversely affected by new developments relating to the legal proceedings and claims.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Digital Assets Held on Platform</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securely store digital assets that it holds for customers, a substantial portion of which are held in cold storage. As such, the Company may be liable to users of its platform for losses arising from the Company’s failure to secure digital assets from theft or loss. The Company has not incurred any losses related to such an obligation and therefore has not accrued a liability for losses as of June 30, 2026 or December 31, 2025. The Company has no reason to believe it will incur any expense associated with such potential liability because (i) it has no known or historical experience of claims to use as a basis of measurement, (ii) it accounts for and continually verifies the amount of digital assets within its control, and (iii) it has established security around custodial product private keys to minimize the risk of theft or loss.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 four-year cloud computing arrangement which includes minimum contractual payments due to a third-party provider. Several amendments have been made to the agreement that extend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2465"/>
                <wp:effectExtent l="0" t="0" r="0" b="0"/>
                <wp:wrapNone/>
                <wp:docPr id="44" name="Frame4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contract. As of June 30, 2026, the Company's outstanding purchase obligations consisted of the following future minimum commitments (in thousands):</w:t>
      </w:r>
    </w:p>
    <w:tbl>
      <w:tblPr>
        <w:tblW w:w="9007" w:type="dxa"/>
        <w:jc w:val="left"/>
        <w:tblInd w:w="0" w:type="dxa"/>
        <w:tblLayout w:type="fixed"/>
        <w:tblCellMar>
          <w:top w:w="28" w:type="dxa"/>
          <w:left w:w="28" w:type="dxa"/>
          <w:bottom w:w="28" w:type="dxa"/>
          <w:right w:w="28" w:type="dxa"/>
        </w:tblCellMar>
      </w:tblPr>
      <w:tblGrid>
        <w:gridCol w:w="658"/>
        <w:gridCol w:w="577"/>
        <w:gridCol w:w="580"/>
        <w:gridCol w:w="334"/>
        <w:gridCol w:w="977"/>
        <w:gridCol w:w="173"/>
        <w:gridCol w:w="109"/>
        <w:gridCol w:w="109"/>
        <w:gridCol w:w="109"/>
        <w:gridCol w:w="257"/>
        <w:gridCol w:w="495"/>
        <w:gridCol w:w="133"/>
        <w:gridCol w:w="109"/>
        <w:gridCol w:w="109"/>
        <w:gridCol w:w="109"/>
        <w:gridCol w:w="257"/>
        <w:gridCol w:w="495"/>
        <w:gridCol w:w="133"/>
        <w:gridCol w:w="109"/>
        <w:gridCol w:w="109"/>
        <w:gridCol w:w="109"/>
        <w:gridCol w:w="479"/>
        <w:gridCol w:w="923"/>
        <w:gridCol w:w="247"/>
        <w:gridCol w:w="109"/>
        <w:gridCol w:w="109"/>
        <w:gridCol w:w="109"/>
        <w:gridCol w:w="211"/>
        <w:gridCol w:w="61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240" w:after="283"/>
        <w:jc w:val="left"/>
        <w:rPr>
          <w:rFonts w:ascii="Times New Roman;serif" w:hAnsi="Times New Roman;serif"/>
          <w:b/>
          <w:i/>
          <w:color w:val="000000"/>
          <w:sz w:val="20"/>
        </w:rPr>
      </w:pPr>
      <w:r>
        <w:rPr>
          <w:rFonts w:ascii="Times New Roman;serif" w:hAnsi="Times New Roman;serif"/>
          <w:b/>
          <w:i/>
          <w:color w:val="000000"/>
          <w:sz w:val="20"/>
        </w:rPr>
        <w:t>Transchem Warrant Exercise Commitment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In connection with the allotment of 47,500,000 warrants to subscribe for equity shares of Transchem, an Indian company listed on the BSE Limited, Opco, a subsidiary of the Company, paid 25% of the total warrant issue price upon allotment and is contractually obligated to pay the remaining 75%, or ₹56.25 per warrant, only if and when it elects to exercise the warrants (see Note 8, </w:t>
      </w:r>
      <w:r>
        <w:rPr>
          <w:rFonts w:ascii="Times New Roman;serif" w:hAnsi="Times New Roman;serif"/>
          <w:b w:val="false"/>
          <w:i/>
          <w:color w:val="000000"/>
          <w:sz w:val="20"/>
        </w:rPr>
        <w:t>Investment in Transchem Limited Warrants</w:t>
      </w:r>
      <w:r>
        <w:rPr>
          <w:rFonts w:ascii="Times New Roman;serif" w:hAnsi="Times New Roman;serif"/>
          <w:b w:val="false"/>
          <w:color w:val="000000"/>
          <w:sz w:val="20"/>
        </w:rPr>
        <w:t>). As of June 30, 2026, the aggregate unfunded exercise commitment, assuming exercise of all outstanding warrants, was approximately ₹2,671,875,000 (approximately $28.3 million, translated at the June 30, 2026 exchange rate).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warrants are exercisable, but not mandatorily so, at Bakkt's sole discretion at any time prior to their expiration 18 months from the allotment date (through approximately December 3, 2027), this remaining exercise price represents an executory, unfunded commitment rather than a recognized liability, and is not reflected on the Company's condensed consolidated balance sheet. Bakkt is under no obligation to exercise any portion of the warrants and, should it elect not to exercise, would forfeit its rights thereunder without further payment obligation. The Company will continue to evaluate its intent with respect to exercise in light of Transchem's share price, the terms of the warrants, and the Company's liquidity, and will fund any exercise from cash on hand or other available sources at the time of exercise.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commitment is denominated in Indian Rupees and, until settled, remains subject to foreign currency translation risk between the U.S. Dollar and the Indian Rupee.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18.Income Taxes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that caused Bakkt to become a publicly traded company in 2021, the Company acquired a controlling interest in Opco, which was treated as a partnership for U.S. federal income tax purposes, and in most applicable state and local income tax jurisdictions until the Up-C Collapse in 2025. As a partnership, Opco was not itself subject to U.S. federal and certain state and local income taxes. Any taxable income or loss generated by Opco was passed through to and included in the taxable income or loss of its partners, including the Company, on a pro rata basis. The Company's U.S. federal and state income tax expense primarily relates to the Company’s taxable income or loss and its wholly owned subsidiaries that are consolidated for U.S. GAAP purposes but separately taxed for federal, state, and foreign income tax purposes.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Bakkt's effective tax rates of 0.0% and 0.0% for the three and six months ended June 30, 2026, respectively, differ from statutory rates primarily due to the absence of taxable income to realize the Company's net operating losses and other deferred tax assets.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of (0.2)% and (0.8)% for the three and six months ended June 30, 2025, respectively, differ from statutory rates primarily due to the absence of taxable income to realize the Company's net operating losses and other deferred tax assets.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Deferred tax assets are reduced by a valuation allowance if, based on the weight of available evidence, it is more likely than not that some portion or all of the deferred tax assets will not be realized. The realizability of the Company's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Company believed that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2465"/>
                <wp:effectExtent l="0" t="0" r="0" b="0"/>
                <wp:wrapNone/>
                <wp:docPr id="45" name="Frame4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was not more likely than not that the net deferred tax assets would be realizable and thus maintained a full valuation allowance.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June 30, 2026 or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by President Trump. Key provisions of the Act include the reinstatement of 100% bonus depreciation, the immediate expensing of domestic research and experimentation expenditures, and modifications to the limitation on business interest deductions. The OBBBA did not have a material impact on the Company's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19.Leases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real estate for office space under operating leases. There are no restrictions or covenants imposed by any of the leases, and none of the Company's leases contain material residual value guarantees.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Bakkt executed a Termination of Lease Agreement (the "Lease Termination") for its corporate headquarters office space in Alpharetta, Georgia. The Company recognized income of approximately $7.1 million related to the lease termination, which was recognized in Other (expense) income, net in the consolidated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jointly and severally liable with the third-party assignee for the obligations under the New York office lease. For the six month period ended June 30, 2025, the Company recognized income of approximately $1.8 million related to the Lease Assignment, net of approximately $0.9 million paid to the third-party assignee under the Lease Assignment, all of which was recognized in Other (expense) income, net in the consolidated statements of operations. The Company leases office space in New York under a short-term lease.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 24-month operating lease for office space in Atlanta, Georgia, expiring in March 2028. At commencement, the Company recorded an initial operating lease liability of $81,683 and a right-of-use (ROU) asset of $82,283, which included $600 of capitalized initial direct costs. The lease liability was measured using the Company’s incremental borrowing rate of 7.0%. Variable lease costs and refundable security deposits were excluded from the lease liability measurement.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operating lease expense was approximately $11,000. As of June 30, 2026, the balance of the operating lease liability was $71,792 (classified as current), and the balance of the ROU asset was $72,602.</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had a second office lease in Alpharetta, GA that expired in April 2026.</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the Company did not have any active finance leases.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As of June 30, 2026, the weighted average remaining lease term for the Company's operating leases was approximately 22 months, and the weighted average discount rate was 7.0%. As of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 xml:space="preserve">the weighted average remaining lease term for the Company's operating leases was approximately 4 months, and the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2465"/>
                <wp:effectExtent l="0" t="0" r="0" b="0"/>
                <wp:wrapNone/>
                <wp:docPr id="46" name="Frame4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discount rate was 5.0%. The Company was party to short-term leases during the three and six months ended June 30, 2026 and June 30, 2025, which resulted in less than $0.1 million of rent expense, for all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20.Fair Value Measurements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measured at fair value on a recurring basis are classified as Level 1, Level 2 and Level 3 as follows (in thousands):</w:t>
      </w:r>
    </w:p>
    <w:tbl>
      <w:tblPr>
        <w:tblW w:w="8940" w:type="dxa"/>
        <w:jc w:val="left"/>
        <w:tblInd w:w="0" w:type="dxa"/>
        <w:tblLayout w:type="fixed"/>
        <w:tblCellMar>
          <w:top w:w="28" w:type="dxa"/>
          <w:left w:w="28" w:type="dxa"/>
          <w:bottom w:w="28" w:type="dxa"/>
          <w:right w:w="28" w:type="dxa"/>
        </w:tblCellMar>
      </w:tblPr>
      <w:tblGrid>
        <w:gridCol w:w="1406"/>
        <w:gridCol w:w="1243"/>
        <w:gridCol w:w="1251"/>
        <w:gridCol w:w="211"/>
        <w:gridCol w:w="826"/>
        <w:gridCol w:w="109"/>
        <w:gridCol w:w="109"/>
        <w:gridCol w:w="109"/>
        <w:gridCol w:w="109"/>
        <w:gridCol w:w="211"/>
        <w:gridCol w:w="466"/>
        <w:gridCol w:w="109"/>
        <w:gridCol w:w="109"/>
        <w:gridCol w:w="109"/>
        <w:gridCol w:w="109"/>
        <w:gridCol w:w="211"/>
        <w:gridCol w:w="616"/>
        <w:gridCol w:w="109"/>
        <w:gridCol w:w="109"/>
        <w:gridCol w:w="109"/>
        <w:gridCol w:w="109"/>
        <w:gridCol w:w="211"/>
        <w:gridCol w:w="82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Transchem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DTR top-up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Class 1 and Class 2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8880" w:type="dxa"/>
        <w:jc w:val="left"/>
        <w:tblInd w:w="0" w:type="dxa"/>
        <w:tblLayout w:type="fixed"/>
        <w:tblCellMar>
          <w:top w:w="28" w:type="dxa"/>
          <w:left w:w="28" w:type="dxa"/>
          <w:bottom w:w="28" w:type="dxa"/>
          <w:right w:w="28" w:type="dxa"/>
        </w:tblCellMar>
      </w:tblPr>
      <w:tblGrid>
        <w:gridCol w:w="1405"/>
        <w:gridCol w:w="1242"/>
        <w:gridCol w:w="1253"/>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Class 1 and Class 2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receivables, unbilled accounts receivables,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fair value of the Company's digital assets was determined using Level 2 inputs which included using the value of the digital asset determined as the mid-point of a bid-ask spread in the market management determined to be the principal market for the related digital assets as of June 30, 2026 and </w:t>
      </w:r>
      <w:r>
        <w:rPr>
          <w:rFonts w:ascii="Times New Roman;serif" w:hAnsi="Times New Roman;serif"/>
          <w:b w:val="false"/>
          <w:color w:val="000000"/>
          <w:sz w:val="20"/>
          <w:shd w:fill="FFFFFF" w:val="clear"/>
        </w:rPr>
        <w:t>December 31, 2025.</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Transchem Warrants are not traded on an active market and are classified within Level 3 of the fair value hierarchy. Fair value is estimated using a Black-Scholes option-pricing model, with inputs including the quoted closing price of Transchem's underlying shares, the remaining contractual term, the ₹56.25 per remaining warrant exercise price, expected volatility based on Transchem's historical share-price returns over a period commensurate with the Warrants' term, and a risk-free rate derived from Indian government securities of matching maturity. Because the underlying shares are subject to a post-exercise regulatory lock-in and limited trading liquidity, the model incorporates a discount for lack of marketability (DLOM), which is also considered a significant unobservable input for purposes of this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2465"/>
                <wp:effectExtent l="0" t="0" r="0" b="0"/>
                <wp:wrapNone/>
                <wp:docPr id="47" name="Frame4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the fair value of the Transchem Warrants (a recurring Level 3 measurement) for the period from allotment through June 30, 2026 (in thousands):</w:t>
      </w:r>
    </w:p>
    <w:tbl>
      <w:tblPr>
        <w:tblW w:w="6981" w:type="dxa"/>
        <w:jc w:val="left"/>
        <w:tblInd w:w="0" w:type="dxa"/>
        <w:tblLayout w:type="fixed"/>
        <w:tblCellMar>
          <w:top w:w="28" w:type="dxa"/>
          <w:left w:w="28" w:type="dxa"/>
          <w:bottom w:w="28" w:type="dxa"/>
          <w:right w:w="28" w:type="dxa"/>
        </w:tblCellMar>
      </w:tblPr>
      <w:tblGrid>
        <w:gridCol w:w="2089"/>
        <w:gridCol w:w="1838"/>
        <w:gridCol w:w="1848"/>
        <w:gridCol w:w="211"/>
        <w:gridCol w:w="841"/>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Investment in Transchem Warrants (ASC 321 – Fair Value Option)</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Fair Value</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(allotment date cash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included in the statement of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98,496 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107,906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in the Level 3 fair value measurement as of June 30, 2026:</w:t>
      </w:r>
    </w:p>
    <w:tbl>
      <w:tblPr>
        <w:tblW w:w="10205" w:type="dxa"/>
        <w:jc w:val="left"/>
        <w:tblInd w:w="0" w:type="dxa"/>
        <w:tblLayout w:type="fixed"/>
        <w:tblCellMar>
          <w:top w:w="28" w:type="dxa"/>
          <w:left w:w="28" w:type="dxa"/>
          <w:bottom w:w="28" w:type="dxa"/>
          <w:right w:w="28" w:type="dxa"/>
        </w:tblCellMar>
      </w:tblPr>
      <w:tblGrid>
        <w:gridCol w:w="1235"/>
        <w:gridCol w:w="1084"/>
        <w:gridCol w:w="1087"/>
        <w:gridCol w:w="528"/>
        <w:gridCol w:w="423"/>
        <w:gridCol w:w="424"/>
        <w:gridCol w:w="976"/>
        <w:gridCol w:w="821"/>
        <w:gridCol w:w="790"/>
        <w:gridCol w:w="828"/>
        <w:gridCol w:w="828"/>
        <w:gridCol w:w="1181"/>
      </w:tblGrid>
      <w:tr>
        <w:trPr/>
        <w:tc>
          <w:tcPr>
            <w:tcW w:w="123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1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258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8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Directional Sensitivity*</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share price (Transchem, BSE-listed)</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r>
              <w:rPr>
                <w:rFonts w:ascii="Times New Roman;serif" w:hAnsi="Times New Roman;serif"/>
                <w:b w:val="false"/>
                <w:color w:val="000000"/>
                <w:sz w:val="20"/>
              </w:rPr>
              <w:t>342.10 ($3.62)</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Option-pricing (Black-Scholes)</w:t>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in price → increase in FV</w:t>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Historical (18-month lookback)</w:t>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in volatility → increase in FV</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India 1yr/2yr G-Sec average</w:t>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in rate → increase in FV</w:t>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Calibrated / put-option models</w:t>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in discount → decrease in FV</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contractual term</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1.39 years</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Contractual</w:t>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in term → increase in FV</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333" w:before="0" w:after="283"/>
              <w:jc w:val="left"/>
              <w:rPr>
                <w:rFonts w:ascii="Times New Roman;serif" w:hAnsi="Times New Roman;serif"/>
                <w:b w:val="false"/>
                <w:i/>
                <w:color w:val="000000"/>
                <w:sz w:val="20"/>
              </w:rPr>
            </w:pPr>
            <w:r>
              <w:rPr>
                <w:rFonts w:ascii="Times New Roman;serif" w:hAnsi="Times New Roman;serif"/>
                <w:b w:val="false"/>
                <w:i/>
                <w:color w:val="000000"/>
                <w:sz w:val="20"/>
              </w:rPr>
              <w:t>* Directional sensitivity reflects the isolated impact of an increase in the indicated input, holding all other inputs constant; inputs are not independent, and a change in one unobservable input is not necessarily accompanied by a change in another.</w:t>
            </w:r>
          </w:p>
        </w:tc>
      </w:tr>
    </w:tbl>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Transchem Warrants is sensitive to changes in the unobservable inputs described above. Significant increases (decreases) in the underlying share price, expected volatility, or remaining contractual term, in isolation, would result in a significantly higher (lower) fair value measurement. A significant increase (decrease) in the discount for lack of marketability, in isolation, would result in a significantly lower (higher) fair value measurement. Given the regulatory lock-in restrictions applicable to the underlying shares and the limited trading liquidity of Transchem's listed equity, the DLOM applied represents a significant component of, and source of estimation uncertainty in, the fair value measurement.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unobservable inputs used for the fair value measurement of the Class 1 Warrants and Class 2 Warrants liabilities as of June 30, 2026 are summarized as follows: </w:t>
      </w:r>
    </w:p>
    <w:tbl>
      <w:tblPr>
        <w:tblW w:w="2908" w:type="dxa"/>
        <w:jc w:val="left"/>
        <w:tblInd w:w="0" w:type="dxa"/>
        <w:tblLayout w:type="fixed"/>
        <w:tblCellMar>
          <w:top w:w="28" w:type="dxa"/>
          <w:left w:w="28" w:type="dxa"/>
          <w:bottom w:w="28" w:type="dxa"/>
          <w:right w:w="28" w:type="dxa"/>
        </w:tblCellMar>
      </w:tblPr>
      <w:tblGrid>
        <w:gridCol w:w="771"/>
        <w:gridCol w:w="678"/>
        <w:gridCol w:w="680"/>
        <w:gridCol w:w="226"/>
        <w:gridCol w:w="226"/>
        <w:gridCol w:w="327"/>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Continuous risk-free rate</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 liability is valued based on quoted prices in active markets and is classified within Level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2465"/>
                <wp:effectExtent l="0" t="0" r="0" b="0"/>
                <wp:wrapNone/>
                <wp:docPr id="48" name="Frame4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caf60e4e89b847d29353d33ad111be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21.Segment Reporting</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June 30, 2025, all material operations were within the United States. Bakkt's CODM allocates resources and assesses performance based upon financial information at the consolidated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2465"/>
                <wp:effectExtent l="0" t="0" r="0" b="0"/>
                <wp:wrapNone/>
                <wp:docPr id="49" name="Frame4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significant segment expenses provided to the CODM for the three and six months ended June 30, 2026, and June 30, 2025 (in thousands):</w:t>
      </w:r>
    </w:p>
    <w:tbl>
      <w:tblPr>
        <w:tblW w:w="10205" w:type="dxa"/>
        <w:jc w:val="center"/>
        <w:tblInd w:w="0" w:type="dxa"/>
        <w:tblLayout w:type="fixed"/>
        <w:tblCellMar>
          <w:top w:w="28" w:type="dxa"/>
          <w:left w:w="28" w:type="dxa"/>
          <w:bottom w:w="28" w:type="dxa"/>
          <w:right w:w="28" w:type="dxa"/>
        </w:tblCellMar>
      </w:tblPr>
      <w:tblGrid>
        <w:gridCol w:w="1036"/>
        <w:gridCol w:w="852"/>
        <w:gridCol w:w="754"/>
        <w:gridCol w:w="309"/>
        <w:gridCol w:w="1163"/>
        <w:gridCol w:w="172"/>
        <w:gridCol w:w="109"/>
        <w:gridCol w:w="109"/>
        <w:gridCol w:w="109"/>
        <w:gridCol w:w="309"/>
        <w:gridCol w:w="1163"/>
        <w:gridCol w:w="172"/>
        <w:gridCol w:w="109"/>
        <w:gridCol w:w="109"/>
        <w:gridCol w:w="109"/>
        <w:gridCol w:w="296"/>
        <w:gridCol w:w="1113"/>
        <w:gridCol w:w="164"/>
        <w:gridCol w:w="109"/>
        <w:gridCol w:w="109"/>
        <w:gridCol w:w="109"/>
        <w:gridCol w:w="275"/>
        <w:gridCol w:w="1223"/>
        <w:gridCol w:w="223"/>
      </w:tblGrid>
      <w:tr>
        <w:trPr/>
        <w:tc>
          <w:tcPr>
            <w:tcW w:w="103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w:t>
            </w:r>
            <w:r>
              <w:rPr>
                <w:rFonts w:ascii="Times New Roman;serif" w:hAnsi="Times New Roman;serif"/>
                <w:b w:val="false"/>
                <w:color w:val="000000"/>
                <w:sz w:val="12"/>
              </w:rPr>
              <w:t>1</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compensation</w:t>
            </w:r>
            <w:r>
              <w:rPr>
                <w:rFonts w:ascii="Times New Roman;serif" w:hAnsi="Times New Roman;serif"/>
                <w:b w:val="false"/>
                <w:color w:val="000000"/>
                <w:sz w:val="12"/>
              </w:rPr>
              <w:t>1</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Occupancy</w:t>
            </w:r>
            <w:r>
              <w:rPr>
                <w:rFonts w:ascii="Times New Roman;serif" w:hAnsi="Times New Roman;serif"/>
                <w:b w:val="false"/>
                <w:color w:val="000000"/>
                <w:sz w:val="12"/>
              </w:rPr>
              <w:t>2</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Marketing and promotions</w:t>
            </w:r>
            <w:r>
              <w:rPr>
                <w:rFonts w:ascii="Times New Roman;serif" w:hAnsi="Times New Roman;serif"/>
                <w:b w:val="false"/>
                <w:color w:val="000000"/>
                <w:sz w:val="12"/>
              </w:rPr>
              <w:t>3</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insurance</w:t>
            </w:r>
            <w:r>
              <w:rPr>
                <w:rFonts w:ascii="Times New Roman;serif" w:hAnsi="Times New Roman;serif"/>
                <w:b w:val="false"/>
                <w:color w:val="000000"/>
                <w:sz w:val="12"/>
              </w:rPr>
              <w:t>4</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operating costs</w:t>
            </w:r>
            <w:r>
              <w:rPr>
                <w:rFonts w:ascii="Times New Roman;serif" w:hAnsi="Times New Roman;serif"/>
                <w:b w:val="false"/>
                <w:color w:val="000000"/>
                <w:sz w:val="12"/>
              </w:rPr>
              <w:t>5</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 per Consolidated Statements of Operations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450,279 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1,665,417 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from continuing operations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(31,558)</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income(loss) from continuing operations before equity in net earnings of affiliates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6"/>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Personnel includes payroll and benefits, excluding stock-based compensation, which is included in Non-cash compensation. Both are reported as part of Compensation and benefits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includes facility related expenses such as rent and is reported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insurance primarily consists of business liability insurance premiums and is recorded as Selling, general and administrative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 consist primarily of Impairment charges, as well as costs that are reported as Selling, general and administrative, Other operating expenses, and Compensation and benefits on the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 consists primarily of Interest income, net, Gain from change in fair value of warrant liability, Change in the fair value of the Transchem Warrantss, Other income, net, and Income tax expense as presented in the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left"/>
        <w:rPr/>
      </w:pPr>
      <w:r>
        <w:rPr>
          <w:rFonts w:ascii="Times New Roman;serif" w:hAnsi="Times New Roman;serif"/>
          <w:b/>
          <w:color w:val="000000"/>
          <w:sz w:val="20"/>
        </w:rPr>
        <w:t>22.</w:t>
      </w:r>
      <w:r>
        <w:rPr>
          <w:rFonts w:ascii="Times New Roman;serif" w:hAnsi="Times New Roman;serif"/>
          <w:b/>
          <w:color w:val="231F20"/>
          <w:sz w:val="20"/>
        </w:rPr>
        <w:t>Subsequent Events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and transactions and determined that no events or transactions met the definition of a subsequent event for the purpose of recognition or disclosure in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50" name="Frame5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before="240" w:after="283"/>
        <w:jc w:val="both"/>
        <w:rPr/>
      </w:pPr>
      <w:r>
        <w:rPr>
          <w:rFonts w:ascii="Times New Roman;serif" w:hAnsi="Times New Roman;serif"/>
          <w:b w:val="false"/>
          <w:i/>
          <w:color w:val="231F20"/>
          <w:sz w:val="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serif" w:hAnsi="Times New Roman;serif"/>
          <w:b w:val="false"/>
          <w:i/>
          <w:color w:val="000000"/>
          <w:sz w:val="20"/>
        </w:rPr>
        <w:t>June 30, 2026</w:t>
      </w:r>
      <w:r>
        <w:rPr>
          <w:color w:val="231F20"/>
        </w:rPr>
        <w:t xml:space="preserve"> </w:t>
      </w:r>
      <w:r>
        <w:rPr>
          <w:rFonts w:ascii="Times New Roman;serif" w:hAnsi="Times New Roman;serif"/>
          <w:b w:val="false"/>
          <w:i/>
          <w:color w:val="231F20"/>
          <w:sz w:val="20"/>
        </w:rPr>
        <w:t xml:space="preserve">(this "Report") and in our Annual Report on Form 10-K for the fiscal year ended </w:t>
      </w:r>
      <w:r>
        <w:rPr>
          <w:rFonts w:ascii="Times New Roman;serif" w:hAnsi="Times New Roman;serif"/>
          <w:b w:val="false"/>
          <w:i/>
          <w:color w:val="000000"/>
          <w:sz w:val="20"/>
          <w:shd w:fill="FFFFFF" w:val="clear"/>
        </w:rPr>
        <w:t>December 31, 2025 (our "Form 10-K")</w:t>
      </w:r>
      <w:r>
        <w:rPr>
          <w:rFonts w:ascii="Times New Roman;serif" w:hAnsi="Times New Roman;serif"/>
          <w:b w:val="false"/>
          <w:i/>
          <w:color w:val="231F20"/>
          <w:sz w:val="20"/>
        </w:rPr>
        <w:t xml:space="preserve">, which is incorporated herein by reference. </w:t>
      </w:r>
    </w:p>
    <w:p>
      <w:pPr>
        <w:pStyle w:val="TextBody"/>
        <w:bidi w:val="0"/>
        <w:spacing w:lineRule="auto" w:line="333" w:before="240" w:after="283"/>
        <w:jc w:val="both"/>
        <w:rPr/>
      </w:pPr>
      <w:r>
        <w:rPr>
          <w:rFonts w:ascii="Times New Roman;serif" w:hAnsi="Times New Roman;serif"/>
          <w:b w:val="false"/>
          <w:i/>
          <w:color w:val="231F20"/>
          <w:sz w:val="20"/>
        </w:rPr>
        <w:t xml:space="preserve">References in this section to “we,” “us,” “our,” “Bakkt” or the “Company” and like terms refer to Bakkt, Inc. and its subsidiaries for the </w:t>
      </w:r>
      <w:r>
        <w:rPr>
          <w:rFonts w:ascii="Times New Roman;serif" w:hAnsi="Times New Roman;serif"/>
          <w:b w:val="false"/>
          <w:i/>
          <w:color w:val="000000"/>
          <w:sz w:val="20"/>
        </w:rPr>
        <w:t>three and six months ending June 30, 2026,</w:t>
      </w:r>
      <w:r>
        <w:rPr>
          <w:color w:val="231F20"/>
        </w:rPr>
        <w:t xml:space="preserve"> </w:t>
      </w:r>
      <w:r>
        <w:rPr>
          <w:rFonts w:ascii="Times New Roman;serif" w:hAnsi="Times New Roman;serif"/>
          <w:b w:val="false"/>
          <w:i/>
          <w:color w:val="231F20"/>
          <w:sz w:val="20"/>
        </w:rPr>
        <w:t>unless the context otherwise requires. Our consolidated results include the operations of Distributed Technologies Research Global Ltd ("DTR") from May 1, 2026, following completion of the acquisition on April 30, 2026. References to the acquired business are made only where necessary to describe the transaction, historical periods, or related accounting matters; since the completion of the acquisition, DTR's people, technology, products and transaction activity are part of Bakkt.</w:t>
      </w:r>
    </w:p>
    <w:p>
      <w:pPr>
        <w:pStyle w:val="TextBody"/>
        <w:bidi w:val="0"/>
        <w:spacing w:lineRule="auto" w:line="333" w:before="240" w:after="283"/>
        <w:jc w:val="both"/>
        <w:rPr>
          <w:rFonts w:ascii="Times New Roman;serif" w:hAnsi="Times New Roman;serif"/>
          <w:b w:val="false"/>
          <w:i/>
          <w:color w:val="231F20"/>
          <w:sz w:val="20"/>
        </w:rPr>
      </w:pPr>
      <w:r>
        <w:rPr>
          <w:rFonts w:ascii="Times New Roman;serif" w:hAnsi="Times New Roman;serif"/>
          <w:b w:val="false"/>
          <w:i/>
          <w:color w:val="231F20"/>
          <w:sz w:val="20"/>
        </w:rPr>
        <w:t>Some of the information contained in this discussion and analysis, including information regarding our plans, strategy, product development, commercial pipeline, expected launches, target markets, investments and future financial or operating performance, includes forward-looking statements. These statements are based on management's current beliefs, assumptions and information and are subject to risks and uncertainties. Actual results could differ materially from those contemplated by the forward-looking statements. Factors that could cause or contribute to such differences include those discussed under "Cautionary Note Regarding Forward-Looking Statements" and "Item 1A. Risk Factors" in this Report and in our other filings with the United States Securities and Exchange Commission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val="false"/>
          <w:color w:val="0C0C0C"/>
          <w:sz w:val="20"/>
        </w:rPr>
      </w:pPr>
      <w:r>
        <w:rPr>
          <w:rFonts w:ascii="Times New Roman;serif" w:hAnsi="Times New Roman;serif"/>
          <w:b w:val="false"/>
          <w:color w:val="0C0C0C"/>
          <w:sz w:val="20"/>
        </w:rPr>
        <w:t>In this section and elsewhere in this Report, we use the following terms, which are defined as follows:</w:t>
      </w:r>
    </w:p>
    <w:p>
      <w:pPr>
        <w:pStyle w:val="TextBody"/>
        <w:bidi w:val="0"/>
        <w:spacing w:lineRule="auto" w:line="333" w:before="240" w:after="283"/>
        <w:ind w:left="0" w:right="0" w:hanging="360"/>
        <w:jc w:val="both"/>
        <w:rPr/>
      </w:pPr>
      <w:r>
        <w:rPr>
          <w:color w:val="000000"/>
        </w:rPr>
        <w:t>•</w:t>
      </w:r>
      <w:r>
        <w:rPr>
          <w:rFonts w:ascii="Times New Roman;serif" w:hAnsi="Times New Roman;serif"/>
          <w:b/>
          <w:color w:val="000000"/>
          <w:sz w:val="20"/>
        </w:rPr>
        <w:t xml:space="preserve">"Client" </w:t>
      </w:r>
      <w:r>
        <w:rPr>
          <w:rFonts w:ascii="Times New Roman;serif" w:hAnsi="Times New Roman;serif"/>
          <w:b w:val="false"/>
          <w:color w:val="000000"/>
          <w:sz w:val="20"/>
        </w:rPr>
        <w:t>means a business with which we contract to provide services to customers on our platform, including financial institutions, financial technology firms, digital asset companies, hedge funds, merchants, retailers and other businesses. In the notes to our consolidated financial statements, the term "customer" is used as required by Financial Accounting Standards Board Accounting Standards Codification Topic 606, Revenue from Contracts with Customers ("ASC 606").</w:t>
      </w:r>
    </w:p>
    <w:p>
      <w:pPr>
        <w:pStyle w:val="TextBody"/>
        <w:bidi w:val="0"/>
        <w:spacing w:lineRule="auto" w:line="333" w:before="240" w:after="283"/>
        <w:ind w:left="0" w:right="0" w:hanging="360"/>
        <w:jc w:val="left"/>
        <w:rPr/>
      </w:pPr>
      <w:r>
        <w:rPr>
          <w:color w:val="000000"/>
        </w:rPr>
        <w:t>•</w:t>
      </w:r>
      <w:r>
        <w:rPr>
          <w:rFonts w:ascii="Times New Roman;serif" w:hAnsi="Times New Roman;serif"/>
          <w:b/>
          <w:color w:val="000000"/>
          <w:sz w:val="20"/>
        </w:rPr>
        <w:t>"Customer"</w:t>
      </w:r>
      <w:r>
        <w:rPr>
          <w:color w:val="000000"/>
        </w:rPr>
        <w:t xml:space="preserve"> </w:t>
      </w:r>
      <w:r>
        <w:rPr>
          <w:rFonts w:ascii="Times New Roman;serif" w:hAnsi="Times New Roman;serif"/>
          <w:b w:val="false"/>
          <w:color w:val="000000"/>
          <w:sz w:val="20"/>
        </w:rPr>
        <w:t>means an individual or business end user of a client's service that transacts through our platform, unless the context refers to a customer for purposes of ASC 606.</w:t>
      </w:r>
    </w:p>
    <w:p>
      <w:pPr>
        <w:pStyle w:val="TextBody"/>
        <w:bidi w:val="0"/>
        <w:spacing w:lineRule="auto" w:line="333" w:before="240" w:after="283"/>
        <w:ind w:left="0" w:right="0" w:hanging="360"/>
        <w:jc w:val="left"/>
        <w:rPr/>
      </w:pPr>
      <w:r>
        <w:rPr>
          <w:color w:val="000000"/>
        </w:rPr>
        <w:t>•</w:t>
      </w:r>
      <w:r>
        <w:rPr>
          <w:rFonts w:ascii="Times New Roman;serif" w:hAnsi="Times New Roman;serif"/>
          <w:b/>
          <w:color w:val="000000"/>
          <w:sz w:val="20"/>
        </w:rPr>
        <w:t>"Digital asset"</w:t>
      </w:r>
      <w:r>
        <w:rPr>
          <w:color w:val="000000"/>
        </w:rPr>
        <w:t xml:space="preserve"> </w:t>
      </w:r>
      <w:r>
        <w:rPr>
          <w:rFonts w:ascii="Times New Roman;serif" w:hAnsi="Times New Roman;serif"/>
          <w:b w:val="false"/>
          <w:color w:val="000000"/>
          <w:sz w:val="20"/>
        </w:rPr>
        <w:t>means an asset that is created, issued, recorded or transferred using blockchain or distributed ledger technology, including digital asset currencies, stablecoins and other digital tokens. We use "digital asset," "virtual currency," "digital asset currency," "coin" and "token" as contextually appropriate.</w:t>
      </w:r>
    </w:p>
    <w:p>
      <w:pPr>
        <w:pStyle w:val="TextBody"/>
        <w:bidi w:val="0"/>
        <w:spacing w:lineRule="auto" w:line="333" w:before="240" w:after="283"/>
        <w:ind w:left="0" w:right="0" w:hanging="360"/>
        <w:jc w:val="left"/>
        <w:rPr/>
      </w:pPr>
      <w:r>
        <w:rPr>
          <w:color w:val="000000"/>
        </w:rPr>
        <w:t>•</w:t>
      </w:r>
      <w:r>
        <w:rPr>
          <w:rFonts w:ascii="Times New Roman;serif" w:hAnsi="Times New Roman;serif"/>
          <w:b/>
          <w:color w:val="000000"/>
          <w:sz w:val="20"/>
        </w:rPr>
        <w:t xml:space="preserve">"Platform" </w:t>
      </w:r>
      <w:r>
        <w:rPr>
          <w:rFonts w:ascii="Times New Roman;serif" w:hAnsi="Times New Roman;serif"/>
          <w:b w:val="false"/>
          <w:color w:val="000000"/>
          <w:sz w:val="20"/>
        </w:rPr>
        <w:t>means the technology, infrastructure, software, compliance capabilities and related services through which we provide our products and services.</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33"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is a regulated financial technology company that builds and operates infrastructure for digital asset trading, programmable finance and cross-border payments. During 2025, we substantially completed a strategic transformation that included divesting non-core businesses, simplifying our corporate and capital structure and focusing our resources on a unified digital financial infrastructure platform. During the first half of 2026, we continued that transformation by completing our acquisition of an agentic payments and stablecoin platform, integrating that technology into our platform and advancing strategic investments in Japan and India.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51" name="Frame5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strategy is organized around three complementary business engines - Bakkt Markets, Bakkt Agent and Bakkt Global - supported by a common stablecoin-enabled settlement, compliance and onboarding foundation. Markets provides the regulated infrastructure; Agent packages the infrastructure into modular, embedded and conversational financial products; and Global extends our reach through selected international investments and local partnerships. We intend for the three engines to share technology, compliance processes, distribution and transaction flows, which may reduce implementation complexity for clients, improve operating leverage and create opportunities to cross-sell additional capabilities. Our ability to realize these benefits depends on successful execution, client adoption, regulatory approvals, commercial agreements and market conditions.</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Bakkt Markets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Markets enables financial institutions, financial technology firms and digital asset businesses to integrate digital asset trading, payment and treasury capabilities through our platform. Our services span digital asset trade execution and liquidity access, stablecoin on- and off-ramps, payment and settlement, custody and treasury solutions, and related operational support. These services are offered as a menu of modular capabilities: clients can integrate through application programming interfaces ("APIs") or through interfaces designed for AI-agent access, including Model Context Protocol ("MCP") server or Tools and can activate only the modules they need without rebuilding the underlying technology and compliance infrastructure.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cross-border payments solutions are designed to address long-standing inefficiencies in international payments, including foreign exchange costs, failed transactions, hedging costs, settlement speed and limited auditability. By enabling faster, programmable settlement, including for currency corridors outside the largest global currencies, we believe our solutions can reduce transaction and hedging costs for clients, improve transparency and auditability, and allow clients to use accelerated settlement as a commercial advantage, including in negotiating payment terms with their own counterparties and suppliers. We believe these capabilities expand the range of payment flows our platform can address.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Markets is supported by licenses and registrations held by our operating subsidiaries, including pan-U.S. money transmitter licenses and a New York BitLicense, together with our compliance, security and risk-management framework. The permissions available under any license or registration vary by jurisdiction and activity, and certain services depend on third-party banks, custodians, liquidity providers and other counterparties. Our Markets revenue currently is generated principally from digital asset transactions and is sensitive to client mix, trading activity, digital asset prices and spreads.</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Bakkt Agent</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Bakkt Agent is our AI-native financial services layer. It takes the regulated capabilities delivered through Bakkt Markets' APIs and puts an intelligent agent in control of them — using AI to interpret intent, orchestrate multi-step financial actions, and execute transactions on a client's or end user's behalf across onboarding, funding, payments and settlement, together with the compliance processes that support them. Clients embed these agentic capabilities in their own products on a white-label basis, through conversational interfaces or direct integration, to deliver financial services driven by intent rather than manual coding or workflows.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developing three principal product configurations: a modular neobanking-as-a-service stack, white-label card and credit card programs, and agentic cross-border transfers. Through the neobanking-as-a-service offering, businesses would be able to use our technology and regulated infrastructure on a white-label basis to offer programmable finance and account-based products to their end customers, subject in each case to applicable licensing, bank partner, network and regulatory requirements. Certain infrastructure modules are available, while other products remain in development or are subject to partner, bank, network or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52" name="Frame5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Bakkt Global</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Global is our strategy for extending our technology, brand and infrastructure into selected international markets through strategic investments and local partnerships. We seek opportunities in jurisdictions with established or developing regulatory frameworks, liquid capital markets and demand for digital financial infrastructure. Our current strategic Global investments are in Bitcoin Japan Corporation, a Tokyo Stock Exchange-listed company (TSE: 8105), and Transchem Limited, a BSE-listed company in India (BSE: 500422). These investments are intended to complement our other business engines by extending our technology, infrastructure and commercial capabilities into selected international markets. We expect to leverage our infrastructure in these markets and, over the medium term, we expect these strategic investments to create meaningful opportunities to grow our platform. These opportunities are subject to local regulations, required approvals and commercial execution, and their timing and financial impact are uncertain.</w:t>
      </w:r>
    </w:p>
    <w:p>
      <w:pPr>
        <w:pStyle w:val="TextBody"/>
        <w:bidi w:val="0"/>
        <w:spacing w:lineRule="auto" w:line="333" w:before="240" w:after="283"/>
        <w:ind w:left="0" w:right="0" w:firstLine="720"/>
        <w:jc w:val="both"/>
        <w:rPr/>
      </w:pPr>
      <w:r>
        <w:rPr>
          <w:rFonts w:ascii="Times New Roman;serif" w:hAnsi="Times New Roman;serif"/>
          <w:b w:val="false"/>
          <w:color w:val="000000"/>
          <w:sz w:val="20"/>
        </w:rPr>
        <w:t>The value and strategic benefit of these investments depend on market prices, foreign currency exchange rates, the performance and governance of the investees, regulatory developments, and the completion of contemplated corporate actions.</w:t>
      </w:r>
      <w:r>
        <w:rPr>
          <w:color w:val="000000"/>
        </w:rPr>
        <w:t xml:space="preserve"> </w:t>
      </w:r>
    </w:p>
    <w:p>
      <w:pPr>
        <w:pStyle w:val="TextBody"/>
        <w:bidi w:val="0"/>
        <w:spacing w:lineRule="auto" w:line="333" w:before="240" w:after="240"/>
        <w:jc w:val="both"/>
        <w:rPr>
          <w:rFonts w:ascii="Times New Roman;serif" w:hAnsi="Times New Roman;serif"/>
          <w:b w:val="false"/>
          <w:i/>
          <w:color w:val="231F20"/>
          <w:sz w:val="20"/>
        </w:rPr>
      </w:pPr>
      <w:r>
        <w:rPr>
          <w:rFonts w:ascii="Times New Roman;serif" w:hAnsi="Times New Roman;serif"/>
          <w:b w:val="false"/>
          <w:i/>
          <w:color w:val="231F20"/>
          <w:sz w:val="20"/>
        </w:rPr>
        <w:t>Second-Quarter Highlights and Trends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developments were significant to our business and results during the second quarter and first half of 2026:</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000000"/>
          <w:sz w:val="20"/>
        </w:rPr>
        <w:t>We completed the acquisition of Distributed Technologies Research Global Ltd. on April 30, 2026 in an all-stock transaction and began consolidating its results as of May 1, 2026. We integrated its payment, stablecoin, onboarding and compliance technology into Bakkt's platform and subsumed the pre-existing commercial agreement into the combined company. The acquisition affects period-to-period comparability because our results for the three and six months ended June 30, 2026 include two months of the acquired operations, while prior periods do not.</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000000"/>
          <w:sz w:val="20"/>
        </w:rPr>
        <w:t>We continued consolidating onboarding and identity processes across our product modules and enabled additional wire and ACH funding capabilities. These capabilities are designed to support digital asset trading, stablecoin conversion, fiat transfers and cross-border settlement through a common infrastructure layer.</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000000"/>
          <w:sz w:val="20"/>
        </w:rPr>
        <w:t>Following receipt of required Indian regulatory approvals, Transchem allotted 47,500,000 warrants to Bakkt in June 2026. We initially paid approximately $9.4 million, representing 25% of the aggregate subscription amount, and the remaining aggregate subscription amount payable upon full exercise was approximately $28.2 million as of June 30, 2026. The warrants may be exercised in one or more tranches during an 18-month exercise period.</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000000"/>
          <w:sz w:val="20"/>
        </w:rPr>
        <w:t>We acquired Gyzer and brought its embeddable fiat-to-crypto on- and off-ramp embedded user interfaces onto our platform, connecting it to our stablecoin and onboarding infrastructure. This allows clients to enable stablecoins purchase and sale directly into their own applications and adds a new channel for transaction volume across the platform. The acquisition also brought experienced leadership and an operating team across engineering, compliance and sales into Bakkt, including Daniel Ishag, who joined as our Chief Commercial Officer.</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Digital Asset Market Developments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regulatory treatment of digital assets continued to evolve and has drawn significant attention from legislative and regulatory bodies around the world. Recent developments relating to digital assets and cryptocurrency include the adoption of the Guiding and Establishing National innovation for U.S. Stablecoins Act (the “GENIUS Act”) and the proposal of the Digital Asset Market Clarity Act (the “CLARITY Act”).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Legislation in the US and abroad is expected to provide increased certainty for market participants and accelerate institutional adoption. Enactment of the “GENIUS Act”, established a federal framework for “payment stablecoins,”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53" name="Frame5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treating them as payment systems, and mandating fiat-backed reserves, monthly disclosures, anti-money laundering safeguards, and similar measures. Stablecoins have grown rapidly as an alternative to bitcoin and other digital assets as a medium of exchange and store of value, and their use as an alternative to bitcoin could expand further as a result of the GENIUS Act being enacted. Additionally, the CLARITY Act, currently under consideration by the U.S. Senate, seeks to provide for a system of regulation of the offer and sale of digital assets by the SEC and CFTC and establish a provisional registration regime.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increased global regulatory clarity will result in increased conviction in stablecoins by consumers and enterprises alike, which will drive greater adoption. We believe these trends will naturally increase the value of our global licensing network and the use of our platform.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2465"/>
                <wp:effectExtent l="0" t="0" r="0" b="0"/>
                <wp:wrapNone/>
                <wp:docPr id="54" name="Frame5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Key Factors Affecting Our Performance</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Client Base, Concentration and Transaction Activity</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revenue depends on retaining existing clients, activating new clients, increasing transaction activity and expanding the products used by each client. Client onboarding can require commercial negotiations, technical integration, due diligence, compliance review and regulatory coordination, which may result in long sales and activation cycles. </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Product Development and Commercialization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growth strategy requires us to develop, integrate and commercialize new capabilities while maintaining a secure, resilient and compliant platform. The integration of our acquired payment technology gives us a common onboarding, stablecoin and settlement foundation across Markets and Agent. We expect to continue investing in product engineering, compliance, banking and network relationships, and client implementation. Products described as available may still require client-specific integration, approvals or third-party arrangements before they generate revenue. Delays, cost overruns, limited adoption or changes in partner requirements could adversely affect our results.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Integration of Acquisitions and Operating Efficiency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April 2026 acquisition of DTR, we integrated DTR’s payment, stablecoin, onboarding and compliance technology into our platform. The broader integration of DTR into our business remains ongoing, including with respect to personnel, controls and commercial processes following the April 2026 acquisition of DTR. Our results are affected by the pace and cost of these ongoing integration activities, which may require additional compensation, professional services, technology and compliance expenditures. We continue to evaluate our headcount, vendor relationships, technology architecture and other operating costs to focus resources on initiatives with a clear path to commercial value. Savings may take longer to realize than expected and may be offset by growth investments.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markets for digital asset infrastructure, stablecoin payments, embedded finance and cross-border payments are highly competitive and rapidly evolving. We compete with digital asset exchanges and brokers, financial technology platforms, payment processors, banks, custody providers, stablecoin issuers, blockchain-native infrastructure companies and internally developed client solutions. Competitive factors include regulatory permissions, security, asset and currency coverage, liquidity, price, speed, reliability, user experience, geographic reach, integration effort and brand trust. Increased competition may reduce spreads and fees, raise client-acquisition and product-development costs or slow adoption.</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General Economic and Market Conditions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Digital asset transaction activity is cyclical and can change rapidly in response to asset prices, volatility, interest rates, liquidity, macroeconomic conditions, geopolitical events and risk sentiment. Our Global investments also expose us to public-equity-market fluctuations and foreign currency movements. These factors may affect revenue, fair-value measurements, equity-method results, liquidity and the carrying value or recoverability of our assets. The amount and timing of these effects may be difficult to predict.</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Regulation in U.S. and International Markets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regulated environment. Our activities are subject to laws and regulations relating to money transmission, virtual currencies, securities, commodities, banking, payments, anti-money laundering, sanctions, privacy, cybersecurity, consumer protection and AI, among other areas. Requirements differ by jurisdiction and may change or be interpreted differently over time. We may need additional licenses, registrations, approvals or partner arrangements to launch particular products or enter new markets. Regulatory developments can increase our costs, delay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2465"/>
                <wp:effectExtent l="0" t="0" r="0" b="0"/>
                <wp:wrapNone/>
                <wp:docPr id="55" name="Frame5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restrict product features or create liability, while clear and workable frameworks may support institutional adoption of our services.</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Strategic Investments and Capital Allocation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Bakkt Global requires us to allocate capital to strategic investments whose value and liquidity may be volatile. The quoted market price of an investee's shares may not be achievable for our position because of trading volumes, contractual restrictions, regulatory requirements, market impact, taxes, foreign exchange or other factors. The Transchem Warrants require additional capital if we elect to exercise them, and the expected strategic benefits of our investments may depend on actions by the investees and third parties. We evaluate these opportunities together with our operating cash needs, regulatory capital requirements and other commitments.</w:t>
      </w:r>
    </w:p>
    <w:p>
      <w:pPr>
        <w:pStyle w:val="TextBody"/>
        <w:bidi w:val="0"/>
        <w:spacing w:lineRule="auto" w:line="333" w:before="240" w:after="283"/>
        <w:jc w:val="both"/>
        <w:rPr>
          <w:rFonts w:ascii="Times New Roman;serif" w:hAnsi="Times New Roman;serif"/>
          <w:b/>
          <w:color w:val="0C0C0C"/>
          <w:sz w:val="20"/>
        </w:rPr>
      </w:pPr>
      <w:r>
        <w:rPr>
          <w:rFonts w:ascii="Times New Roman;serif" w:hAnsi="Times New Roman;serif"/>
          <w:b/>
          <w:color w:val="0C0C0C"/>
          <w:sz w:val="20"/>
        </w:rPr>
        <w:t>Key Performance Indicators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operating and statistical measures to evaluate our business, identify trends, formulate plans and make strategic decisions, and we believe these measures provide investors with useful supplemental information about our operating performance and trends across our business lines. These measures are operating and statistical metrics used by management to evaluate performance and are not financial measures prepared in accordance with U.S. GAAP. Beginning in the second quarter of 2026, our principal KPIs are Total Transacting Volume for Bakkt Markets and Strategic Asset Value for Bakkt Global. Following the commercial launch of Bakkt Agent products, we intend to report Monthly Active Users for Bakkt Agent. We may refine the definitions and methodologies as the underlying products and investment strategy develop. If we materially change a methodology, we expect to disclose the change, the reasons for the change and, where practicable, its effect on prior-period information.</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Total Transacting Volume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Transacting Volume ("TTV") is the aggregate notional value of transactions processed through Bakkt's platforms during the period. TTV includes digital asset purchases and sales routed through client platforms; institutional and business-to-business payments, including cross-border stablecoin payments; peer-to-peer fiat transfers; consumer and business payments processed through our infrastructure; and other transaction activity routed through our platforms. The relationship between TTV and revenue differs by transaction type. For digital asset purchases and sales, where crypto services revenue is presented on a gross basis, the notional value of transactions is generally also recognized as revenue, with substantially offsetting crypto costs and execution, clearing and brokerage fees. For payments and transfer activity, TTV reflects the notional value of funds moved through our infrastructure, and the associated fees and spreads, rather than the notional value, are recognized as revenue. Accordingly, TTV is an operating metric of transactional activity; it is not a substitute for revenue determined in accordance with GAAP, and it does not represent profitability, assets held by the Company, or cash flow. We use TTV to monitor the scale, adoption and mix of transaction activity across our platform, and we believe TTV provides investors with useful supplemental information about the volume of activity we facilitate. Because TTV reflects gross notional transaction amounts rather than net revenue and includes transaction types with materially different revenue and margin profiles, period-over-period changes in TTV should not be viewed as indicative of changes in our net revenue or operating results.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TTV was $168.8 million for the three months ended June 30, 2026, consisting of $161.9 million of digital asset trading activity and $6.8 million of payments activity, and $410.0 million for the six months ended June 30, 2026. The six-month amount includes $241.2 million of notional traded volume reported for the first quarter of 2026. Beginning May 1, 2026, TTV includes activity processed through the payment infrastructure acquired on April 30, 2026 in connection with the acquisition of DTR. Activity of the acquired business before May 1, 2026 is not included, and prior periods have not been recast.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2465"/>
                <wp:effectExtent l="0" t="0" r="0" b="0"/>
                <wp:wrapNone/>
                <wp:docPr id="56" name="Frame5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Digital asset trading activity remained below the levels experienced in the corresponding periods of the prior year, resulting in lower gross digital asset services revenue, substantially offset by corresponding decreases in digital asset costs and execution, clearing and brokerage fees.</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Strategic Asset Value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Strategic Asset Value ("SAV") is the aggregate value of our Bakkt Global strategic positions as reported in our consolidated balance sheet. We use SAV to monitor the value of these positions for internal capital-allocation and reporting purposes, and we believe SAV provides investors with useful supplemental information about our exposure to the equity value of these positions. SAV equals the sum of (i) the carrying value of our equity method investment in Bitcoin Japan Corporation and (ii) the fair value of our Transchem Warrant position, in each case as reported in the accompanying unaudited consolidated financial statements. Positions are included in SAV from the date of allotment or acquisition and are removed upon disposal; cash previously received or amounts receivable in connection with our investments are not included in SAV.</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components of SAV are measured under different accounting frameworks — the equity method for the Bitcoin Japan Corporation investment, which reflects our share of the investee's book value on a one-quarter lag and is not marked to market, and fair value under ASC 820 for the Transchem Warrants, which reflects, among other inputs, a discount for lack of marketability — SAV does not represent the aggregate market value of the underlying shares, current liquidation value, net asset value, revenue, income or cash flow, and does not deduct taxes or transaction costs. The quoted market prices of the investees' listed shares may differ, in either direction, from the values at which our positions are carried, and actual realizable value may differ materially from SAV.</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SAV was approximately $118.6 million as of June 30, 2026, consisting of the $10.6 million carrying value of our equity method investment in Bitcoin Japan Corporation and the $107.9 million fair value of our Transchem Warrant position. </w:t>
      </w:r>
    </w:p>
    <w:p>
      <w:pPr>
        <w:pStyle w:val="TextBody"/>
        <w:bidi w:val="0"/>
        <w:spacing w:lineRule="auto" w:line="333"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Monthly Active Users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report Monthly Active Users (“MAUs”) as an additional key performance indicator beginning in the second half of 2026. A Monthly Active User is a unique end user completing at least one qualifying activity in an applicable Bakkt Agent-powered product during the calendar month, such as payments, transfers, card transactions, account funding, digital asset transactions or the use of agentic financial services delivered through a client application. A user is counted once per client application per month, regardless of the number of activities or products used within that application. An end user who transacts through more than one client application would be counted once for each application. MAUs will include end users of client applications built on Bakkt Agent as well as users of the Company’s own Agent-powered offerings. MAUs measure reach and adoption; they do not measure revenue or profitability, and revenue associated with an individual user varies by product and client arrangement. We do not report MAUs for the current period because partner products had not yet begun generating qualifying activity as of June 30, 2026; we will present the definition and methodology in effect when reporting begins.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2465"/>
                <wp:effectExtent l="0" t="0" r="0" b="0"/>
                <wp:wrapNone/>
                <wp:docPr id="57" name="Frame5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40" w:after="240"/>
        <w:ind w:left="0" w:right="0" w:firstLine="720"/>
        <w:jc w:val="both"/>
        <w:rPr/>
      </w:pPr>
      <w:r>
        <w:rPr>
          <w:rFonts w:ascii="Times New Roman;serif" w:hAnsi="Times New Roman;serif"/>
          <w:b w:val="false"/>
          <w:color w:val="231F20"/>
          <w:sz w:val="20"/>
        </w:rPr>
        <w:t xml:space="preserve">The following table is our consolidated statements of operations </w:t>
      </w:r>
      <w:r>
        <w:rPr>
          <w:rFonts w:ascii="Times New Roman;serif" w:hAnsi="Times New Roman;serif"/>
          <w:b w:val="false"/>
          <w:color w:val="000000"/>
          <w:sz w:val="20"/>
        </w:rPr>
        <w:t xml:space="preserve">for the three and six months ended June 30, 2026 and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respectively</w:t>
      </w:r>
      <w:r>
        <w:rPr>
          <w:color w:val="231F20"/>
        </w:rPr>
        <w:t xml:space="preserve"> </w:t>
      </w:r>
      <w:r>
        <w:rPr>
          <w:rFonts w:ascii="Times New Roman;serif" w:hAnsi="Times New Roman;serif"/>
          <w:b w:val="false"/>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1506"/>
        <w:gridCol w:w="1057"/>
        <w:gridCol w:w="1062"/>
        <w:gridCol w:w="109"/>
        <w:gridCol w:w="109"/>
        <w:gridCol w:w="109"/>
        <w:gridCol w:w="250"/>
        <w:gridCol w:w="939"/>
        <w:gridCol w:w="138"/>
        <w:gridCol w:w="109"/>
        <w:gridCol w:w="109"/>
        <w:gridCol w:w="109"/>
        <w:gridCol w:w="250"/>
        <w:gridCol w:w="939"/>
        <w:gridCol w:w="138"/>
        <w:gridCol w:w="109"/>
        <w:gridCol w:w="109"/>
        <w:gridCol w:w="109"/>
        <w:gridCol w:w="234"/>
        <w:gridCol w:w="879"/>
        <w:gridCol w:w="129"/>
        <w:gridCol w:w="109"/>
        <w:gridCol w:w="109"/>
        <w:gridCol w:w="109"/>
        <w:gridCol w:w="219"/>
        <w:gridCol w:w="977"/>
        <w:gridCol w:w="180"/>
      </w:tblGrid>
      <w:tr>
        <w:trPr/>
        <w:tc>
          <w:tcPr>
            <w:tcW w:w="15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 and gains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568,103 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Execution, clearing and brokerage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communication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189,762 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1,665,417 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Transchem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 and equity in net earnings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before equity in net earnings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Three Months Ended June 30, 2026 compared to Three Months Ended June 30, 2025</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Financial Summary</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three months ended June 30, 2026 included the following notable items relative to the three months ended June 30, 2025:</w:t>
      </w:r>
    </w:p>
    <w:p>
      <w:pPr>
        <w:pStyle w:val="TextBody"/>
        <w:bidi w:val="0"/>
        <w:spacing w:lineRule="auto" w:line="333" w:before="60" w:after="283"/>
        <w:ind w:left="0" w:right="0" w:hanging="360"/>
        <w:jc w:val="both"/>
        <w:rPr/>
      </w:pPr>
      <w:r>
        <w:rPr>
          <w:color w:val="231F20"/>
        </w:rPr>
        <w:t>•</w:t>
      </w:r>
      <w:r>
        <w:rPr>
          <w:rFonts w:ascii="Times New Roman;serif" w:hAnsi="Times New Roman;serif"/>
          <w:b w:val="false"/>
          <w:color w:val="231F20"/>
          <w:sz w:val="20"/>
        </w:rPr>
        <w:t xml:space="preserve">Revenue decreased </w:t>
      </w:r>
      <w:r>
        <w:rPr>
          <w:rFonts w:ascii="Times New Roman;serif" w:hAnsi="Times New Roman;serif"/>
          <w:b w:val="false"/>
          <w:color w:val="000000"/>
          <w:sz w:val="20"/>
        </w:rPr>
        <w:t>$398.0 million</w:t>
      </w:r>
      <w:r>
        <w:rPr>
          <w:color w:val="231F20"/>
        </w:rPr>
        <w:t xml:space="preserve"> </w:t>
      </w:r>
      <w:r>
        <w:rPr>
          <w:rFonts w:ascii="Times New Roman;serif" w:hAnsi="Times New Roman;serif"/>
          <w:b w:val="false"/>
          <w:color w:val="231F20"/>
          <w:sz w:val="20"/>
        </w:rPr>
        <w:t>primarily driven by a decrease in crypto trading volume compared to the prior year second quarter;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231F20"/>
          <w:sz w:val="20"/>
        </w:rPr>
        <w:t xml:space="preserve">Operating expenses decreased </w:t>
      </w:r>
      <w:r>
        <w:rPr>
          <w:rFonts w:ascii="Times New Roman;serif" w:hAnsi="Times New Roman;serif"/>
          <w:b w:val="false"/>
          <w:color w:val="000000"/>
          <w:sz w:val="20"/>
        </w:rPr>
        <w:t>$394.5 million</w:t>
      </w:r>
      <w:r>
        <w:rPr>
          <w:color w:val="231F20"/>
        </w:rPr>
        <w:t xml:space="preserve"> </w:t>
      </w:r>
      <w:r>
        <w:rPr>
          <w:rFonts w:ascii="Times New Roman;serif" w:hAnsi="Times New Roman;serif"/>
          <w:b w:val="false"/>
          <w:color w:val="231F20"/>
          <w:sz w:val="20"/>
        </w:rPr>
        <w:t>primarily driven by lower crypto trading costs in connection with lower crypto trading volume compared to the prior year second quarter.</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Revenue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derived from the provision of digital asset services. We earn revenue when consumers use our services to buy, sell, and store digital assets. Substantially all of our Crypto services revenue is transaction revenue from digital asset buy/sell trades where we earn a spread on both legs of the transaction (reported gross). </w:t>
      </w:r>
    </w:p>
    <w:p>
      <w:pPr>
        <w:pStyle w:val="TextBody"/>
        <w:bidi w:val="0"/>
        <w:spacing w:lineRule="auto" w:line="333" w:before="12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Crypto Services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2465"/>
                <wp:effectExtent l="0" t="0" r="0" b="0"/>
                <wp:wrapNone/>
                <wp:docPr id="58" name="Frame5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1"/>
        <w:gridCol w:w="432"/>
        <w:gridCol w:w="433"/>
        <w:gridCol w:w="507"/>
        <w:gridCol w:w="1988"/>
        <w:gridCol w:w="261"/>
        <w:gridCol w:w="109"/>
        <w:gridCol w:w="109"/>
        <w:gridCol w:w="109"/>
        <w:gridCol w:w="507"/>
        <w:gridCol w:w="1988"/>
        <w:gridCol w:w="261"/>
        <w:gridCol w:w="109"/>
        <w:gridCol w:w="109"/>
        <w:gridCol w:w="109"/>
        <w:gridCol w:w="211"/>
        <w:gridCol w:w="890"/>
        <w:gridCol w:w="109"/>
        <w:gridCol w:w="109"/>
        <w:gridCol w:w="109"/>
        <w:gridCol w:w="109"/>
        <w:gridCol w:w="263"/>
        <w:gridCol w:w="263"/>
        <w:gridCol w:w="620"/>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services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568,103 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services revenue decreased by </w:t>
      </w:r>
      <w:r>
        <w:rPr>
          <w:rFonts w:ascii="Times New Roman;serif" w:hAnsi="Times New Roman;serif"/>
          <w:b w:val="false"/>
          <w:color w:val="000000"/>
          <w:sz w:val="20"/>
        </w:rPr>
        <w:t>$398.0 million, or 70.0%,</w:t>
      </w:r>
      <w:r>
        <w:rPr>
          <w:color w:val="231F20"/>
        </w:rPr>
        <w:t xml:space="preserve"> </w:t>
      </w:r>
      <w:r>
        <w:rPr>
          <w:rFonts w:ascii="Times New Roman;serif" w:hAnsi="Times New Roman;serif"/>
          <w:b w:val="false"/>
          <w:color w:val="231F20"/>
          <w:sz w:val="20"/>
        </w:rPr>
        <w:t xml:space="preserve">for the three months ended June 30, 2026 compared to the three months ended June 30, 2025. The decrease was primarily driven by decreased crypto trading volume primarily driven by the loss of Webull and Public as clients, as well as broader market volume reductions compared to the prior year second quarter. </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Operating Expenses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Crypto Costs</w:t>
      </w:r>
    </w:p>
    <w:tbl>
      <w:tblPr>
        <w:tblW w:w="10205" w:type="dxa"/>
        <w:jc w:val="left"/>
        <w:tblInd w:w="0" w:type="dxa"/>
        <w:tblLayout w:type="fixed"/>
        <w:tblCellMar>
          <w:top w:w="28" w:type="dxa"/>
          <w:left w:w="28" w:type="dxa"/>
          <w:bottom w:w="28" w:type="dxa"/>
          <w:right w:w="28" w:type="dxa"/>
        </w:tblCellMar>
      </w:tblPr>
      <w:tblGrid>
        <w:gridCol w:w="491"/>
        <w:gridCol w:w="432"/>
        <w:gridCol w:w="433"/>
        <w:gridCol w:w="507"/>
        <w:gridCol w:w="1988"/>
        <w:gridCol w:w="261"/>
        <w:gridCol w:w="109"/>
        <w:gridCol w:w="109"/>
        <w:gridCol w:w="109"/>
        <w:gridCol w:w="507"/>
        <w:gridCol w:w="1988"/>
        <w:gridCol w:w="261"/>
        <w:gridCol w:w="109"/>
        <w:gridCol w:w="109"/>
        <w:gridCol w:w="109"/>
        <w:gridCol w:w="211"/>
        <w:gridCol w:w="890"/>
        <w:gridCol w:w="109"/>
        <w:gridCol w:w="109"/>
        <w:gridCol w:w="109"/>
        <w:gridCol w:w="109"/>
        <w:gridCol w:w="263"/>
        <w:gridCol w:w="263"/>
        <w:gridCol w:w="620"/>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costs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167,938 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561,074 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costs represent the gross value of crypto sold by our customers on our platform. These costs are measured at the executed price at the time of the trade. Crypto costs decreased by </w:t>
      </w:r>
      <w:r>
        <w:rPr>
          <w:rFonts w:ascii="Times New Roman;serif" w:hAnsi="Times New Roman;serif"/>
          <w:b w:val="false"/>
          <w:color w:val="000000"/>
          <w:sz w:val="20"/>
        </w:rPr>
        <w:t>$393.1 million</w:t>
      </w:r>
      <w:r>
        <w:rPr>
          <w:rFonts w:ascii="Times New Roman;serif" w:hAnsi="Times New Roman;serif"/>
          <w:b w:val="false"/>
          <w:color w:val="231F20"/>
          <w:sz w:val="20"/>
        </w:rPr>
        <w:t xml:space="preserve">, or </w:t>
      </w:r>
      <w:r>
        <w:rPr>
          <w:rFonts w:ascii="Times New Roman;serif" w:hAnsi="Times New Roman;serif"/>
          <w:b w:val="false"/>
          <w:color w:val="000000"/>
          <w:sz w:val="20"/>
        </w:rPr>
        <w:t>(70.1%),</w:t>
      </w:r>
      <w:r>
        <w:rPr>
          <w:color w:val="231F20"/>
        </w:rPr>
        <w:t xml:space="preserve"> </w:t>
      </w:r>
      <w:r>
        <w:rPr>
          <w:rFonts w:ascii="Times New Roman;serif" w:hAnsi="Times New Roman;serif"/>
          <w:b w:val="false"/>
          <w:color w:val="231F20"/>
          <w:sz w:val="20"/>
        </w:rPr>
        <w:t>for the three months ended June 30, 2026 compared to the three months ended June 30, 2025</w:t>
      </w:r>
      <w:r>
        <w:rPr>
          <w:rFonts w:ascii="Times New Roman;serif" w:hAnsi="Times New Roman;serif"/>
          <w:b w:val="false"/>
          <w:color w:val="231F20"/>
          <w:sz w:val="20"/>
          <w:shd w:fill="FFFFFF" w:val="clear"/>
        </w:rPr>
        <w:t>.</w:t>
      </w:r>
      <w:r>
        <w:rPr>
          <w:color w:val="231F20"/>
        </w:rPr>
        <w:t xml:space="preserve"> </w:t>
      </w:r>
      <w:r>
        <w:rPr>
          <w:rFonts w:ascii="Times New Roman;serif" w:hAnsi="Times New Roman;serif"/>
          <w:b w:val="false"/>
          <w:color w:val="231F20"/>
          <w:sz w:val="20"/>
        </w:rPr>
        <w:t xml:space="preserve">This decrease was primarily driven by decreased crypto trading volume.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Execution, Clearing and Brokerage Fees</w:t>
      </w:r>
    </w:p>
    <w:tbl>
      <w:tblPr>
        <w:tblW w:w="10205" w:type="dxa"/>
        <w:jc w:val="left"/>
        <w:tblInd w:w="0" w:type="dxa"/>
        <w:tblLayout w:type="fixed"/>
        <w:tblCellMar>
          <w:top w:w="28" w:type="dxa"/>
          <w:left w:w="28" w:type="dxa"/>
          <w:bottom w:w="28" w:type="dxa"/>
          <w:right w:w="28" w:type="dxa"/>
        </w:tblCellMar>
      </w:tblPr>
      <w:tblGrid>
        <w:gridCol w:w="900"/>
        <w:gridCol w:w="777"/>
        <w:gridCol w:w="780"/>
        <w:gridCol w:w="522"/>
        <w:gridCol w:w="1526"/>
        <w:gridCol w:w="269"/>
        <w:gridCol w:w="109"/>
        <w:gridCol w:w="109"/>
        <w:gridCol w:w="109"/>
        <w:gridCol w:w="522"/>
        <w:gridCol w:w="1526"/>
        <w:gridCol w:w="269"/>
        <w:gridCol w:w="109"/>
        <w:gridCol w:w="109"/>
        <w:gridCol w:w="109"/>
        <w:gridCol w:w="211"/>
        <w:gridCol w:w="669"/>
        <w:gridCol w:w="109"/>
        <w:gridCol w:w="109"/>
        <w:gridCol w:w="109"/>
        <w:gridCol w:w="109"/>
        <w:gridCol w:w="263"/>
        <w:gridCol w:w="263"/>
        <w:gridCol w:w="618"/>
      </w:tblGrid>
      <w:tr>
        <w:trPr/>
        <w:tc>
          <w:tcPr>
            <w:tcW w:w="90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Execution, clearing and brokerage fees</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Execution, clearing and brokerage fees primarily represent payments to clients in exchange for driving order flow to our platform. Execution, clearing and brokerage fees decreased by </w:t>
      </w:r>
      <w:r>
        <w:rPr>
          <w:rFonts w:ascii="Times New Roman;serif" w:hAnsi="Times New Roman;serif"/>
          <w:b w:val="false"/>
          <w:color w:val="000000"/>
          <w:sz w:val="20"/>
        </w:rPr>
        <w:t>$2.8 million</w:t>
      </w:r>
      <w:r>
        <w:rPr>
          <w:color w:val="231F20"/>
        </w:rPr>
        <w:t xml:space="preserve"> </w:t>
      </w:r>
      <w:r>
        <w:rPr>
          <w:rFonts w:ascii="Times New Roman;serif" w:hAnsi="Times New Roman;serif"/>
          <w:b w:val="false"/>
          <w:color w:val="231F20"/>
          <w:sz w:val="20"/>
        </w:rPr>
        <w:t>during the three months ended June 30, 2026</w:t>
      </w:r>
      <w:r>
        <w:rPr>
          <w:rFonts w:ascii="Times New Roman;serif" w:hAnsi="Times New Roman;serif"/>
          <w:b w:val="false"/>
          <w:color w:val="231F20"/>
          <w:sz w:val="20"/>
          <w:shd w:fill="FFFFFF" w:val="clear"/>
        </w:rPr>
        <w:t>.</w:t>
      </w:r>
      <w:r>
        <w:rPr>
          <w:color w:val="231F20"/>
        </w:rPr>
        <w:t xml:space="preserve"> </w:t>
      </w:r>
      <w:r>
        <w:rPr>
          <w:rFonts w:ascii="Times New Roman;serif" w:hAnsi="Times New Roman;serif"/>
          <w:b w:val="false"/>
          <w:color w:val="231F20"/>
          <w:sz w:val="20"/>
        </w:rPr>
        <w:t>The decrease reflects decreased crypto transaction volume as described above.</w:t>
      </w:r>
    </w:p>
    <w:p>
      <w:pPr>
        <w:pStyle w:val="TextBody"/>
        <w:bidi w:val="0"/>
        <w:spacing w:before="0" w:after="0"/>
        <w:jc w:val="both"/>
        <w:rPr/>
      </w:pPr>
      <w:r>
        <w:rPr/>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Compensation and Benefits</w:t>
      </w:r>
    </w:p>
    <w:tbl>
      <w:tblPr>
        <w:tblW w:w="10205" w:type="dxa"/>
        <w:jc w:val="left"/>
        <w:tblInd w:w="0" w:type="dxa"/>
        <w:tblLayout w:type="fixed"/>
        <w:tblCellMar>
          <w:top w:w="28" w:type="dxa"/>
          <w:left w:w="28" w:type="dxa"/>
          <w:bottom w:w="28" w:type="dxa"/>
          <w:right w:w="28" w:type="dxa"/>
        </w:tblCellMar>
      </w:tblPr>
      <w:tblGrid>
        <w:gridCol w:w="758"/>
        <w:gridCol w:w="666"/>
        <w:gridCol w:w="633"/>
        <w:gridCol w:w="563"/>
        <w:gridCol w:w="1647"/>
        <w:gridCol w:w="290"/>
        <w:gridCol w:w="109"/>
        <w:gridCol w:w="109"/>
        <w:gridCol w:w="109"/>
        <w:gridCol w:w="512"/>
        <w:gridCol w:w="1752"/>
        <w:gridCol w:w="264"/>
        <w:gridCol w:w="109"/>
        <w:gridCol w:w="109"/>
        <w:gridCol w:w="109"/>
        <w:gridCol w:w="211"/>
        <w:gridCol w:w="674"/>
        <w:gridCol w:w="109"/>
        <w:gridCol w:w="109"/>
        <w:gridCol w:w="109"/>
        <w:gridCol w:w="109"/>
        <w:gridCol w:w="263"/>
        <w:gridCol w:w="263"/>
        <w:gridCol w:w="619"/>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Compensation and benefits expense include all salaries and benefits, compensation for contract labor, incentive programs for employees, payroll taxes, share-based and unit-based compensation and other employee related costs.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We have restructured our personnel to reduce headcount and adjusted our expense base to better align with our operational priorities and business strategy, as well as our integration of DTR. </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Compensation and benefits decreased by $3.2 million, or 31.6%, for the three months ended June 30, 2026 compared to the three months ended June 30, 2025. The decrease was primarily due to decreases of $3.9 million in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2465"/>
                <wp:effectExtent l="0" t="0" r="0" b="0"/>
                <wp:wrapNone/>
                <wp:docPr id="59" name="Frame5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cash compensation, partially offset by a $0.5 million increase in non-development contract labor and a $0.2 million increase salaries and wages, benefits and payroll tax.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Professional Services</w:t>
      </w:r>
    </w:p>
    <w:tbl>
      <w:tblPr>
        <w:tblW w:w="10205" w:type="dxa"/>
        <w:jc w:val="left"/>
        <w:tblInd w:w="0" w:type="dxa"/>
        <w:tblLayout w:type="fixed"/>
        <w:tblCellMar>
          <w:top w:w="28" w:type="dxa"/>
          <w:left w:w="28" w:type="dxa"/>
          <w:bottom w:w="28" w:type="dxa"/>
          <w:right w:w="28" w:type="dxa"/>
        </w:tblCellMar>
      </w:tblPr>
      <w:tblGrid>
        <w:gridCol w:w="628"/>
        <w:gridCol w:w="531"/>
        <w:gridCol w:w="533"/>
        <w:gridCol w:w="621"/>
        <w:gridCol w:w="1815"/>
        <w:gridCol w:w="320"/>
        <w:gridCol w:w="109"/>
        <w:gridCol w:w="109"/>
        <w:gridCol w:w="109"/>
        <w:gridCol w:w="621"/>
        <w:gridCol w:w="1815"/>
        <w:gridCol w:w="320"/>
        <w:gridCol w:w="109"/>
        <w:gridCol w:w="109"/>
        <w:gridCol w:w="109"/>
        <w:gridCol w:w="211"/>
        <w:gridCol w:w="616"/>
        <w:gridCol w:w="109"/>
        <w:gridCol w:w="109"/>
        <w:gridCol w:w="109"/>
        <w:gridCol w:w="109"/>
        <w:gridCol w:w="233"/>
        <w:gridCol w:w="233"/>
        <w:gridCol w:w="618"/>
      </w:tblGrid>
      <w:tr>
        <w:trPr/>
        <w:tc>
          <w:tcPr>
            <w:tcW w:w="6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Professional services expense includes fees for accounting, legal and regulatory fees. Professional services increased by $3.2 million, or </w:t>
      </w:r>
      <w:r>
        <w:rPr>
          <w:rFonts w:ascii="Times New Roman;serif" w:hAnsi="Times New Roman;serif"/>
          <w:b w:val="false"/>
          <w:color w:val="000000"/>
          <w:sz w:val="20"/>
        </w:rPr>
        <w:t>78.6%</w:t>
      </w:r>
      <w:r>
        <w:rPr>
          <w:rFonts w:ascii="Times New Roman;serif" w:hAnsi="Times New Roman;serif"/>
          <w:b w:val="false"/>
          <w:color w:val="231F20"/>
          <w:sz w:val="20"/>
        </w:rPr>
        <w:t>, for the three months ended June 30, 2026 compared to the three months ended June 30, 2025. The increase was primarily due to an increase of $3.9 million in consulting and advisory fees and a $0.3 million increase in legal fees, mainly in relation to strategic and transformational initiatives, partially offset by a $1.0 million decrease in audit and tax fees.</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Technology and Communication</w:t>
      </w:r>
    </w:p>
    <w:tbl>
      <w:tblPr>
        <w:tblW w:w="10205" w:type="dxa"/>
        <w:jc w:val="left"/>
        <w:tblInd w:w="0" w:type="dxa"/>
        <w:tblLayout w:type="fixed"/>
        <w:tblCellMar>
          <w:top w:w="28" w:type="dxa"/>
          <w:left w:w="28" w:type="dxa"/>
          <w:bottom w:w="28" w:type="dxa"/>
          <w:right w:w="28" w:type="dxa"/>
        </w:tblCellMar>
      </w:tblPr>
      <w:tblGrid>
        <w:gridCol w:w="859"/>
        <w:gridCol w:w="755"/>
        <w:gridCol w:w="745"/>
        <w:gridCol w:w="550"/>
        <w:gridCol w:w="1607"/>
        <w:gridCol w:w="283"/>
        <w:gridCol w:w="109"/>
        <w:gridCol w:w="109"/>
        <w:gridCol w:w="109"/>
        <w:gridCol w:w="550"/>
        <w:gridCol w:w="1607"/>
        <w:gridCol w:w="283"/>
        <w:gridCol w:w="109"/>
        <w:gridCol w:w="109"/>
        <w:gridCol w:w="109"/>
        <w:gridCol w:w="241"/>
        <w:gridCol w:w="534"/>
        <w:gridCol w:w="126"/>
        <w:gridCol w:w="109"/>
        <w:gridCol w:w="109"/>
        <w:gridCol w:w="109"/>
        <w:gridCol w:w="233"/>
        <w:gridCol w:w="233"/>
        <w:gridCol w:w="618"/>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Technology and communication</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 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Technology and communications expense increased by $0.4 million, or 26.4%, for the three months ended June 30, 2026 compared to the three months ended June 30, 2025. The increase was primarily due to an increase of $0.2 million in business licenses and registration fees, and an increase of $0.1 million in software as a service (SaaS) costs. </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890"/>
        <w:gridCol w:w="782"/>
        <w:gridCol w:w="737"/>
        <w:gridCol w:w="537"/>
        <w:gridCol w:w="1570"/>
        <w:gridCol w:w="277"/>
        <w:gridCol w:w="109"/>
        <w:gridCol w:w="109"/>
        <w:gridCol w:w="109"/>
        <w:gridCol w:w="537"/>
        <w:gridCol w:w="1570"/>
        <w:gridCol w:w="277"/>
        <w:gridCol w:w="109"/>
        <w:gridCol w:w="109"/>
        <w:gridCol w:w="109"/>
        <w:gridCol w:w="237"/>
        <w:gridCol w:w="541"/>
        <w:gridCol w:w="123"/>
        <w:gridCol w:w="109"/>
        <w:gridCol w:w="109"/>
        <w:gridCol w:w="109"/>
        <w:gridCol w:w="263"/>
        <w:gridCol w:w="263"/>
        <w:gridCol w:w="62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conferences and user events, and brand-building activities. Selling, general and administrative expenses do not include any headcount cost, which is reflected in the compensation and benefits financial statement line item. </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Selling, general and administrative costs decreased by $0.9 million, or 28.8%, for the three months ended June 30, 2026 compared to the three months ended June 30, 2025. The decrease was primarily due to a $0.5 million reduction in insurance expense, a $0.3 million reduction in occupancy expense, a $0.2 million reduction in Board of Directors expenses and a $0.2 million reduction in dues and subscriptions, partially offset by a $0.3 million increase in travel and entertainment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2465"/>
                <wp:effectExtent l="0" t="0" r="0" b="0"/>
                <wp:wrapNone/>
                <wp:docPr id="60" name="Frame6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822"/>
        <w:gridCol w:w="691"/>
        <w:gridCol w:w="683"/>
        <w:gridCol w:w="561"/>
        <w:gridCol w:w="1639"/>
        <w:gridCol w:w="289"/>
        <w:gridCol w:w="109"/>
        <w:gridCol w:w="109"/>
        <w:gridCol w:w="109"/>
        <w:gridCol w:w="657"/>
        <w:gridCol w:w="1452"/>
        <w:gridCol w:w="339"/>
        <w:gridCol w:w="109"/>
        <w:gridCol w:w="109"/>
        <w:gridCol w:w="109"/>
        <w:gridCol w:w="241"/>
        <w:gridCol w:w="534"/>
        <w:gridCol w:w="126"/>
        <w:gridCol w:w="109"/>
        <w:gridCol w:w="109"/>
        <w:gridCol w:w="109"/>
        <w:gridCol w:w="285"/>
        <w:gridCol w:w="286"/>
        <w:gridCol w:w="619"/>
      </w:tblGrid>
      <w:tr>
        <w:trPr/>
        <w:tc>
          <w:tcPr>
            <w:tcW w:w="82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increased by $0.9 million, or 583.1%, for the three months ended June 30, 2026 compared to the three months ended June 30, 2025. The increase was primarily due to amortization of intangible assets we recognized in the second quarter of 2026 from the acquisitions of DTR and Gyzer. </w:t>
      </w:r>
    </w:p>
    <w:p>
      <w:pPr>
        <w:pStyle w:val="TextBody"/>
        <w:bidi w:val="0"/>
        <w:spacing w:lineRule="auto" w:line="240"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Impairment of long-lived assets</w:t>
      </w:r>
    </w:p>
    <w:tbl>
      <w:tblPr>
        <w:tblW w:w="10205" w:type="dxa"/>
        <w:jc w:val="left"/>
        <w:tblInd w:w="0" w:type="dxa"/>
        <w:tblLayout w:type="fixed"/>
        <w:tblCellMar>
          <w:top w:w="28" w:type="dxa"/>
          <w:left w:w="28" w:type="dxa"/>
          <w:bottom w:w="28" w:type="dxa"/>
          <w:right w:w="28" w:type="dxa"/>
        </w:tblCellMar>
      </w:tblPr>
      <w:tblGrid>
        <w:gridCol w:w="829"/>
        <w:gridCol w:w="708"/>
        <w:gridCol w:w="710"/>
        <w:gridCol w:w="569"/>
        <w:gridCol w:w="1664"/>
        <w:gridCol w:w="293"/>
        <w:gridCol w:w="109"/>
        <w:gridCol w:w="109"/>
        <w:gridCol w:w="109"/>
        <w:gridCol w:w="716"/>
        <w:gridCol w:w="1383"/>
        <w:gridCol w:w="376"/>
        <w:gridCol w:w="109"/>
        <w:gridCol w:w="109"/>
        <w:gridCol w:w="109"/>
        <w:gridCol w:w="211"/>
        <w:gridCol w:w="616"/>
        <w:gridCol w:w="109"/>
        <w:gridCol w:w="109"/>
        <w:gridCol w:w="109"/>
        <w:gridCol w:w="109"/>
        <w:gridCol w:w="303"/>
        <w:gridCol w:w="303"/>
        <w:gridCol w:w="434"/>
      </w:tblGrid>
      <w:tr>
        <w:trPr/>
        <w:tc>
          <w:tcPr>
            <w:tcW w:w="82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a $1.2 million impairment charge related to the decision to the decision to cease further development of certain internally developed software.</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Gain (loss)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1064"/>
        <w:gridCol w:w="935"/>
        <w:gridCol w:w="939"/>
        <w:gridCol w:w="473"/>
        <w:gridCol w:w="1382"/>
        <w:gridCol w:w="244"/>
        <w:gridCol w:w="109"/>
        <w:gridCol w:w="109"/>
        <w:gridCol w:w="109"/>
        <w:gridCol w:w="445"/>
        <w:gridCol w:w="1431"/>
        <w:gridCol w:w="230"/>
        <w:gridCol w:w="109"/>
        <w:gridCol w:w="109"/>
        <w:gridCol w:w="109"/>
        <w:gridCol w:w="211"/>
        <w:gridCol w:w="721"/>
        <w:gridCol w:w="109"/>
        <w:gridCol w:w="109"/>
        <w:gridCol w:w="109"/>
        <w:gridCol w:w="109"/>
        <w:gridCol w:w="303"/>
        <w:gridCol w:w="303"/>
        <w:gridCol w:w="434"/>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Gain (loss) from change in fair value of warrant liability</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recorded a gain of $1.4 million during the three months ended June 30, 2026 for the change in fair value on the revaluation of our warrant liabilities associated with our public warrants and the Class 1 and Class 2 warrants. We recorded a loss of $(8.6) million during the three months ended June 30, 2025 for the change in fair value on the revaluation of our warrant liability associated with our public warrants. These are non-cash losses and gains which are driven by fluctuations in the market price of our public warrants and valuation of our Class 1 and Class 2 warrants.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Change in fair value of Transchem Warrants</w:t>
      </w:r>
    </w:p>
    <w:tbl>
      <w:tblPr>
        <w:tblW w:w="10205" w:type="dxa"/>
        <w:jc w:val="left"/>
        <w:tblInd w:w="0" w:type="dxa"/>
        <w:tblLayout w:type="fixed"/>
        <w:tblCellMar>
          <w:top w:w="28" w:type="dxa"/>
          <w:left w:w="28" w:type="dxa"/>
          <w:bottom w:w="28" w:type="dxa"/>
          <w:right w:w="28" w:type="dxa"/>
        </w:tblCellMar>
      </w:tblPr>
      <w:tblGrid>
        <w:gridCol w:w="965"/>
        <w:gridCol w:w="833"/>
        <w:gridCol w:w="836"/>
        <w:gridCol w:w="468"/>
        <w:gridCol w:w="1602"/>
        <w:gridCol w:w="241"/>
        <w:gridCol w:w="109"/>
        <w:gridCol w:w="109"/>
        <w:gridCol w:w="109"/>
        <w:gridCol w:w="636"/>
        <w:gridCol w:w="1227"/>
        <w:gridCol w:w="334"/>
        <w:gridCol w:w="109"/>
        <w:gridCol w:w="109"/>
        <w:gridCol w:w="109"/>
        <w:gridCol w:w="211"/>
        <w:gridCol w:w="721"/>
        <w:gridCol w:w="109"/>
        <w:gridCol w:w="109"/>
        <w:gridCol w:w="109"/>
        <w:gridCol w:w="109"/>
        <w:gridCol w:w="303"/>
        <w:gridCol w:w="303"/>
        <w:gridCol w:w="435"/>
      </w:tblGrid>
      <w:tr>
        <w:trPr/>
        <w:tc>
          <w:tcPr>
            <w:tcW w:w="96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333" w:before="240" w:after="240"/>
              <w:jc w:val="left"/>
              <w:rPr>
                <w:rFonts w:ascii="Times New Roman;serif" w:hAnsi="Times New Roman;serif"/>
                <w:b w:val="false"/>
                <w:color w:val="231F20"/>
                <w:sz w:val="20"/>
              </w:rPr>
            </w:pPr>
            <w:r>
              <w:rPr>
                <w:rFonts w:ascii="Times New Roman;serif" w:hAnsi="Times New Roman;serif"/>
                <w:b w:val="false"/>
                <w:color w:val="231F20"/>
                <w:sz w:val="20"/>
              </w:rPr>
              <w:t>Change in fair value of Transchem warrants</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0" w:after="0"/>
        <w:jc w:val="both"/>
        <w:rPr/>
      </w:pPr>
      <w:r>
        <w:rPr/>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invested in a subscription allotment for Transchem Warrants that we account for at fair value. During the three months ended June 30, 2026, we recognized a gain from the change in the fair value of the Transchem Warrants relative to the day one subscription payment.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i/>
          <w:color w:val="231F20"/>
          <w:sz w:val="20"/>
        </w:rPr>
      </w:pPr>
      <w:r>
        <w:rPr>
          <w:rFonts w:ascii="Times New Roman;serif" w:hAnsi="Times New Roman;serif"/>
          <w:b/>
          <w:i/>
          <w:color w:val="231F20"/>
          <w:sz w:val="20"/>
        </w:rPr>
        <w:t>Other (Expense) Income, net</w:t>
      </w:r>
    </w:p>
    <w:tbl>
      <w:tblPr>
        <w:tblW w:w="10205" w:type="dxa"/>
        <w:jc w:val="left"/>
        <w:tblInd w:w="0" w:type="dxa"/>
        <w:tblLayout w:type="fixed"/>
        <w:tblCellMar>
          <w:top w:w="28" w:type="dxa"/>
          <w:left w:w="28" w:type="dxa"/>
          <w:bottom w:w="28" w:type="dxa"/>
          <w:right w:w="28" w:type="dxa"/>
        </w:tblCellMar>
      </w:tblPr>
      <w:tblGrid>
        <w:gridCol w:w="747"/>
        <w:gridCol w:w="657"/>
        <w:gridCol w:w="660"/>
        <w:gridCol w:w="690"/>
        <w:gridCol w:w="1526"/>
        <w:gridCol w:w="356"/>
        <w:gridCol w:w="109"/>
        <w:gridCol w:w="109"/>
        <w:gridCol w:w="109"/>
        <w:gridCol w:w="547"/>
        <w:gridCol w:w="1780"/>
        <w:gridCol w:w="282"/>
        <w:gridCol w:w="109"/>
        <w:gridCol w:w="109"/>
        <w:gridCol w:w="109"/>
        <w:gridCol w:w="211"/>
        <w:gridCol w:w="616"/>
        <w:gridCol w:w="109"/>
        <w:gridCol w:w="109"/>
        <w:gridCol w:w="109"/>
        <w:gridCol w:w="109"/>
        <w:gridCol w:w="303"/>
        <w:gridCol w:w="303"/>
        <w:gridCol w:w="437"/>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Other (expense) income, net primarily consists of non-operating gains and losses. During the three months ended June 30, 2026, we had other income of $0.3 million primarily related to $0.3 million of realized income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2465"/>
                <wp:effectExtent l="0" t="0" r="0" b="0"/>
                <wp:wrapNone/>
                <wp:docPr id="61" name="Frame6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231F20"/>
          <w:sz w:val="20"/>
        </w:rPr>
      </w:pPr>
      <w:r>
        <w:rPr>
          <w:rFonts w:ascii="Times New Roman;serif" w:hAnsi="Times New Roman;serif"/>
          <w:b w:val="false"/>
          <w:color w:val="231F20"/>
          <w:sz w:val="20"/>
        </w:rPr>
        <w:t>Derivative asset. During the three months ended June 30, 2025, we had other expenses of $2.0 million primarily related to the $3.4 million net loss on the sale of Bakkt Trust in May 2025 and foreign currency translation.</w:t>
      </w:r>
    </w:p>
    <w:p>
      <w:pPr>
        <w:pStyle w:val="TextBody"/>
        <w:bidi w:val="0"/>
        <w:spacing w:lineRule="auto" w:line="240" w:before="480" w:after="283"/>
        <w:jc w:val="both"/>
        <w:rPr>
          <w:rFonts w:ascii="Times New Roman;serif" w:hAnsi="Times New Roman;serif"/>
          <w:b/>
          <w:i/>
          <w:color w:val="231F20"/>
          <w:sz w:val="20"/>
        </w:rPr>
      </w:pPr>
      <w:r>
        <w:rPr>
          <w:rFonts w:ascii="Times New Roman;serif" w:hAnsi="Times New Roman;serif"/>
          <w:b/>
          <w:i/>
          <w:color w:val="231F20"/>
          <w:sz w:val="20"/>
        </w:rPr>
        <w:t>Six Months Ended June 30, 2026 compared to Six Months Ended June 30, 2025</w:t>
      </w:r>
    </w:p>
    <w:p>
      <w:pPr>
        <w:pStyle w:val="TextBody"/>
        <w:bidi w:val="0"/>
        <w:spacing w:lineRule="auto" w:line="333" w:before="24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Financial Summary</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six months ended June 30, 2026 included the following notable items relative to the six months ended June 30, 2025:</w:t>
      </w:r>
    </w:p>
    <w:p>
      <w:pPr>
        <w:pStyle w:val="TextBody"/>
        <w:bidi w:val="0"/>
        <w:spacing w:lineRule="auto" w:line="333" w:before="240" w:after="283"/>
        <w:ind w:left="0" w:right="0" w:hanging="360"/>
        <w:jc w:val="both"/>
        <w:rPr/>
      </w:pPr>
      <w:r>
        <w:rPr>
          <w:color w:val="231F20"/>
        </w:rPr>
        <w:t>•</w:t>
      </w:r>
      <w:r>
        <w:rPr>
          <w:rFonts w:ascii="Times New Roman;serif" w:hAnsi="Times New Roman;serif"/>
          <w:b w:val="false"/>
          <w:color w:val="231F20"/>
          <w:sz w:val="20"/>
        </w:rPr>
        <w:t xml:space="preserve">Revenue decreased </w:t>
      </w:r>
      <w:r>
        <w:rPr>
          <w:rFonts w:ascii="Times New Roman;serif" w:hAnsi="Times New Roman;serif"/>
          <w:b w:val="false"/>
          <w:color w:val="000000"/>
          <w:sz w:val="20"/>
        </w:rPr>
        <w:t>$1,220.1 million</w:t>
      </w:r>
      <w:r>
        <w:rPr>
          <w:color w:val="231F20"/>
        </w:rPr>
        <w:t xml:space="preserve"> </w:t>
      </w:r>
      <w:r>
        <w:rPr>
          <w:rFonts w:ascii="Times New Roman;serif" w:hAnsi="Times New Roman;serif"/>
          <w:b w:val="false"/>
          <w:color w:val="231F20"/>
          <w:sz w:val="20"/>
        </w:rPr>
        <w:t>primarily driven by a significant decrease in Crypto services revenue resulting from a decrease in trading volume primarily as a result of the loss of Webull and Public as clients; and</w:t>
      </w:r>
    </w:p>
    <w:p>
      <w:pPr>
        <w:pStyle w:val="TextBody"/>
        <w:bidi w:val="0"/>
        <w:spacing w:lineRule="auto" w:line="333" w:before="240" w:after="283"/>
        <w:ind w:left="0" w:right="0" w:hanging="360"/>
        <w:jc w:val="both"/>
        <w:rPr/>
      </w:pPr>
      <w:r>
        <w:rPr>
          <w:color w:val="000000"/>
        </w:rPr>
        <w:t>•</w:t>
      </w:r>
      <w:r>
        <w:rPr>
          <w:rFonts w:ascii="Times New Roman;serif" w:hAnsi="Times New Roman;serif"/>
          <w:b w:val="false"/>
          <w:color w:val="231F20"/>
          <w:sz w:val="20"/>
        </w:rPr>
        <w:t>Operating expenses decreased $1,215.1 million primarily driven by decreased crypto trading costs in conjunction with decreased crypto service revenue.</w:t>
      </w:r>
    </w:p>
    <w:p>
      <w:pPr>
        <w:pStyle w:val="TextBody"/>
        <w:bidi w:val="0"/>
        <w:spacing w:lineRule="auto" w:line="333" w:before="12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Crypto Services Revenue</w:t>
      </w:r>
    </w:p>
    <w:tbl>
      <w:tblPr>
        <w:tblW w:w="8201" w:type="dxa"/>
        <w:jc w:val="left"/>
        <w:tblInd w:w="0" w:type="dxa"/>
        <w:tblLayout w:type="fixed"/>
        <w:tblCellMar>
          <w:top w:w="28" w:type="dxa"/>
          <w:left w:w="28" w:type="dxa"/>
          <w:bottom w:w="28" w:type="dxa"/>
          <w:right w:w="28" w:type="dxa"/>
        </w:tblCellMar>
      </w:tblPr>
      <w:tblGrid>
        <w:gridCol w:w="521"/>
        <w:gridCol w:w="458"/>
        <w:gridCol w:w="460"/>
        <w:gridCol w:w="301"/>
        <w:gridCol w:w="1179"/>
        <w:gridCol w:w="155"/>
        <w:gridCol w:w="109"/>
        <w:gridCol w:w="109"/>
        <w:gridCol w:w="109"/>
        <w:gridCol w:w="266"/>
        <w:gridCol w:w="1232"/>
        <w:gridCol w:w="137"/>
        <w:gridCol w:w="109"/>
        <w:gridCol w:w="109"/>
        <w:gridCol w:w="109"/>
        <w:gridCol w:w="211"/>
        <w:gridCol w:w="1051"/>
        <w:gridCol w:w="109"/>
        <w:gridCol w:w="109"/>
        <w:gridCol w:w="109"/>
        <w:gridCol w:w="109"/>
        <w:gridCol w:w="263"/>
        <w:gridCol w:w="26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services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services revenue decreased by </w:t>
      </w:r>
      <w:r>
        <w:rPr>
          <w:rFonts w:ascii="Times New Roman;serif" w:hAnsi="Times New Roman;serif"/>
          <w:b w:val="false"/>
          <w:color w:val="000000"/>
          <w:sz w:val="20"/>
        </w:rPr>
        <w:t>$1,220.1 million, or 74.7%,</w:t>
      </w:r>
      <w:r>
        <w:rPr>
          <w:color w:val="231F20"/>
        </w:rPr>
        <w:t xml:space="preserve"> </w:t>
      </w:r>
      <w:r>
        <w:rPr>
          <w:rFonts w:ascii="Times New Roman;serif" w:hAnsi="Times New Roman;serif"/>
          <w:b w:val="false"/>
          <w:color w:val="231F20"/>
          <w:sz w:val="20"/>
        </w:rPr>
        <w:t>for the six months ended June 30, 2026 compared to the six months ended June 30, 2025. The decrease was primarily driven by decreased crypto trading volume primarily driven the loss of Webull and Public as clients, as well as broader market volume reductions compared to the first half of 2025.</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Crypto Costs</w:t>
      </w:r>
    </w:p>
    <w:tbl>
      <w:tblPr>
        <w:tblW w:w="8201" w:type="dxa"/>
        <w:jc w:val="left"/>
        <w:tblInd w:w="0" w:type="dxa"/>
        <w:tblLayout w:type="fixed"/>
        <w:tblCellMar>
          <w:top w:w="28" w:type="dxa"/>
          <w:left w:w="28" w:type="dxa"/>
          <w:bottom w:w="28" w:type="dxa"/>
          <w:right w:w="28" w:type="dxa"/>
        </w:tblCellMar>
      </w:tblPr>
      <w:tblGrid>
        <w:gridCol w:w="521"/>
        <w:gridCol w:w="458"/>
        <w:gridCol w:w="460"/>
        <w:gridCol w:w="301"/>
        <w:gridCol w:w="1179"/>
        <w:gridCol w:w="155"/>
        <w:gridCol w:w="109"/>
        <w:gridCol w:w="109"/>
        <w:gridCol w:w="109"/>
        <w:gridCol w:w="266"/>
        <w:gridCol w:w="1232"/>
        <w:gridCol w:w="137"/>
        <w:gridCol w:w="109"/>
        <w:gridCol w:w="109"/>
        <w:gridCol w:w="109"/>
        <w:gridCol w:w="211"/>
        <w:gridCol w:w="1051"/>
        <w:gridCol w:w="109"/>
        <w:gridCol w:w="109"/>
        <w:gridCol w:w="109"/>
        <w:gridCol w:w="109"/>
        <w:gridCol w:w="263"/>
        <w:gridCol w:w="26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Crypto costs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Crypto costs decreased by $1,207.8 million, or </w:t>
      </w:r>
      <w:r>
        <w:rPr>
          <w:rFonts w:ascii="Times New Roman;serif" w:hAnsi="Times New Roman;serif"/>
          <w:b w:val="false"/>
          <w:color w:val="000000"/>
          <w:sz w:val="20"/>
        </w:rPr>
        <w:t>74.8%,</w:t>
      </w:r>
      <w:r>
        <w:rPr>
          <w:color w:val="231F20"/>
        </w:rPr>
        <w:t xml:space="preserve"> </w:t>
      </w:r>
      <w:r>
        <w:rPr>
          <w:rFonts w:ascii="Times New Roman;serif" w:hAnsi="Times New Roman;serif"/>
          <w:b w:val="false"/>
          <w:color w:val="231F20"/>
          <w:sz w:val="20"/>
        </w:rPr>
        <w:t>for the six months ended June 30, 2026 compared to the six months ended June 30, 2025. This decrease was primarily driven by decreased crypto trading volume.</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Execution, Clearing and Brokerage Fees</w:t>
      </w:r>
    </w:p>
    <w:tbl>
      <w:tblPr>
        <w:tblW w:w="9671" w:type="dxa"/>
        <w:jc w:val="left"/>
        <w:tblInd w:w="0" w:type="dxa"/>
        <w:tblLayout w:type="fixed"/>
        <w:tblCellMar>
          <w:top w:w="28" w:type="dxa"/>
          <w:left w:w="28" w:type="dxa"/>
          <w:bottom w:w="28" w:type="dxa"/>
          <w:right w:w="28" w:type="dxa"/>
        </w:tblCellMar>
      </w:tblPr>
      <w:tblGrid>
        <w:gridCol w:w="1184"/>
        <w:gridCol w:w="1041"/>
        <w:gridCol w:w="1045"/>
        <w:gridCol w:w="368"/>
        <w:gridCol w:w="1076"/>
        <w:gridCol w:w="190"/>
        <w:gridCol w:w="109"/>
        <w:gridCol w:w="109"/>
        <w:gridCol w:w="109"/>
        <w:gridCol w:w="331"/>
        <w:gridCol w:w="1133"/>
        <w:gridCol w:w="171"/>
        <w:gridCol w:w="109"/>
        <w:gridCol w:w="109"/>
        <w:gridCol w:w="109"/>
        <w:gridCol w:w="211"/>
        <w:gridCol w:w="691"/>
        <w:gridCol w:w="109"/>
        <w:gridCol w:w="109"/>
        <w:gridCol w:w="109"/>
        <w:gridCol w:w="109"/>
        <w:gridCol w:w="263"/>
        <w:gridCol w:w="263"/>
        <w:gridCol w:w="61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Execution, clearing and brokerage fees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Execution, clearing and brokerage fees decreased $8.5 million, or </w:t>
      </w:r>
      <w:r>
        <w:rPr>
          <w:rFonts w:ascii="Times New Roman;serif" w:hAnsi="Times New Roman;serif"/>
          <w:b w:val="false"/>
          <w:color w:val="000000"/>
          <w:sz w:val="20"/>
        </w:rPr>
        <w:t>72.1%,</w:t>
      </w:r>
      <w:r>
        <w:rPr>
          <w:color w:val="231F20"/>
        </w:rPr>
        <w:t xml:space="preserve"> </w:t>
      </w:r>
      <w:r>
        <w:rPr>
          <w:rFonts w:ascii="Times New Roman;serif" w:hAnsi="Times New Roman;serif"/>
          <w:b w:val="false"/>
          <w:color w:val="231F20"/>
          <w:sz w:val="20"/>
        </w:rPr>
        <w:t>during the six months ended June 30, 2026 relative to the same period in the prior year. The decrease reflects decreased Crypto trading volume.</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Compensation and Benefits</w:t>
      </w:r>
    </w:p>
    <w:tbl>
      <w:tblPr>
        <w:tblW w:w="8742" w:type="dxa"/>
        <w:jc w:val="left"/>
        <w:tblInd w:w="0" w:type="dxa"/>
        <w:tblLayout w:type="fixed"/>
        <w:tblCellMar>
          <w:top w:w="28" w:type="dxa"/>
          <w:left w:w="28" w:type="dxa"/>
          <w:bottom w:w="28" w:type="dxa"/>
          <w:right w:w="28" w:type="dxa"/>
        </w:tblCellMar>
      </w:tblPr>
      <w:tblGrid>
        <w:gridCol w:w="847"/>
        <w:gridCol w:w="745"/>
        <w:gridCol w:w="748"/>
        <w:gridCol w:w="331"/>
        <w:gridCol w:w="1133"/>
        <w:gridCol w:w="171"/>
        <w:gridCol w:w="109"/>
        <w:gridCol w:w="109"/>
        <w:gridCol w:w="109"/>
        <w:gridCol w:w="331"/>
        <w:gridCol w:w="1133"/>
        <w:gridCol w:w="171"/>
        <w:gridCol w:w="109"/>
        <w:gridCol w:w="109"/>
        <w:gridCol w:w="109"/>
        <w:gridCol w:w="211"/>
        <w:gridCol w:w="691"/>
        <w:gridCol w:w="109"/>
        <w:gridCol w:w="109"/>
        <w:gridCol w:w="109"/>
        <w:gridCol w:w="109"/>
        <w:gridCol w:w="263"/>
        <w:gridCol w:w="263"/>
        <w:gridCol w:w="61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2465"/>
                <wp:effectExtent l="0" t="0" r="0" b="0"/>
                <wp:wrapNone/>
                <wp:docPr id="62" name="Frame6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Compensation and benefits decreased by $4.4 million, or 24.5%, for the six months ended June 30, 2026 compared to the six months ended June 30, 2025. The decrease was primarily due to decreases of $4.2 million in non-cash compensation, partially offset by an increase of $0.5 million in recruitment expenses compared to the same period last year.</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Professional Services</w:t>
      </w:r>
    </w:p>
    <w:tbl>
      <w:tblPr>
        <w:tblW w:w="8066" w:type="dxa"/>
        <w:jc w:val="left"/>
        <w:tblInd w:w="0" w:type="dxa"/>
        <w:tblLayout w:type="fixed"/>
        <w:tblCellMar>
          <w:top w:w="28" w:type="dxa"/>
          <w:left w:w="28" w:type="dxa"/>
          <w:bottom w:w="28" w:type="dxa"/>
          <w:right w:w="28" w:type="dxa"/>
        </w:tblCellMar>
      </w:tblPr>
      <w:tblGrid>
        <w:gridCol w:w="652"/>
        <w:gridCol w:w="573"/>
        <w:gridCol w:w="575"/>
        <w:gridCol w:w="331"/>
        <w:gridCol w:w="1133"/>
        <w:gridCol w:w="171"/>
        <w:gridCol w:w="109"/>
        <w:gridCol w:w="109"/>
        <w:gridCol w:w="109"/>
        <w:gridCol w:w="368"/>
        <w:gridCol w:w="1076"/>
        <w:gridCol w:w="190"/>
        <w:gridCol w:w="109"/>
        <w:gridCol w:w="109"/>
        <w:gridCol w:w="109"/>
        <w:gridCol w:w="211"/>
        <w:gridCol w:w="616"/>
        <w:gridCol w:w="109"/>
        <w:gridCol w:w="109"/>
        <w:gridCol w:w="109"/>
        <w:gridCol w:w="109"/>
        <w:gridCol w:w="233"/>
        <w:gridCol w:w="233"/>
        <w:gridCol w:w="6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Professional services increased by $5.7 million, or 62.4%, for the six months ended June 30, 2026 compared to the six months ended June 30, 2025</w:t>
      </w:r>
      <w:r>
        <w:rPr>
          <w:rFonts w:ascii="Times New Roman;serif" w:hAnsi="Times New Roman;serif"/>
          <w:b w:val="false"/>
          <w:color w:val="231F20"/>
          <w:sz w:val="20"/>
          <w:shd w:fill="FFFFFF" w:val="clear"/>
        </w:rPr>
        <w:t xml:space="preserve">. </w:t>
      </w:r>
      <w:r>
        <w:rPr>
          <w:rFonts w:ascii="Times New Roman;serif" w:hAnsi="Times New Roman;serif"/>
          <w:b w:val="false"/>
          <w:color w:val="231F20"/>
          <w:sz w:val="20"/>
        </w:rPr>
        <w:t>The increase was primarily due to a $3.7 million increase in consulting and advisory services and a $2.8 increase in legal fees, mainly in relation to strategic and transformational initiatives, partially offset by a $0.7 million reduction in audit and tax fees.</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Technology and Communication</w:t>
      </w:r>
    </w:p>
    <w:tbl>
      <w:tblPr>
        <w:tblW w:w="8961" w:type="dxa"/>
        <w:jc w:val="left"/>
        <w:tblInd w:w="0" w:type="dxa"/>
        <w:tblLayout w:type="fixed"/>
        <w:tblCellMar>
          <w:top w:w="28" w:type="dxa"/>
          <w:left w:w="28" w:type="dxa"/>
          <w:bottom w:w="28" w:type="dxa"/>
          <w:right w:w="28" w:type="dxa"/>
        </w:tblCellMar>
      </w:tblPr>
      <w:tblGrid>
        <w:gridCol w:w="1005"/>
        <w:gridCol w:w="883"/>
        <w:gridCol w:w="887"/>
        <w:gridCol w:w="368"/>
        <w:gridCol w:w="1076"/>
        <w:gridCol w:w="190"/>
        <w:gridCol w:w="109"/>
        <w:gridCol w:w="109"/>
        <w:gridCol w:w="109"/>
        <w:gridCol w:w="368"/>
        <w:gridCol w:w="1076"/>
        <w:gridCol w:w="190"/>
        <w:gridCol w:w="109"/>
        <w:gridCol w:w="109"/>
        <w:gridCol w:w="109"/>
        <w:gridCol w:w="241"/>
        <w:gridCol w:w="534"/>
        <w:gridCol w:w="126"/>
        <w:gridCol w:w="109"/>
        <w:gridCol w:w="109"/>
        <w:gridCol w:w="109"/>
        <w:gridCol w:w="211"/>
        <w:gridCol w:w="211"/>
        <w:gridCol w:w="61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Technology and communication</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Technology and communications expense increased by $0.2 million, or 5.6%, for the six months ended June 30, 2026 compared to the six months ended June 30, 2025. The increase was primarily due to a $0.4 million increase in business licenses and registration fees, partially offset by $0.2 of reductions in internet access and hosting fees.</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Selling, General and Administrative</w:t>
      </w:r>
    </w:p>
    <w:tbl>
      <w:tblPr>
        <w:tblW w:w="9354" w:type="dxa"/>
        <w:jc w:val="left"/>
        <w:tblInd w:w="0" w:type="dxa"/>
        <w:tblLayout w:type="fixed"/>
        <w:tblCellMar>
          <w:top w:w="28" w:type="dxa"/>
          <w:left w:w="28" w:type="dxa"/>
          <w:bottom w:w="28" w:type="dxa"/>
          <w:right w:w="28" w:type="dxa"/>
        </w:tblCellMar>
      </w:tblPr>
      <w:tblGrid>
        <w:gridCol w:w="1070"/>
        <w:gridCol w:w="940"/>
        <w:gridCol w:w="944"/>
        <w:gridCol w:w="368"/>
        <w:gridCol w:w="1076"/>
        <w:gridCol w:w="190"/>
        <w:gridCol w:w="109"/>
        <w:gridCol w:w="109"/>
        <w:gridCol w:w="109"/>
        <w:gridCol w:w="368"/>
        <w:gridCol w:w="1076"/>
        <w:gridCol w:w="190"/>
        <w:gridCol w:w="109"/>
        <w:gridCol w:w="109"/>
        <w:gridCol w:w="109"/>
        <w:gridCol w:w="211"/>
        <w:gridCol w:w="691"/>
        <w:gridCol w:w="109"/>
        <w:gridCol w:w="109"/>
        <w:gridCol w:w="109"/>
        <w:gridCol w:w="109"/>
        <w:gridCol w:w="263"/>
        <w:gridCol w:w="263"/>
        <w:gridCol w:w="61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Selling, general and administrative costs decreased by $2.1 million, or 30.7%, for the six months ended June 30, 2026 compared to the six months ended June 30, 2025. The decrease was primarily due to a $1.0 million decrease in occupancy cost and $1.0 million decrease in insurance cost.</w:t>
      </w:r>
    </w:p>
    <w:p>
      <w:pPr>
        <w:pStyle w:val="TextBody"/>
        <w:bidi w:val="0"/>
        <w:spacing w:lineRule="auto" w:line="333" w:before="240" w:after="240"/>
        <w:ind w:left="0" w:right="0" w:firstLine="720"/>
        <w:jc w:val="left"/>
        <w:rPr>
          <w:rFonts w:ascii="Times New Roman;serif" w:hAnsi="Times New Roman;serif"/>
          <w:b/>
          <w:i/>
          <w:color w:val="231F20"/>
          <w:sz w:val="20"/>
        </w:rPr>
      </w:pPr>
      <w:r>
        <w:rPr>
          <w:rFonts w:ascii="Times New Roman;serif" w:hAnsi="Times New Roman;serif"/>
          <w:b/>
          <w:i/>
          <w:color w:val="231F20"/>
          <w:sz w:val="20"/>
        </w:rPr>
        <w:t>Depreciation and Amortization</w:t>
      </w:r>
    </w:p>
    <w:tbl>
      <w:tblPr>
        <w:tblW w:w="8929" w:type="dxa"/>
        <w:jc w:val="left"/>
        <w:tblInd w:w="0" w:type="dxa"/>
        <w:tblLayout w:type="fixed"/>
        <w:tblCellMar>
          <w:top w:w="28" w:type="dxa"/>
          <w:left w:w="28" w:type="dxa"/>
          <w:bottom w:w="28" w:type="dxa"/>
          <w:right w:w="28" w:type="dxa"/>
        </w:tblCellMar>
      </w:tblPr>
      <w:tblGrid>
        <w:gridCol w:w="939"/>
        <w:gridCol w:w="826"/>
        <w:gridCol w:w="829"/>
        <w:gridCol w:w="368"/>
        <w:gridCol w:w="1076"/>
        <w:gridCol w:w="190"/>
        <w:gridCol w:w="109"/>
        <w:gridCol w:w="109"/>
        <w:gridCol w:w="109"/>
        <w:gridCol w:w="439"/>
        <w:gridCol w:w="969"/>
        <w:gridCol w:w="226"/>
        <w:gridCol w:w="109"/>
        <w:gridCol w:w="109"/>
        <w:gridCol w:w="109"/>
        <w:gridCol w:w="241"/>
        <w:gridCol w:w="534"/>
        <w:gridCol w:w="126"/>
        <w:gridCol w:w="109"/>
        <w:gridCol w:w="109"/>
        <w:gridCol w:w="109"/>
        <w:gridCol w:w="285"/>
        <w:gridCol w:w="28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Depreciation and amortization increased by $0.7 million, or 198.9%, for the six months ended June 30, 2026 compared to the six months ended June 30, 2025. The increase was primarily due to amortization of intangible assets we recognized in the second quarter of 2026 from the acquisitions of DTR and Gyzer. </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Gain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1413"/>
        <w:gridCol w:w="1242"/>
        <w:gridCol w:w="1247"/>
        <w:gridCol w:w="356"/>
        <w:gridCol w:w="1041"/>
        <w:gridCol w:w="183"/>
        <w:gridCol w:w="109"/>
        <w:gridCol w:w="109"/>
        <w:gridCol w:w="109"/>
        <w:gridCol w:w="322"/>
        <w:gridCol w:w="1102"/>
        <w:gridCol w:w="166"/>
        <w:gridCol w:w="109"/>
        <w:gridCol w:w="109"/>
        <w:gridCol w:w="109"/>
        <w:gridCol w:w="211"/>
        <w:gridCol w:w="791"/>
        <w:gridCol w:w="109"/>
        <w:gridCol w:w="109"/>
        <w:gridCol w:w="109"/>
        <w:gridCol w:w="109"/>
        <w:gridCol w:w="303"/>
        <w:gridCol w:w="303"/>
        <w:gridCol w:w="435"/>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Gain from change in fair value of warrant liability</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2465"/>
                <wp:effectExtent l="0" t="0" r="0" b="0"/>
                <wp:wrapNone/>
                <wp:docPr id="63" name="Frame6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We recorded a gain of $6.1 million during the six months ended June 30, 2026 for the change in fair value on the revaluation of our warrant liabilities associated with our public warrants and Class 1 and Class 2 warrants. We recorded a gain of </w:t>
      </w:r>
      <w:r>
        <w:rPr>
          <w:rFonts w:ascii="Times New Roman;serif" w:hAnsi="Times New Roman;serif"/>
          <w:b w:val="false"/>
          <w:color w:val="000000"/>
          <w:sz w:val="20"/>
        </w:rPr>
        <w:t>$23.6 million</w:t>
      </w:r>
      <w:r>
        <w:rPr>
          <w:color w:val="231F20"/>
        </w:rPr>
        <w:t xml:space="preserve"> </w:t>
      </w:r>
      <w:r>
        <w:rPr>
          <w:rFonts w:ascii="Times New Roman;serif" w:hAnsi="Times New Roman;serif"/>
          <w:b w:val="false"/>
          <w:color w:val="231F20"/>
          <w:sz w:val="20"/>
        </w:rPr>
        <w:t>during the six months ended June 30, 2025 for the change in fair value on the revaluation of our warrant liabilities. These are non-cash gains and are driven by fluctuations in the market price of our public warrants and valuation of our Class 1 and Class 2 warrants.</w:t>
      </w:r>
    </w:p>
    <w:p>
      <w:pPr>
        <w:pStyle w:val="TextBody"/>
        <w:bidi w:val="0"/>
        <w:spacing w:lineRule="auto" w:line="333" w:before="240" w:after="240"/>
        <w:ind w:left="0" w:right="0" w:firstLine="720"/>
        <w:jc w:val="both"/>
        <w:rPr>
          <w:rFonts w:ascii="Times New Roman;serif" w:hAnsi="Times New Roman;serif"/>
          <w:b/>
          <w:i/>
          <w:color w:val="231F20"/>
          <w:sz w:val="20"/>
        </w:rPr>
      </w:pPr>
      <w:r>
        <w:rPr>
          <w:rFonts w:ascii="Times New Roman;serif" w:hAnsi="Times New Roman;serif"/>
          <w:b/>
          <w:i/>
          <w:color w:val="231F20"/>
          <w:sz w:val="20"/>
        </w:rPr>
        <w:t>Change in fair value of Transchem Warrants</w:t>
      </w:r>
    </w:p>
    <w:tbl>
      <w:tblPr>
        <w:tblW w:w="10001" w:type="dxa"/>
        <w:jc w:val="left"/>
        <w:tblInd w:w="0" w:type="dxa"/>
        <w:tblLayout w:type="fixed"/>
        <w:tblCellMar>
          <w:top w:w="28" w:type="dxa"/>
          <w:left w:w="28" w:type="dxa"/>
          <w:bottom w:w="28" w:type="dxa"/>
          <w:right w:w="28" w:type="dxa"/>
        </w:tblCellMar>
      </w:tblPr>
      <w:tblGrid>
        <w:gridCol w:w="1330"/>
        <w:gridCol w:w="1169"/>
        <w:gridCol w:w="1175"/>
        <w:gridCol w:w="331"/>
        <w:gridCol w:w="1133"/>
        <w:gridCol w:w="171"/>
        <w:gridCol w:w="109"/>
        <w:gridCol w:w="109"/>
        <w:gridCol w:w="109"/>
        <w:gridCol w:w="473"/>
        <w:gridCol w:w="913"/>
        <w:gridCol w:w="248"/>
        <w:gridCol w:w="109"/>
        <w:gridCol w:w="109"/>
        <w:gridCol w:w="109"/>
        <w:gridCol w:w="211"/>
        <w:gridCol w:w="721"/>
        <w:gridCol w:w="109"/>
        <w:gridCol w:w="109"/>
        <w:gridCol w:w="109"/>
        <w:gridCol w:w="109"/>
        <w:gridCol w:w="303"/>
        <w:gridCol w:w="303"/>
        <w:gridCol w:w="430"/>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333" w:before="240" w:after="240"/>
              <w:jc w:val="left"/>
              <w:rPr>
                <w:rFonts w:ascii="Times New Roman;serif" w:hAnsi="Times New Roman;serif"/>
                <w:b w:val="false"/>
                <w:color w:val="231F20"/>
                <w:sz w:val="20"/>
              </w:rPr>
            </w:pPr>
            <w:r>
              <w:rPr>
                <w:rFonts w:ascii="Times New Roman;serif" w:hAnsi="Times New Roman;serif"/>
                <w:b w:val="false"/>
                <w:color w:val="231F20"/>
                <w:sz w:val="20"/>
              </w:rPr>
              <w:t>Change in fair value of Transchem Warrants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invested in a subscription allotment for Transchem Warrants that we account for at fair value. During the six months ended June 30, 2026, we recognized a gain from the change in the fair value of the Transchem Warrants relative to the day one subscription payment.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i/>
          <w:color w:val="231F20"/>
          <w:sz w:val="20"/>
        </w:rPr>
      </w:pPr>
      <w:r>
        <w:rPr>
          <w:rFonts w:ascii="Times New Roman;serif" w:hAnsi="Times New Roman;serif"/>
          <w:b/>
          <w:i/>
          <w:color w:val="231F20"/>
          <w:sz w:val="20"/>
        </w:rPr>
        <w:t>Other Income, net</w:t>
      </w:r>
    </w:p>
    <w:tbl>
      <w:tblPr>
        <w:tblW w:w="7745" w:type="dxa"/>
        <w:jc w:val="left"/>
        <w:tblInd w:w="0" w:type="dxa"/>
        <w:tblLayout w:type="fixed"/>
        <w:tblCellMar>
          <w:top w:w="28" w:type="dxa"/>
          <w:left w:w="28" w:type="dxa"/>
          <w:bottom w:w="28" w:type="dxa"/>
          <w:right w:w="28" w:type="dxa"/>
        </w:tblCellMar>
      </w:tblPr>
      <w:tblGrid>
        <w:gridCol w:w="565"/>
        <w:gridCol w:w="496"/>
        <w:gridCol w:w="498"/>
        <w:gridCol w:w="439"/>
        <w:gridCol w:w="969"/>
        <w:gridCol w:w="226"/>
        <w:gridCol w:w="109"/>
        <w:gridCol w:w="109"/>
        <w:gridCol w:w="109"/>
        <w:gridCol w:w="456"/>
        <w:gridCol w:w="943"/>
        <w:gridCol w:w="235"/>
        <w:gridCol w:w="109"/>
        <w:gridCol w:w="109"/>
        <w:gridCol w:w="109"/>
        <w:gridCol w:w="241"/>
        <w:gridCol w:w="534"/>
        <w:gridCol w:w="126"/>
        <w:gridCol w:w="109"/>
        <w:gridCol w:w="109"/>
        <w:gridCol w:w="109"/>
        <w:gridCol w:w="303"/>
        <w:gridCol w:w="303"/>
        <w:gridCol w:w="430"/>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Other income, net primarily consists of non-operating gains and losses. During the six months ended June 30, 2026, we recognized income, net, of </w:t>
      </w:r>
      <w:r>
        <w:rPr>
          <w:rFonts w:ascii="Times New Roman;serif" w:hAnsi="Times New Roman;serif"/>
          <w:b w:val="false"/>
          <w:color w:val="000000"/>
          <w:sz w:val="20"/>
        </w:rPr>
        <w:t xml:space="preserve">$1.3 million in gains and changes in value connected to settlements of derivative assets, partially offset by $0.5 million of sublease commission expense associated with a lease extinguishment. </w:t>
      </w:r>
      <w:r>
        <w:rPr>
          <w:rFonts w:ascii="Times New Roman;serif" w:hAnsi="Times New Roman;serif"/>
          <w:b w:val="false"/>
          <w:color w:val="231F20"/>
          <w:sz w:val="20"/>
        </w:rPr>
        <w:t>During the six months ended June 30, 2025, other income was flat, as the net gain of approximately $1.8 million on the assignment of our New York office lease and $0.5 million of sublease income on our Alpharetta headquarters was offset by the $2.3 million loss on sale of Bakkt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231F20"/>
          <w:sz w:val="20"/>
        </w:rPr>
      </w:pPr>
      <w:r>
        <w:rPr>
          <w:rFonts w:ascii="Times New Roman;serif" w:hAnsi="Times New Roman;serif"/>
          <w:b/>
          <w:color w:val="231F20"/>
          <w:sz w:val="20"/>
        </w:rPr>
        <w:t>Liquidity and Capital Resources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As of June 30, 2026, we had $50.0 million and $0.7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raised gross proceeds of approximately $48.1 million in connection with issuance of shares of Common Stock and the 2026 Pre-Funded Warrants in a registered direct offering (the "RDO"). </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we established an at-the-market sales program (the "ATM Program") by entering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the Sales Agreement, the Company may sell, from time to time, up to an aggregate sales price of $300,000,000 of its Common Stock, through the Sales Agents. Sales of Common Stock made pursuant to the Sales Agreement may be made by any method deemed to be an “at the market offering” as defined in Rule 415(a)(4) of the Securities Act of 1933, as amended, including sales made in ordinary brokers’ transactions on the New York Stock Exchange or otherwise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2465"/>
                <wp:effectExtent l="0" t="0" r="0" b="0"/>
                <wp:wrapNone/>
                <wp:docPr id="64" name="Frame6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40"/>
        <w:jc w:val="both"/>
        <w:rPr>
          <w:rFonts w:ascii="Times New Roman;serif" w:hAnsi="Times New Roman;serif"/>
          <w:b w:val="false"/>
          <w:color w:val="000000"/>
          <w:sz w:val="20"/>
        </w:rPr>
      </w:pPr>
      <w:r>
        <w:rPr>
          <w:rFonts w:ascii="Times New Roman;serif" w:hAnsi="Times New Roman;serif"/>
          <w:b w:val="false"/>
          <w:color w:val="000000"/>
          <w:sz w:val="20"/>
        </w:rPr>
        <w:t>market prices prevailing at the time of the sale, at prices related to prevailing market prices or at negotiated prices and block trades. Gross proceeds from sales under the ATM Program in the first quarter of 2026 were $21.5 million.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use our unrestricted cash for working capital and general corporate purposes, including, but not limited to funding our regulatory capital requirements, compensating balance arrangements and other similar commitments, each of which is subject to change, and as available (i) activate new digital asset clients, (ii) maintain our product development efforts, and (iii) optimize our technology infrastructure and operational support. We continue to evaluate our headcount and expense base.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 technologies or intellectual property rights. However, except with respect to our acquisition of DTR,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w:t>
      </w:r>
    </w:p>
    <w:p>
      <w:pPr>
        <w:pStyle w:val="TextBody"/>
        <w:bidi w:val="0"/>
        <w:spacing w:lineRule="auto" w:line="333" w:before="240" w:after="240"/>
        <w:ind w:left="0" w:right="0" w:firstLine="720"/>
        <w:jc w:val="both"/>
        <w:rPr/>
      </w:pPr>
      <w:r>
        <w:rPr>
          <w:rFonts w:ascii="Times New Roman;serif" w:hAnsi="Times New Roman;serif"/>
          <w:b w:val="false"/>
          <w:color w:val="231F20"/>
          <w:sz w:val="20"/>
        </w:rPr>
        <w:t>The following table summarizes our cash flows for the periods presented (</w:t>
      </w:r>
      <w:r>
        <w:rPr>
          <w:rFonts w:ascii="Times New Roman;serif" w:hAnsi="Times New Roman;serif"/>
          <w:b w:val="false"/>
          <w:color w:val="000000"/>
          <w:sz w:val="20"/>
        </w:rPr>
        <w:t>in thousands)</w:t>
      </w:r>
      <w:r>
        <w:rPr>
          <w:rFonts w:ascii="Times New Roman;serif" w:hAnsi="Times New Roman;serif"/>
          <w:b w:val="false"/>
          <w:color w:val="231F20"/>
          <w:sz w:val="20"/>
        </w:rPr>
        <w:t>:</w:t>
      </w:r>
    </w:p>
    <w:tbl>
      <w:tblPr>
        <w:tblW w:w="7840" w:type="dxa"/>
        <w:jc w:val="left"/>
        <w:tblInd w:w="0" w:type="dxa"/>
        <w:tblLayout w:type="fixed"/>
        <w:tblCellMar>
          <w:top w:w="28" w:type="dxa"/>
          <w:left w:w="28" w:type="dxa"/>
          <w:bottom w:w="28" w:type="dxa"/>
          <w:right w:w="28" w:type="dxa"/>
        </w:tblCellMar>
      </w:tblPr>
      <w:tblGrid>
        <w:gridCol w:w="1515"/>
        <w:gridCol w:w="1333"/>
        <w:gridCol w:w="1352"/>
        <w:gridCol w:w="309"/>
        <w:gridCol w:w="1166"/>
        <w:gridCol w:w="159"/>
        <w:gridCol w:w="109"/>
        <w:gridCol w:w="109"/>
        <w:gridCol w:w="109"/>
        <w:gridCol w:w="305"/>
        <w:gridCol w:w="1152"/>
        <w:gridCol w:w="222"/>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33" w:after="30"/>
              <w:ind w:left="0" w:right="0" w:firstLine="289"/>
              <w:jc w:val="both"/>
              <w:rPr/>
            </w:pPr>
            <w:r>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(95,929)</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used in operating activities of $26.9 million for the six months ended June 30, 2026 was primarily driven by the net income of </w:t>
      </w:r>
      <w:r>
        <w:rPr>
          <w:rFonts w:ascii="Times New Roman;serif" w:hAnsi="Times New Roman;serif"/>
          <w:b w:val="false"/>
          <w:color w:val="000000"/>
          <w:sz w:val="20"/>
        </w:rPr>
        <w:t>$69.2 million, adjusted for the $97.8 million non-cash change the fair value of the Transchem Warrant and derivative asset, a $6.1 million non-cash gain resulting from the change in warrant liabilities and a $5.9 million increase in customer funds payable, partially offset by cash outflows resulting from the change in our operating assets and liabilities of $7.3 million, a non cash long-lived asset impairment loss of $1.2 million, depreciation and amortization of $1.1 million, and $4.7 million of non-cash compensation expense.</w:t>
      </w:r>
    </w:p>
    <w:p>
      <w:pPr>
        <w:pStyle w:val="TextBody"/>
        <w:bidi w:val="0"/>
        <w:spacing w:lineRule="auto" w:line="333" w:before="240" w:after="283"/>
        <w:ind w:left="0" w:right="0" w:firstLine="720"/>
        <w:jc w:val="both"/>
        <w:rPr/>
      </w:pPr>
      <w:r>
        <w:rPr>
          <w:rFonts w:ascii="Times New Roman;serif" w:hAnsi="Times New Roman;serif"/>
          <w:b w:val="false"/>
          <w:color w:val="231F20"/>
          <w:sz w:val="20"/>
        </w:rPr>
        <w:t>Net cash flows used in operating activities of $95.9 million for the six months ended June 30, 2025 was primarily related to cash outflows resulting from a $67.2 million decrease in customer funds payable, a $2.4 million reduction in our net operating assets and liabilities (excluding customer funds payable),</w:t>
      </w:r>
      <w:r>
        <w:rPr>
          <w:color w:val="000000"/>
        </w:rPr>
        <w:t xml:space="preserve"> </w:t>
      </w:r>
      <w:r>
        <w:rPr>
          <w:rFonts w:ascii="Times New Roman;serif" w:hAnsi="Times New Roman;serif"/>
          <w:b w:val="false"/>
          <w:color w:val="000000"/>
          <w:sz w:val="20"/>
        </w:rPr>
        <w:t xml:space="preserve">and $26.4 million of net operating cash expenses. </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Net cash flows used in investing activities of $12.4 million for the six months ended June 30, 2026 primarily consisted of $2.0 million of capitalized costs of internally developed software for our technology platforms, $3.2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72465"/>
                <wp:effectExtent l="0" t="0" r="0" b="0"/>
                <wp:wrapNone/>
                <wp:docPr id="65" name="Frame6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231F20"/>
          <w:sz w:val="20"/>
        </w:rPr>
      </w:pPr>
      <w:r>
        <w:rPr>
          <w:rFonts w:ascii="Times New Roman;serif" w:hAnsi="Times New Roman;serif"/>
          <w:b w:val="false"/>
          <w:color w:val="231F20"/>
          <w:sz w:val="20"/>
        </w:rPr>
        <w:t>cash consideration for the acquisition of DTR, $9.4 million of cash consideration for the Transchem Warrant subscription, partially offset by $2.7 million of proceeds from the Derivative asset.</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Net cash flows provided by investing activities of $4.4 million for the six months ended June 30, 2025 primarily consisted of proceeds from the sale of Bakkt Trust.</w:t>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provided by financing activities of </w:t>
      </w:r>
      <w:r>
        <w:rPr>
          <w:rFonts w:ascii="Times New Roman;serif" w:hAnsi="Times New Roman;serif"/>
          <w:b w:val="false"/>
          <w:color w:val="000000"/>
          <w:sz w:val="20"/>
        </w:rPr>
        <w:t>$67.2 million</w:t>
      </w:r>
      <w:r>
        <w:rPr>
          <w:color w:val="231F20"/>
        </w:rPr>
        <w:t xml:space="preserve"> </w:t>
      </w:r>
      <w:r>
        <w:rPr>
          <w:rFonts w:ascii="Times New Roman;serif" w:hAnsi="Times New Roman;serif"/>
          <w:b w:val="false"/>
          <w:color w:val="231F20"/>
          <w:sz w:val="20"/>
        </w:rPr>
        <w:t>during the six months ended June 30, 2026 primarily consisted of</w:t>
      </w:r>
      <w:r>
        <w:rPr>
          <w:color w:val="151515"/>
        </w:rPr>
        <w:t xml:space="preserve"> </w:t>
      </w:r>
      <w:r>
        <w:rPr>
          <w:rFonts w:ascii="Times New Roman;serif" w:hAnsi="Times New Roman;serif"/>
          <w:b w:val="false"/>
          <w:color w:val="151515"/>
          <w:sz w:val="20"/>
        </w:rPr>
        <w:t>$67.1 million of net proceeds from the issuance of Common Stock and 2026 Pre-Funded Warrants in the RDO and under our ATM Program and $0.5 million of proceeds for stock option exercises</w:t>
      </w:r>
      <w:r>
        <w:rPr>
          <w:rFonts w:ascii="Times New Roman;serif" w:hAnsi="Times New Roman;serif"/>
          <w:b w:val="false"/>
          <w:color w:val="231F20"/>
          <w:sz w:val="20"/>
        </w:rPr>
        <w:t xml:space="preserve">, slightly offset by </w:t>
      </w:r>
      <w:r>
        <w:rPr>
          <w:rFonts w:ascii="Times New Roman;serif" w:hAnsi="Times New Roman;serif"/>
          <w:b w:val="false"/>
          <w:color w:val="000000"/>
          <w:sz w:val="20"/>
        </w:rPr>
        <w:t xml:space="preserve">$0.3 million in </w:t>
      </w:r>
      <w:r>
        <w:rPr>
          <w:rFonts w:ascii="Times New Roman;serif" w:hAnsi="Times New Roman;serif"/>
          <w:b w:val="false"/>
          <w:color w:val="231F20"/>
          <w:sz w:val="20"/>
        </w:rPr>
        <w:t>tax withholding payments</w:t>
      </w:r>
      <w:r>
        <w:rPr>
          <w:color w:val="000000"/>
        </w:rPr>
        <w:t xml:space="preserve"> </w:t>
      </w:r>
      <w:r>
        <w:rPr>
          <w:rFonts w:ascii="Times New Roman;serif" w:hAnsi="Times New Roman;serif"/>
          <w:b w:val="false"/>
          <w:color w:val="000000"/>
          <w:sz w:val="20"/>
        </w:rPr>
        <w:t>for vested equity awards.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Net cash flows provided by financing activities of </w:t>
      </w:r>
      <w:r>
        <w:rPr>
          <w:rFonts w:ascii="Times New Roman;serif" w:hAnsi="Times New Roman;serif"/>
          <w:b w:val="false"/>
          <w:color w:val="000000"/>
          <w:sz w:val="20"/>
        </w:rPr>
        <w:t>$21.3 million</w:t>
      </w:r>
      <w:r>
        <w:rPr>
          <w:color w:val="231F20"/>
        </w:rPr>
        <w:t xml:space="preserve"> </w:t>
      </w:r>
      <w:r>
        <w:rPr>
          <w:rFonts w:ascii="Times New Roman;serif" w:hAnsi="Times New Roman;serif"/>
          <w:b w:val="false"/>
          <w:color w:val="231F20"/>
          <w:sz w:val="20"/>
        </w:rPr>
        <w:t xml:space="preserve">during the six months ended June 30, 2025 primarily consisted of $23.8 million in proceeds from the issuance of convertible debentures, slightly offset by tax withholding payments of </w:t>
      </w:r>
      <w:r>
        <w:rPr>
          <w:rFonts w:ascii="Times New Roman;serif" w:hAnsi="Times New Roman;serif"/>
          <w:b w:val="false"/>
          <w:color w:val="000000"/>
          <w:sz w:val="20"/>
        </w:rPr>
        <w:t>$1.7 million for vested equity awards and $0.8 million in financing fees related to the convertible debenture issuance</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Contractual Obligations and Commitments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The following is a summary of our significant contractual obligations and commitments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1172"/>
        <w:gridCol w:w="1031"/>
        <w:gridCol w:w="1043"/>
        <w:gridCol w:w="317"/>
        <w:gridCol w:w="929"/>
        <w:gridCol w:w="164"/>
        <w:gridCol w:w="109"/>
        <w:gridCol w:w="109"/>
        <w:gridCol w:w="109"/>
        <w:gridCol w:w="250"/>
        <w:gridCol w:w="483"/>
        <w:gridCol w:w="129"/>
        <w:gridCol w:w="109"/>
        <w:gridCol w:w="109"/>
        <w:gridCol w:w="109"/>
        <w:gridCol w:w="250"/>
        <w:gridCol w:w="483"/>
        <w:gridCol w:w="129"/>
        <w:gridCol w:w="109"/>
        <w:gridCol w:w="109"/>
        <w:gridCol w:w="109"/>
        <w:gridCol w:w="443"/>
        <w:gridCol w:w="855"/>
        <w:gridCol w:w="228"/>
        <w:gridCol w:w="109"/>
        <w:gridCol w:w="109"/>
        <w:gridCol w:w="109"/>
        <w:gridCol w:w="211"/>
        <w:gridCol w:w="616"/>
        <w:gridCol w:w="164"/>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53" w:after="30"/>
              <w:ind w:left="0" w:right="0" w:firstLine="720"/>
              <w:jc w:val="left"/>
              <w:rPr/>
            </w:pPr>
            <w:r>
              <w:rPr/>
            </w:r>
          </w:p>
        </w:tc>
        <w:tc>
          <w:tcPr>
            <w:tcW w:w="695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3246" w:type="dxa"/>
            <w:gridSpan w:val="3"/>
            <w:tcBorders/>
            <w:tcMar>
              <w:top w:w="0" w:type="dxa"/>
              <w:left w:w="0" w:type="dxa"/>
              <w:bottom w:w="0" w:type="dxa"/>
              <w:right w:w="0" w:type="dxa"/>
            </w:tcMar>
            <w:vAlign w:val="center"/>
          </w:tcPr>
          <w:p>
            <w:pPr>
              <w:pStyle w:val="TableContents"/>
              <w:bidi w:val="0"/>
              <w:spacing w:before="33" w:after="30"/>
              <w:ind w:left="0" w:right="0" w:firstLine="720"/>
              <w:jc w:val="center"/>
              <w:rPr/>
            </w:pPr>
            <w:r>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3"/>
              </w:rPr>
              <w:t>(1)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Future minimum operating lease payments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minimum commitment payments under a four-year cloud computing arrangement. Several amendments have resulted in the payment period for the cloud computing arrangement being extended to early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Non-GAAP Financial Measures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unaudited interim consolidated financial statements included in this Report are prepared in accordance with U.S. generally accepted accounting principles (“GAAP”). </w:t>
      </w:r>
      <w:r>
        <w:rPr>
          <w:rFonts w:ascii="Times New Roman;serif" w:hAnsi="Times New Roman;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72465"/>
                <wp:effectExtent l="0" t="0" r="0" b="0"/>
                <wp:wrapNone/>
                <wp:docPr id="66" name="Frame6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i/>
          <w:color w:val="231F20"/>
          <w:sz w:val="20"/>
        </w:rPr>
      </w:pPr>
      <w:r>
        <w:rPr>
          <w:rFonts w:ascii="Times New Roman;serif" w:hAnsi="Times New Roman;serif"/>
          <w:b/>
          <w:i/>
          <w:color w:val="231F20"/>
          <w:sz w:val="20"/>
        </w:rPr>
        <w:t>Adjusted EBITDA</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present Adjusted EBITDA as a non-GAAP financial measure.</w:t>
      </w:r>
    </w:p>
    <w:p>
      <w:pPr>
        <w:pStyle w:val="TextBody"/>
        <w:bidi w:val="0"/>
        <w:spacing w:lineRule="auto" w:line="333" w:before="240" w:after="283"/>
        <w:ind w:left="0" w:right="0" w:firstLine="720"/>
        <w:jc w:val="both"/>
        <w:rPr/>
      </w:pPr>
      <w:r>
        <w:rPr>
          <w:rFonts w:ascii="Times New Roman;serif" w:hAnsi="Times New Roman;serif"/>
          <w:b w:val="false"/>
          <w:color w:val="231F20"/>
          <w:sz w:val="20"/>
        </w:rPr>
        <w:t>We believe that Adjusted EBITDA provides relevant and useful information, which is used by management in assessing the performance of our business. EBITDA is defined as earnings before interest, income taxes, depreciation, and amortization. Adjusted EBITDA is defined as EBITDA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r>
        <w:rPr>
          <w:color w:val="000000"/>
        </w:rPr>
        <w:t xml:space="preserve"> </w:t>
      </w:r>
      <w:r>
        <w:rPr>
          <w:rFonts w:ascii="Times New Roman;serif" w:hAnsi="Times New Roman;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(loss) and our other financial results presented in accordance with GAAP.</w:t>
      </w:r>
    </w:p>
    <w:p>
      <w:pPr>
        <w:pStyle w:val="TextBody"/>
        <w:bidi w:val="0"/>
        <w:spacing w:lineRule="auto" w:line="333" w:before="240" w:after="240"/>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income (loss) from continuing operations, the most directly comparable GAAP operating performance measure, to our Adjusted EBITDA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310"/>
        <w:gridCol w:w="884"/>
        <w:gridCol w:w="895"/>
        <w:gridCol w:w="289"/>
        <w:gridCol w:w="1067"/>
        <w:gridCol w:w="149"/>
        <w:gridCol w:w="109"/>
        <w:gridCol w:w="109"/>
        <w:gridCol w:w="109"/>
        <w:gridCol w:w="289"/>
        <w:gridCol w:w="1067"/>
        <w:gridCol w:w="149"/>
        <w:gridCol w:w="109"/>
        <w:gridCol w:w="109"/>
        <w:gridCol w:w="109"/>
        <w:gridCol w:w="264"/>
        <w:gridCol w:w="972"/>
        <w:gridCol w:w="136"/>
        <w:gridCol w:w="109"/>
        <w:gridCol w:w="109"/>
        <w:gridCol w:w="109"/>
        <w:gridCol w:w="264"/>
        <w:gridCol w:w="972"/>
        <w:gridCol w:w="136"/>
        <w:gridCol w:w="109"/>
        <w:gridCol w:w="109"/>
        <w:gridCol w:w="163"/>
      </w:tblGrid>
      <w:tr>
        <w:trPr/>
        <w:tc>
          <w:tcPr>
            <w:tcW w:w="13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0"/>
              <w:ind w:left="0" w:right="0" w:firstLine="289"/>
              <w:jc w:val="both"/>
              <w:rPr/>
            </w:pPr>
            <w:r>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and unit-based compensation expense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Transchem Warrant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advisory fees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assignment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Bakkt Trust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loss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Adjusted EBITDA loss for the three months ended June 30, 2026 increased by $2.0 million or 20.1% as compared to the three months ended June 30, 2025 primarily due to a decrease of $2.0 million in crypto services revenue net of crypto cost and execution and brokerage fees, a $0.7 million increase in salaries and contract labor, and a $0.3 million loss from an equity method investment that did not occur in the prior period, partially offset by a $0.9 million reduction in selling,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72465"/>
                <wp:effectExtent l="0" t="0" r="0" b="0"/>
                <wp:wrapNone/>
                <wp:docPr id="67" name="Frame6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Adjusted EBITDA loss for the six months ended June 30, 2026 increased by $4.0 million or 18.4% as compared to the six months ended June 30, 2025 mainly due to a decrease of $3.8 million in crypto service revenue net of crypto cost and execution, clearing and brokerage fees, a $2.1 million increase in professional services expenses, and a $0.5 million loss from an equity method investment that did not occur in the prior period, partially offset by a $2.1 million reduction in selling, general and administrative expenses and $1.3 million of net realized income from the Derivative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Our consolidated financial statements are prepared in accordance with U.S.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the Board. For further information about our critical accounting policies and estimates, refer to “</w:t>
      </w:r>
      <w:r>
        <w:rPr>
          <w:rFonts w:ascii="Times New Roman;serif" w:hAnsi="Times New Roman;serif"/>
          <w:b w:val="false"/>
          <w:i/>
          <w:color w:val="231F20"/>
          <w:sz w:val="20"/>
        </w:rPr>
        <w:t>Item 7. Management’s Discussion and Analysis of Financial Condition and Results of Operations</w:t>
      </w:r>
      <w:r>
        <w:rPr>
          <w:color w:val="231F20"/>
        </w:rPr>
        <w:t xml:space="preserve">” </w:t>
      </w:r>
      <w:r>
        <w:rPr>
          <w:rFonts w:ascii="Times New Roman;serif" w:hAnsi="Times New Roman;serif"/>
          <w:b w:val="false"/>
          <w:color w:val="231F20"/>
          <w:sz w:val="20"/>
        </w:rPr>
        <w:t>in our Form 10-K filed with the SEC on March 19, 2026. There have been no material changes to our critical accounting policies and estimates since the filing of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Use of Estimates</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serif" w:hAnsi="Times New Roman;serif"/>
          <w:b w:val="false"/>
          <w:color w:val="231F20"/>
          <w:sz w:val="20"/>
        </w:rPr>
        <w:t>The significant estimates and assumptions that affect the financial statements may include, but are not limited to, going concern,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incentive units. Actual results and outcomes may differ from management's estimates and assumptions and such differences may be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Recently Issued and Adopted Accounting Pronouncements</w:t>
      </w:r>
    </w:p>
    <w:p>
      <w:pPr>
        <w:pStyle w:val="TextBody"/>
        <w:bidi w:val="0"/>
        <w:spacing w:lineRule="auto" w:line="333" w:before="240" w:after="283"/>
        <w:ind w:left="0" w:right="0" w:firstLine="720"/>
        <w:jc w:val="both"/>
        <w:rPr/>
      </w:pPr>
      <w:r>
        <w:rPr>
          <w:rFonts w:ascii="Times New Roman;serif" w:hAnsi="Times New Roman;serif"/>
          <w:b w:val="false"/>
          <w:color w:val="231F20"/>
          <w:sz w:val="20"/>
        </w:rPr>
        <w:t xml:space="preserve">Recently issued and adopted accounting pronouncements are described in Note 2 in the unaudited consolidated financial statements </w:t>
      </w:r>
      <w:r>
        <w:rPr>
          <w:rFonts w:ascii="Times New Roman;serif" w:hAnsi="Times New Roman;serif"/>
          <w:b w:val="false"/>
          <w:color w:val="000000"/>
          <w:sz w:val="20"/>
        </w:rPr>
        <w:t>included in this Report</w:t>
      </w:r>
      <w:r>
        <w:rPr>
          <w:rFonts w:ascii="Times New Roman;serif" w:hAnsi="Times New Roman;serif"/>
          <w:b w:val="false"/>
          <w:color w:val="231F2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333"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President and 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President and Chief Executive Officer and Chief Financial Officer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2465"/>
                <wp:effectExtent l="0" t="0" r="0" b="0"/>
                <wp:wrapNone/>
                <wp:docPr id="68" name="Frame6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concluded that as of June 30, 2026, our disclosure controls and procedures were, in design and operation, effective at a reasonable assurance level. </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333" w:before="240" w:after="283"/>
        <w:ind w:left="0" w:right="0" w:firstLine="720"/>
        <w:jc w:val="both"/>
        <w:rPr/>
      </w:pPr>
      <w:r>
        <w:rPr>
          <w:rFonts w:ascii="Times New Roman;serif" w:hAnsi="Times New Roman;serif"/>
          <w:b w:val="false"/>
          <w:color w:val="000000"/>
          <w:sz w:val="20"/>
        </w:rPr>
        <w:t xml:space="preserve">There were no changes to our internal control over financial reporting (as defined in Rule 13a-15(f) and Rule 15d-15(f) under the Exchange Act) during the quarter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pStyle w:val="TextBody"/>
        <w:bidi w:val="0"/>
        <w:spacing w:lineRule="auto" w:line="333" w:before="240" w:after="283"/>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72465"/>
                <wp:effectExtent l="0" t="0" r="0" b="0"/>
                <wp:wrapNone/>
                <wp:docPr id="69" name="Frame6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bidi w:val="0"/>
        <w:spacing w:before="0" w:after="0"/>
        <w:jc w:val="both"/>
        <w:rPr/>
      </w:pPr>
      <w:r>
        <w:rPr/>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Company filed a complaint in the Superior Court of the State of Delaware (the "Court") against Project Labrador Holdco, LLC (“Roman”) in connection with the closing of Roman’s acquisition of the Company’s Loyalty Business. Subsequently, on February 6, 2026, the Company amended its complaint following additional amounts becoming due. The Company is seeking approximately $10 million and attorneys’ fees in connection with breaches of the Loyalty Business purchase agreement. On February 27, 2026, Roman filed counterclaims alleging its entitlement to indemnification and damages up totaling $19 million. </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filed a motion for judgment on the pleadings on April 10, 2026, which was granted on June 12, 2026. Thereafter, on June 19, 2026, Roman filed a motion for re-argument, which the Company responded to in opposition on June 26, 2026. On July 7, 2026, the Court denied Roman's motion for re-argument. On August 6, 2026, Roman filed a notice of appeal in the Supreme Court of the State of Delaware, seeking to overturn the Court's decision granting the Company's motion for judgment on the pleadings and the Court's denial of Roman's motion for re-argument. Briefing is underway.</w:t>
      </w:r>
    </w:p>
    <w:p>
      <w:pPr>
        <w:pStyle w:val="TextBody"/>
        <w:bidi w:val="0"/>
        <w:spacing w:lineRule="auto" w:line="333" w:before="240" w:after="283"/>
        <w:jc w:val="both"/>
        <w:rPr/>
      </w:pPr>
      <w:r>
        <w:rPr>
          <w:rFonts w:ascii="Times New Roman;serif" w:hAnsi="Times New Roman;serif"/>
          <w:b w:val="false"/>
          <w:color w:val="000000"/>
          <w:sz w:val="20"/>
        </w:rPr>
        <w:t xml:space="preserve">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 17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our unaudited consolidated financial statements included in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the Company's Annual Report on Form 10-K for the fiscal year ended December 31, 2025, as supplemented by the risk factors previously disclosed in the Company's Quarterly Report on Form 10-Q for the quarter ended March 31,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33"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(c) Securities Trading Plans of Directors and Executive Officers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our last fiscal quarter, no director or officer,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1991"/>
        <w:gridCol w:w="1874"/>
        <w:gridCol w:w="1893"/>
        <w:gridCol w:w="215"/>
        <w:gridCol w:w="215"/>
        <w:gridCol w:w="173"/>
        <w:gridCol w:w="278"/>
        <w:gridCol w:w="278"/>
        <w:gridCol w:w="183"/>
        <w:gridCol w:w="245"/>
        <w:gridCol w:w="245"/>
        <w:gridCol w:w="246"/>
        <w:gridCol w:w="368"/>
        <w:gridCol w:w="368"/>
        <w:gridCol w:w="44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Incorporated by Reference</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7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11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the Company, as currently in effect </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2025</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 xml:space="preserve">Certificate of Amendment to the Company’s Certificate of Incorporation, effective as of January 22, 2026 </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12, 2026</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 xml:space="preserve">Amended and Restated By-Laws of the Company, effective as of January 22, 2026 </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8-K </w:t>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12, 2026</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certification-c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certification-cf.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certification-c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certification-c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40" w:after="283"/>
        <w:ind w:left="0" w:right="0" w:hanging="490"/>
        <w:jc w:val="both"/>
        <w:rPr>
          <w:color w:val="000000"/>
        </w:rPr>
      </w:pPr>
      <w:r>
        <w:rPr>
          <w:color w:val="000000"/>
        </w:rPr>
        <w:t>†    </w:t>
      </w:r>
      <w:r>
        <w:rPr>
          <w:rFonts w:ascii="Times New Roman;serif" w:hAnsi="Times New Roman;serif"/>
          <w:b w:val="false"/>
          <w:color w:val="000000"/>
          <w:sz w:val="20"/>
        </w:rPr>
        <w:t>These exhibits are furnished with this Quarterly Report on Form 10-Q and are not deemed filed with the Securities and Exchange Commission and are not incorporated by reference in any filing of Bakkt,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1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61"/>
        <w:gridCol w:w="161"/>
        <w:gridCol w:w="161"/>
        <w:gridCol w:w="1158"/>
        <w:gridCol w:w="1158"/>
        <w:gridCol w:w="164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Bakkt,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40" w:before="4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 Akshay Naheta, certify that: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Bakkt, Inc.;</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631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158"/>
        <w:gridCol w:w="1158"/>
        <w:gridCol w:w="164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40" w:before="4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 Karen Alexander, certify that: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Bakkt, Inc.;</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76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06"/>
        <w:gridCol w:w="706"/>
        <w:gridCol w:w="10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40"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Bakkt, Inc. (the “Company”) on Form 10-Q for the period ending June 30, 2026 as filed with the Securities and Exchange Commission on the date hereof (the “Report”), I, Akshay Naheta, the Chief Executive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6640"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158"/>
        <w:gridCol w:w="1158"/>
        <w:gridCol w:w="164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Akshay Naheta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40"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Bakkt, Inc. (the “Company”) on Form 10-Q for the period ending June 30, 2026 as filed with the Securities and Exchange Commission on the date hereof (the “Report”), I, Karen Alexander, the Chief Financial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09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706"/>
        <w:gridCol w:w="706"/>
        <w:gridCol w:w="10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302/000119312521303985/d219325dex32.htm" TargetMode="External"/><Relationship Id="rId3" Type="http://schemas.openxmlformats.org/officeDocument/2006/relationships/hyperlink" Target="https://www.sec.gov/Archives/edgar/data/1820302/000119312526009830/d88960dex32.htm" TargetMode="External"/><Relationship Id="rId4" Type="http://schemas.openxmlformats.org/officeDocument/2006/relationships/hyperlink" Target="https://www.sec.gov/Archives/edgar/data/1820302/000119312526009830/d88960dex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35415</Words>
  <Characters>197419</Characters>
  <CharactersWithSpaces>230948</CharactersWithSpaces>
  <Paragraphs>3531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