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Akshay Sudhir Naheta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Liberty Plaza, One Liberty St., Ste. 305-306</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Akshay Sudhir Naheta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3,199,732.00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3,199,732.00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3,199,732.00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7, 9 and 11. Comprised of (i) 249,733 shares of Class A common stock, par value $0.0001 per share ("Class 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Common Stock"), of Bakkt Holdings, Inc. (the "Issuer"), (ii) options to acquire 1,342,282 shares of Class A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(the "Reporting Person Options", as further described below) and (iii) 1,607,717 shares of Class A Common</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Stock relating to performance-based restricted stock units that vest upon the attainment of stock price metrics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"PSUs", as further described below). Each share of Class A Common Stock carries one vote per share. Row 13. The</w:t>
      </w:r>
    </w:p>
    <w:p>
      <w:pPr>
        <w:spacing w:after="0" w:line="2" w:lineRule="exact"/>
        <w:rPr>
          <w:sz w:val="20"/>
          <w:szCs w:val="20"/>
          <w:color w:val="auto"/>
        </w:rPr>
      </w:pP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percentages reported in this Schedule 13D are based upon 26,989,085 shares of Class A Common Stock outstanding comprised of (i) 24,039,086 shares of Class A Common Stock outstanding as of November 13, 2025 (according to the Issuer's transfer agent), (ii) 1,342,282 shares of Class A Common Stock issuable upon the exercise of the Reporting Person Options and (iii) 1,607,717 shares of Class A Common Stock related to PSUs. Amendment No. 1 to Schedule 13D This Amendment No. 1 to Schedule 13D (this "Amendment No. 1") amends and supplements the initial Schedule 13D filed by Mr. Akshay Sudhir Naheta with the Securities and Exchange Commission (the "SEC") on November 7, 2025 (the "Original Filing"). This Amendment No. 1 amends and supplements the Original Filing as specifically set forth herein and is being filed solely due to an increase in the Issuer's total number of outstanding shares of Class A Common Stock and not as a result of any transactions by the Reporting Person. All capitalized terms contained herein but not otherwise defined shall have the meanings ascribed as such terms in the Original Filing. Information given in response to each item shall be deemed incorporated by reference in all other items, as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ectPr>
          <w:pgSz w:w="11900" w:h="16838" w:orient="portrait"/>
          <w:cols w:equalWidth="0" w:num="1">
            <w:col w:w="11240"/>
          </w:cols>
          <w:pgMar w:left="320" w:top="126" w:right="33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One Liberty Plaza, One Liberty St., Ste. 305-306, New York, NEW YORK , 10006.</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is filed with respect to the shares of Class A Common Stock, par value $0.0001 per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 (the "Class A Common Stock"), of Bakkt Holdings, Inc., a Delaware corporation (the "Issuer"), which has its</w:t>
      </w:r>
    </w:p>
    <w:p>
      <w:pPr>
        <w:spacing w:after="0" w:line="1" w:lineRule="exact"/>
        <w:rPr>
          <w:sz w:val="20"/>
          <w:szCs w:val="20"/>
          <w:color w:val="auto"/>
        </w:rPr>
      </w:pPr>
    </w:p>
    <w:p>
      <w:pPr>
        <w:ind w:right="340" w:firstLine="952"/>
        <w:spacing w:after="0" w:line="270" w:lineRule="auto"/>
        <w:rPr>
          <w:sz w:val="20"/>
          <w:szCs w:val="20"/>
          <w:color w:val="auto"/>
        </w:rPr>
      </w:pPr>
      <w:r>
        <w:rPr>
          <w:rFonts w:ascii="Times New Roman" w:cs="Times New Roman" w:eastAsia="Times New Roman" w:hAnsi="Times New Roman"/>
          <w:sz w:val="22"/>
          <w:szCs w:val="22"/>
          <w:color w:val="auto"/>
        </w:rPr>
        <w:t>principal executive office at One Liberty Plaza, One Liberty Street, Suites 305-306, New York, New York, 10006. Item 3. Source and Amount of Funds or Other Consideration</w:t>
      </w:r>
    </w:p>
    <w:p>
      <w:pPr>
        <w:spacing w:after="0" w:line="1"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Item 3 of the Original Filing is amended and restated to read as follows: Reorganization On November 3, 2025, pursuant to a reorganization (the "Reorganization"), the Issuer (formerly Bakkt NewCo Holdings, Inc.) became the successor of Bakkt Intermediate Holdings, Inc (formerly Bakkt Holdings, Inc.) ("Old Bakkt") pursuant to merger transactions, in which a subsidiary of the Issuer merged with and into Old Bakkt with Old Bakkt surviving and, immediately following such merger, a subsidiary of the Issuer merged with and into Bakkt OpCo Holdings LLC ("OpCo"), a subsidiary of Old Bakkt, with OpCo surviving. The mergers resulted in the Issuer becoming the parent holding company of Old Bakkt and OpCo, but did not alter the proportionate economic interest of security holders. In connection with the Reorganization, on October 16, 2025, Old Bakkt, Intercontinental Exchange Holdings, Inc. ("ICE") and the Reporting Person, entered into an amendment (the "TRA Amendment") to the Tax Receivable Agreement, dated as of October 15, 2021, by and among Old Bakkt and the persons named therein (the "TRA"), as well was a Contribution Agreement relating to their respective rights under the TRA (the "Contribution Agreement"). Pursuant to the TRA Amendment and the Contribution Agreement, the Reporting Person agreed that he would, at closing of the Reorganization, (i) contribute his rights under the TRA to the Issuer in exchange for a cash payment from the Issuer equal to the amount to which he would otherwise be entitled under the TRA (as amended) and (ii) contribute such cash to the Issuer in exchange for Class A Common Stock, and further agreed that his obligations, on the one hand, and those of the Issuer, on the other hand, to transfer the foregoing cash amounts would be net-settled and offset against one another. In addition, the TRA Amendment set the discount rate to be used in calculating TRA payments to the TRA holders (including the Reporting Person) at 18%, calculated as of the date of consummation of the Reorganization, subject to capping the value of the TRA payment to the Reporting Person at the value of such payment calculated as of the date of the TRA Amendment. Immediately prior to the consummation of the Reorganization, Old Bakkt, the Reporting Person and ICE entered into an amendment (the "Contribution Agreement Amendment") to the Contribution Agreement relating to their respective rights under the TRA, pursuant to which the Reporting Person agreed to contribute his rights under the TRA to the Issuer in exchange for cash and the Reporting Person would further contribute such cash payable to the Reporting Person to the Issuer in exchange for shares of Class A Common Stock, as contemplated in the original Contribution Agreement. Pursuant to this arrangement, upon the consummation of the Reorganization, the Issuer issued 69,733 shares of Class A Common Stock to the Reporting Person, which was offset against the amount of cash to which the Reporting Person was otherwise entitled under the TRA. The issuance was made in reliance upon the exemption from registration contained in Section 4(a)(2) of the Securities Act of 1933, as amended (the "Securities Act"), in light of the nature of the Reporting Person and the manner in which the sale occurred. Copies of the TRA, the TRA Amendment, the Contribution Agreement and the Contribution Agreement Amendment are attached as exhibits to the Original Filing and incorporated herein by reference. Stock Option Award On July 30, 2025, Old Bakkt completed an underwritten public offering (the "Offering") of Class A common stock, par value $0.0001 per share ("Old Bakkt Class A Common Stock"), of Old Bakkt and pre-funded warrants to purchase shares of Old Bakkt Class A Common Stock. In connection with the Offering, members of the Old Bakkt's management, including the Reporting Person, and Old Bakkt's Compensation Committee of its Board of Directors (the "Compensation Committee") determined that it was in the best interests of Old Bakkt and its stockholders for certain members of management, including the Reporting Person, to similarly have the opportunity to invest in Old Bakkt and strengthen alignment with Old Bakkt's stockholders through increased stock ownership. Accordingly, on July 29, 2025, Old Bakkt's Board of Directors and the Compensation Committee approved, subject to approval by Old Bakkt's shareholders, a one-time award of stock options to certain members of management, including an award to the Reporting Person of options to purchase up to 1,342,282 shares of Old Bakkt Class A Common Stock (the "Reporting Person Options") at an exercise price of $10.00 per share pursuant to the terms and conditions set forth in an award agreement (the "Options Award Agreement"). Old Bakkt's shareholders approved the award of the Reporting Person Options on October 31, 2025. No consideration was received by Old Bakkt for the granting of the Reporting Person Options. Pursuant to the Options Award Agreement, the Reporting Person has committed to exercise 33,557 Reported Person Options every quarter for eight quarters (the "Mandatory Exercise Options"). For each quarter in which the Reporting Person exercises the Mandatory Exercise Options, the Reporting Person will be entitled to exercise an additional 134,228.25 Reported Person Options (the "Optional Exercise Options") which Optional Exercise Options will become exercisable for a period of up to one year. Notwithstanding the foregoing exercise schedule, following the first mandatory exercise period after October 31, 2025 (i.e., the date on which stockholder approval of the Reporting Person Options was obtained), the Reporting Person may exercise any portion of the Reporting Person Options earlier than the applicable quarter ("Early Exercise"), provided that any shares of Class A Common Stock acquired on Early Exercise of Optional Exercise Options will be subject to a lock-up period so that the shares acquired on such Early Exercise of Optional Exercise Options may not be sold or transferred until the originally-scheduled exercise date. If the Reporting Person does not exercise his Mandatory Exercise Options in any quarterly tranche during the applicable mandatory exercise period, then the remaining Reporting Person Options (in respect of the current quarterly tranche and any subsequent quarterly tranche) will be forfeited automatically. The Reporting Person must personally fund the exercise price in order to exercise the Mandatory Exercise Options. The Reporting Person may either personally fund the exercise price in</w:t>
      </w:r>
    </w:p>
    <w:p>
      <w:pPr>
        <w:sectPr>
          <w:pgSz w:w="11900" w:h="16838" w:orient="portrait"/>
          <w:cols w:equalWidth="0" w:num="1">
            <w:col w:w="11160"/>
          </w:cols>
          <w:pgMar w:left="360" w:top="111" w:right="379" w:bottom="0" w:gutter="0" w:footer="0" w:header="0"/>
        </w:sectPr>
      </w:pPr>
    </w:p>
    <w:bookmarkStart w:id="3" w:name="page4"/>
    <w:bookmarkEnd w:id="3"/>
    <w:p>
      <w:pPr>
        <w:spacing w:after="0" w:line="3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order to exercise the Optional Exercise Options or may elect to net settle the Optional Exercise Options. Upon closing of the Reorganization, the Reporting Person Options were converted from options to purchase up to 1,342,282 shares of Old Bakkt Class A Common Stock into options to purchase up to 1,342,282 of Class A Common Stock on the same terms as described above. On November 10, 2025, the Reporting Person exercised 33,557 Mandatory Exercise Options. A copy of the form of Options Award Agreement is attached as an exhibit to the Original Filing and incorporated herein by reference. Open Market Purchases The Reporting Person acquired an aggregate of 180,000 shares of Old Bakkt Class A Common Stock in multiple open market transactions on August 21, 2025 and August 22, 2025 to increase his stock ownership and voting power. On August 21, 2025, the Reporting Person purchased 100,000 of those shares in multiple open market transactions over a range of purchase prices ranging from $8.04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$8.41 per share, at a weighted average price of $8.18 per share. On August 21, 2025, the Reporting Person purchased</w:t>
      </w:r>
    </w:p>
    <w:p>
      <w:pPr>
        <w:spacing w:after="0" w:line="231" w:lineRule="auto"/>
        <w:rPr>
          <w:sz w:val="20"/>
          <w:szCs w:val="20"/>
          <w:color w:val="auto"/>
        </w:rPr>
      </w:pPr>
      <w:r>
        <w:rPr>
          <w:rFonts w:ascii="Times New Roman" w:cs="Times New Roman" w:eastAsia="Times New Roman" w:hAnsi="Times New Roman"/>
          <w:sz w:val="22"/>
          <w:szCs w:val="22"/>
          <w:color w:val="auto"/>
        </w:rPr>
        <w:t>50,000 of those shares in multiple open market transactions over a range of purchase prices ranging from $7.97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$8.00 per share, at a weighted average price of $8.00 per share. On August 22, 2015, the Reporting Person purchased</w:t>
      </w:r>
    </w:p>
    <w:p>
      <w:pPr>
        <w:spacing w:after="0" w:line="231" w:lineRule="auto"/>
        <w:rPr>
          <w:sz w:val="20"/>
          <w:szCs w:val="20"/>
          <w:color w:val="auto"/>
        </w:rPr>
      </w:pPr>
      <w:r>
        <w:rPr>
          <w:rFonts w:ascii="Times New Roman" w:cs="Times New Roman" w:eastAsia="Times New Roman" w:hAnsi="Times New Roman"/>
          <w:sz w:val="22"/>
          <w:szCs w:val="22"/>
          <w:color w:val="auto"/>
        </w:rPr>
        <w:t>30,000 of those shares in multiple open market transactions over a range of purchase prices ranging from $7.99 to</w:t>
      </w:r>
    </w:p>
    <w:p>
      <w:pPr>
        <w:spacing w:after="0" w:line="231" w:lineRule="auto"/>
        <w:rPr>
          <w:sz w:val="20"/>
          <w:szCs w:val="20"/>
          <w:color w:val="auto"/>
        </w:rPr>
      </w:pPr>
      <w:r>
        <w:rPr>
          <w:rFonts w:ascii="Times New Roman" w:cs="Times New Roman" w:eastAsia="Times New Roman" w:hAnsi="Times New Roman"/>
          <w:sz w:val="22"/>
          <w:szCs w:val="22"/>
          <w:color w:val="auto"/>
        </w:rPr>
        <w:t>$8.70 per share, at a weighted average price of $8.55 per share. Such shares were purchased using the Reporting</w:t>
      </w:r>
    </w:p>
    <w:p>
      <w:pPr>
        <w:spacing w:after="0" w:line="231" w:lineRule="auto"/>
        <w:rPr>
          <w:sz w:val="20"/>
          <w:szCs w:val="20"/>
          <w:color w:val="auto"/>
        </w:rPr>
      </w:pPr>
      <w:r>
        <w:rPr>
          <w:rFonts w:ascii="Times New Roman" w:cs="Times New Roman" w:eastAsia="Times New Roman" w:hAnsi="Times New Roman"/>
          <w:sz w:val="22"/>
          <w:szCs w:val="22"/>
          <w:color w:val="auto"/>
        </w:rPr>
        <w:t>Person's personal funds. Upon the closing of the Reorganization, these shares automatically converted into 180,000</w:t>
      </w:r>
    </w:p>
    <w:p>
      <w:pPr>
        <w:spacing w:after="0" w:line="230" w:lineRule="auto"/>
        <w:rPr>
          <w:sz w:val="20"/>
          <w:szCs w:val="20"/>
          <w:color w:val="auto"/>
        </w:rPr>
      </w:pPr>
      <w:r>
        <w:rPr>
          <w:rFonts w:ascii="Times New Roman" w:cs="Times New Roman" w:eastAsia="Times New Roman" w:hAnsi="Times New Roman"/>
          <w:sz w:val="22"/>
          <w:szCs w:val="22"/>
          <w:color w:val="auto"/>
        </w:rPr>
        <w:t>shares of Class A Common Stock. Employment Agreement and Performance Stock Unit Agreement On March 19,</w:t>
      </w:r>
    </w:p>
    <w:p>
      <w:pPr>
        <w:spacing w:after="0" w:line="231" w:lineRule="auto"/>
        <w:rPr>
          <w:sz w:val="20"/>
          <w:szCs w:val="20"/>
          <w:color w:val="auto"/>
        </w:rPr>
      </w:pPr>
      <w:r>
        <w:rPr>
          <w:rFonts w:ascii="Times New Roman" w:cs="Times New Roman" w:eastAsia="Times New Roman" w:hAnsi="Times New Roman"/>
          <w:sz w:val="22"/>
          <w:szCs w:val="22"/>
          <w:color w:val="auto"/>
        </w:rPr>
        <w:t>2025, Old Bakkt's Board of Directors appointed the Reporting Person to serve as Old Bakkt's Co-Chief Executive</w:t>
      </w:r>
    </w:p>
    <w:p>
      <w:pPr>
        <w:spacing w:after="0"/>
        <w:rPr>
          <w:sz w:val="20"/>
          <w:szCs w:val="20"/>
          <w:color w:val="auto"/>
        </w:rPr>
      </w:pPr>
      <w:r>
        <w:rPr>
          <w:rFonts w:ascii="Times New Roman" w:cs="Times New Roman" w:eastAsia="Times New Roman" w:hAnsi="Times New Roman"/>
          <w:sz w:val="21"/>
          <w:szCs w:val="21"/>
          <w:color w:val="auto"/>
        </w:rPr>
        <w:t>Officer (a "Co-CEO"), effective March 21, 2025. In connection with the Reporting Person's appointment as Co-CEO,</w:t>
      </w:r>
    </w:p>
    <w:p>
      <w:pPr>
        <w:spacing w:after="0" w:line="231" w:lineRule="auto"/>
        <w:rPr>
          <w:sz w:val="20"/>
          <w:szCs w:val="20"/>
          <w:color w:val="auto"/>
        </w:rPr>
      </w:pPr>
      <w:r>
        <w:rPr>
          <w:rFonts w:ascii="Times New Roman" w:cs="Times New Roman" w:eastAsia="Times New Roman" w:hAnsi="Times New Roman"/>
          <w:sz w:val="22"/>
          <w:szCs w:val="22"/>
          <w:color w:val="auto"/>
        </w:rPr>
        <w:t>Old Bakkt entered into an employment agreement with him (the "Employment Agreement"), dated as of March 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 (the "Effective Date"). Upon completion of the Reorganization, the Issuer assumed Old Bakkt's responsibilities</w:t>
      </w:r>
    </w:p>
    <w:p>
      <w:pPr>
        <w:spacing w:after="0" w:line="231" w:lineRule="auto"/>
        <w:rPr>
          <w:sz w:val="20"/>
          <w:szCs w:val="20"/>
          <w:color w:val="auto"/>
        </w:rPr>
      </w:pPr>
      <w:r>
        <w:rPr>
          <w:rFonts w:ascii="Times New Roman" w:cs="Times New Roman" w:eastAsia="Times New Roman" w:hAnsi="Times New Roman"/>
          <w:sz w:val="22"/>
          <w:szCs w:val="22"/>
          <w:color w:val="auto"/>
        </w:rPr>
        <w:t>under the Employment Agreement. Pursuant to the terms of the Employment Agreement, the Reporting Person</w:t>
      </w:r>
    </w:p>
    <w:p>
      <w:pPr>
        <w:spacing w:after="0" w:line="231" w:lineRule="auto"/>
        <w:rPr>
          <w:sz w:val="20"/>
          <w:szCs w:val="20"/>
          <w:color w:val="auto"/>
        </w:rPr>
      </w:pPr>
      <w:r>
        <w:rPr>
          <w:rFonts w:ascii="Times New Roman" w:cs="Times New Roman" w:eastAsia="Times New Roman" w:hAnsi="Times New Roman"/>
          <w:sz w:val="22"/>
          <w:szCs w:val="22"/>
          <w:color w:val="auto"/>
        </w:rPr>
        <w:t>receives an initial annual base salary of $100,000 and is eligible to receive an annual cash bonus, as shall be</w:t>
      </w:r>
    </w:p>
    <w:p>
      <w:pPr>
        <w:spacing w:after="0" w:line="231" w:lineRule="auto"/>
        <w:rPr>
          <w:sz w:val="20"/>
          <w:szCs w:val="20"/>
          <w:color w:val="auto"/>
        </w:rPr>
      </w:pPr>
      <w:r>
        <w:rPr>
          <w:rFonts w:ascii="Times New Roman" w:cs="Times New Roman" w:eastAsia="Times New Roman" w:hAnsi="Times New Roman"/>
          <w:sz w:val="22"/>
          <w:szCs w:val="22"/>
          <w:color w:val="auto"/>
        </w:rPr>
        <w:t>determined by the Board or the Compensation Committee. As an inducement material to the Reporting Person</w:t>
      </w:r>
    </w:p>
    <w:p>
      <w:pPr>
        <w:spacing w:after="0"/>
        <w:rPr>
          <w:sz w:val="20"/>
          <w:szCs w:val="20"/>
          <w:color w:val="auto"/>
        </w:rPr>
      </w:pPr>
      <w:r>
        <w:rPr>
          <w:rFonts w:ascii="Times New Roman" w:cs="Times New Roman" w:eastAsia="Times New Roman" w:hAnsi="Times New Roman"/>
          <w:sz w:val="21"/>
          <w:szCs w:val="21"/>
          <w:color w:val="auto"/>
        </w:rPr>
        <w:t>entering into employment with Old Bakkt, on (or as soon as reasonably practicable following) the Effective Date, the</w:t>
      </w:r>
    </w:p>
    <w:p>
      <w:pPr>
        <w:spacing w:after="0" w:line="231" w:lineRule="auto"/>
        <w:rPr>
          <w:sz w:val="20"/>
          <w:szCs w:val="20"/>
          <w:color w:val="auto"/>
        </w:rPr>
      </w:pPr>
      <w:r>
        <w:rPr>
          <w:rFonts w:ascii="Times New Roman" w:cs="Times New Roman" w:eastAsia="Times New Roman" w:hAnsi="Times New Roman"/>
          <w:sz w:val="22"/>
          <w:szCs w:val="22"/>
          <w:color w:val="auto"/>
        </w:rPr>
        <w:t>Reporting Person was entitled to receive (1) $15.0 million in performance-based restricted stock units ("PSUs") and</w:t>
      </w:r>
    </w:p>
    <w:p>
      <w:pPr>
        <w:spacing w:after="0" w:line="1" w:lineRule="exact"/>
        <w:rPr>
          <w:sz w:val="20"/>
          <w:szCs w:val="20"/>
          <w:color w:val="auto"/>
        </w:rPr>
      </w:pPr>
    </w:p>
    <w:p>
      <w:pPr>
        <w:ind w:right="40" w:firstLine="6"/>
        <w:spacing w:after="0" w:line="241" w:lineRule="auto"/>
        <w:tabs>
          <w:tab w:leader="none" w:pos="30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$150,000 in service-based restricted stock units ("RSUs" and together with PSUs, the "Inducement Grant"). Pursuant to the terms of the Employment Agreement as amended and restated by the A&amp;R Employment Agreement (as defined below)), on April 21, 2025, the Compensation Committee approved the equity-based grant for the Reporting Person of 1,607,717 PSUs. The PSUs were granted to the Reporting Person pursuant to a Performance Stock Unit Agreement between Old Bakkt and the Reporting Person (the "PSU Agreement"). Upon the closing of the Reorganization, the Issuer assumed Old Bakkt's responsibilities under the PSU Agreement. The PSUs will vest over a three-year performance period following the date of the Reporting Person's appointment as Co-CEO (the "Performance Period") based on attainment of stock price metrics such that one-third of PSUs will vest, subject to the Reporting Person's continued employment through the vesting date, if the Issuer's stock price appreciates at any point during the Performance Period by 100% above $9.33, the closing price of Old Bakkt's stock on the NYSE on March 18, 2025 (the "Reference Price"). For each additional 25% of stock price appreciation above the Reference Price during the Performance Period, limited to a maximum of eight (8) additional vesting tranches, an additional number of PSUs equal to $1.25 million divided by the Reference Price will vest, subject to the Reporting Person's continued employment through the applicable vesting date. The Issuer's stock price appreciation for purposes of the PSUs is to be measured based on a rolling 90-day volume weighted average price. Originally, any PSUs that satisfy the above vesting conditions prior to the first anniversary of the grant date would vest on the first anniversary of the grant date, subject to the Reporting Person's continued employment through such date. On November 13, 2025, the Compensation Committee amended the terms of the PSUs to provide that the PSUs will vest on the date on which the performance conditions applicable to the PSUs are achieved (the "Achievement Date"), subject to continued employment through the Achievement Date in accordance with the existing terms of the PSUs, regardless of whether the Achievement Date is at least one year following the date on which the PSUs were granted. To effect this amendment, on November 14, 2025, the Company and the Reporting Person entered into the Amended and Restated Employment Agreement (the "A&amp;R Employment Agreement") and the Amended and Restated Performance Stock Unit Agreement (the "A&amp;R PSU Agreement"). The A&amp;R Employment Agreement amends and restates the Employment Agreement. The A&amp;R PSU Agreement amends and restates the PSU Agreement. As of the date of this Schedule 13D, 803,861 of the PSUs have vested. The Inducement Grant is subject to the terms of the Issuer's 2021 Omnibus Incentive Plan (the "2021 Plan"), as if granted thereunder, but was granted as inducement awards pursuant to the NYSE Listing Rule 303A.08 and without shareholder approval. Further, pursuant to the Employment Agreement, the Reporting Person is eligible to receive additional annual equity compensation grants during the term of his employment with a target grant date fair value, as determined by the Board or the Compensation Committee, of not less than $100,000, in accordance with the terms of the Issuer's long-term incentive compensation plans and having such terms and conditions as established by the Board or the Compensation Committee. In the event the Reporting Person is terminated by the Issuer without Cause (other than for death or Disability) or he resigns for Good Reason (each as defined in the Employment Agreement), he will be entitled to the following severance benefits, subject to his execution of a release of claims agreement and continued compliance with a confidentiality agreement:</w:t>
      </w:r>
    </w:p>
    <w:p>
      <w:pPr>
        <w:spacing w:after="0" w:line="260" w:lineRule="exact"/>
        <w:rPr>
          <w:rFonts w:ascii="Times New Roman" w:cs="Times New Roman" w:eastAsia="Times New Roman" w:hAnsi="Times New Roman"/>
          <w:sz w:val="21"/>
          <w:szCs w:val="21"/>
          <w:color w:val="auto"/>
        </w:rPr>
      </w:pPr>
    </w:p>
    <w:p>
      <w:pPr>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 lump sum cash payment equal to two times his then-current base salary, increased to three times his then-current base salary if termination occurs within two years after a Change in Control (as defined in the 2021 Plan); (ii) (A) time-vesting equity grants (including the grants for which actual performance achievement has already been certified as of his termination) will fully vest, (B) with respect to performance based grants for which performance has not been certified as of the date of employment termination, performance will be determined based on actual performance achieved after completion of the performance period, and all earned tranches will vest on the date of such performance certification, and (C) with respect to any stock option awards, the Reporting Person will be treated as if he had remained employed by the Company for one (1) year following the termination date; and (iii) a lump-sum</w:t>
      </w:r>
    </w:p>
    <w:p>
      <w:pPr>
        <w:sectPr>
          <w:pgSz w:w="11900" w:h="16873" w:orient="portrait"/>
          <w:cols w:equalWidth="0" w:num="1">
            <w:col w:w="10220"/>
          </w:cols>
          <w:pgMar w:left="1280" w:top="112" w:right="399" w:bottom="0" w:gutter="0" w:footer="0" w:header="0"/>
        </w:sectPr>
      </w:pPr>
    </w:p>
    <w:bookmarkStart w:id="4" w:name="page5"/>
    <w:bookmarkEnd w:id="4"/>
    <w:p>
      <w:pPr>
        <w:ind w:left="920" w:right="160"/>
        <w:spacing w:after="0" w:line="244" w:lineRule="auto"/>
        <w:rPr>
          <w:sz w:val="20"/>
          <w:szCs w:val="20"/>
          <w:color w:val="auto"/>
        </w:rPr>
      </w:pPr>
      <w:r>
        <w:rPr>
          <w:rFonts w:ascii="Times New Roman" w:cs="Times New Roman" w:eastAsia="Times New Roman" w:hAnsi="Times New Roman"/>
          <w:sz w:val="22"/>
          <w:szCs w:val="22"/>
          <w:color w:val="auto"/>
        </w:rPr>
        <w:t>cash payment in respect of the cost of one year's continued health coverage. Copies of the A&amp;R Employment Agreement and the A&amp;R PSU Agreement are attached as exhibits to this Amendment No. 1 and incorporated herein by reference.</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ind w:left="920" w:hanging="912"/>
        <w:spacing w:after="0" w:line="180" w:lineRule="auto"/>
        <w:tabs>
          <w:tab w:leader="none" w:pos="92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9"/>
          <w:szCs w:val="19"/>
          <w:color w:val="auto"/>
        </w:rPr>
        <w:t>Item 5(a) of the Original Filing is amended and restated to read as follows: Amount beneficially owned: 3,199,732.</w:t>
      </w:r>
    </w:p>
    <w:p>
      <w:pPr>
        <w:ind w:left="92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22"/>
          <w:szCs w:val="22"/>
          <w:color w:val="auto"/>
        </w:rPr>
        <w:t>Percent of class: 11.9%.</w:t>
      </w:r>
    </w:p>
    <w:p>
      <w:pPr>
        <w:spacing w:after="0" w:line="20" w:lineRule="exact"/>
        <w:rPr>
          <w:rFonts w:ascii="Times New Roman" w:cs="Times New Roman" w:eastAsia="Times New Roman" w:hAnsi="Times New Roman"/>
          <w:sz w:val="36"/>
          <w:szCs w:val="36"/>
          <w:color w:val="auto"/>
          <w:vertAlign w:val="subscript"/>
        </w:rPr>
      </w:pPr>
    </w:p>
    <w:p>
      <w:pPr>
        <w:ind w:left="92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21"/>
          <w:szCs w:val="21"/>
          <w:color w:val="auto"/>
        </w:rPr>
        <w:t>Item 5(b) of the Original Filing is amended and restated to read as follows: Number of shares the Reporting Persons</w:t>
      </w:r>
    </w:p>
    <w:p>
      <w:pPr>
        <w:spacing w:after="0" w:line="25" w:lineRule="exact"/>
        <w:rPr>
          <w:rFonts w:ascii="Times New Roman" w:cs="Times New Roman" w:eastAsia="Times New Roman" w:hAnsi="Times New Roman"/>
          <w:sz w:val="36"/>
          <w:szCs w:val="36"/>
          <w:color w:val="auto"/>
          <w:vertAlign w:val="subscript"/>
        </w:rPr>
      </w:pPr>
    </w:p>
    <w:p>
      <w:pPr>
        <w:ind w:left="920"/>
        <w:spacing w:after="0" w:line="230"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22"/>
          <w:szCs w:val="22"/>
          <w:color w:val="auto"/>
        </w:rPr>
        <w:t>have: i. Sole power to vote or direct the vote: 3,199,732. ii. Shared power to vote: 0. iii. Sole power to dispose or</w:t>
      </w:r>
    </w:p>
    <w:p>
      <w:pPr>
        <w:ind w:left="92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21"/>
          <w:szCs w:val="21"/>
          <w:color w:val="auto"/>
        </w:rPr>
        <w:t>direct the disposition of: 3,199,732. iv. Shared power to dispose or direct the disposition of: 0. The Reporting Person</w:t>
      </w:r>
    </w:p>
    <w:p>
      <w:pPr>
        <w:spacing w:after="0" w:line="1" w:lineRule="exact"/>
        <w:rPr>
          <w:rFonts w:ascii="Times New Roman" w:cs="Times New Roman" w:eastAsia="Times New Roman" w:hAnsi="Times New Roman"/>
          <w:sz w:val="36"/>
          <w:szCs w:val="36"/>
          <w:color w:val="auto"/>
          <w:vertAlign w:val="subscript"/>
        </w:rPr>
      </w:pPr>
    </w:p>
    <w:p>
      <w:pPr>
        <w:ind w:left="920" w:right="4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may be deemed to beneficially own 1,342,282 shares of Class A Common Stock issuable upon exercise of 1,342,282 Reporting Person Options held by the Reporting Person. On November 10, 2025, the Reporting Person exercised 33,557 of those Reporting Person Options. The Reporting Person may be deemed to beneficially own 1,607,717 shares of Class A Common Stock relating to PSUs held by the Reporting Person. On November 14, 2025, 803,861 of those PSUs vested.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Item 6 of the Original Filing is amended and restated to read as follows: The responses set forth in Item 3 above summarize certain provisions of the Contribution Agreement, the Contribution Agreement Amendment, the TRA, the TRA Amendment and the Options Award Agreement and are incorporated herein by reference. A copy of each of these agreements is attached as an exhibit to the Original Filing and incorporated herein by reference. The responses set forth in paragraph (b) of Item 5 are hereby incorporated by reference in this Item 6. Except as set forth herein, the Reporting Person does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 Cooperation Agreement On March 19, 2025, Old Bakkt entered into a Cooperation Agreement with DTR and the Reporting Person, the sole stockholder of DTR (the "Cooperation Agreement"). Upon the closing of the Reorganization, the Issuer assumed Old Bakkt's responsibilities under the Cooperation Agreement. Pursuant to the Cooperation Agreement, DTR provides the Issuer with certain exclusive payment processing technology, application programming interfaces, and infrastructure to be integrated into the Issuer's platform for the enablement of global payments processing services in the jurisdictions where the Issuer or its affiliates operate. In addition, on the date that is twelve (12) months following the date of on which the Issuer initiates processing payments using all or part of DTR's technology (the "Call Event Deadline"), the Issuer shall have the exclusive right (such right, the "Call Option") to require the Reporting Person to sell, convey, transfer, assign and deliver to the Issuer 100% of the capital stock and all other equity interests of DTR (the "DTR Equity"). This Call Option may be exercised by the Issuer at any time prior to the Call Event Deadline. If the Issuer does not exercise the Call Option within the Call Event Deadline, then for a period beginning on the date of expiration of the Call Event Deadline and ending on the second anniversary of the Call Event Deadline, if DTR or the Reporting Person receives an offer or proposal from a third-party to purchase more than 50% of the DTR Equity, then (i) the Reporting Person shall provide written notice to the Issuer of the material financial and other terms and conditions of such offer or proposal (such notice, the "ROFR Notice") and (ii) for a period of 15 days following receipt of the ROFR Notice, the Issuer shall have the right to purchase the DTR Equity on the same terms as set forth in the ROFR Notice (the "ROFR"). The ROFR Notice will expire in the event that (a) the terms proposed by the Issuer are not the same or as favorable as those in the ROFR Notice or (b) the Issuer exercises the ROFR pursuant to a ROFR Notice but the ROFR transaction is not consummated within 90 days following the date of the ROFR Notice, subject to certain automatic extensions for regulatory approvals, required authorizations or the Issuer's stockholder approval, which such automatic extension shall not exceed 90 days. If the cumulative volume of payments processed by the Issuer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the Reporting Person shall have the right to require the Issuer to purchase, acquire and accept from the Reporting Person the DTR Equity (the "Put Option"). As consideration for the sale of the DTR Equity contemplated by a Put Option or a Call Option, the Reporting Person will be entitled, in exchange for all of the DTR Equity, to a number of shares of Class A Common Stock representing at least 19.9% and no more than 31.5%, of the aggregate common stock of the Issuer, plus the aggregate number of shares of Class A Common Stock issuable upon full exercise or conversion of any options, warrants or other convertible or derivative securities then outstanding, on an as-converted basis, which shall not include the Issuer's publicly traded warrants currently listed on the New York Stock Exchange ("NYSE") (BKKT WS) and any warrants to purchases of Class A Common Stock that are below the Bakkt Share Price (as defined below) (the "Bakkt Share Number") subject to any DTR Adjustment (as defined below); provided that the Reporting Person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the Reporting Person (such amount, the "DTR Value") shall proportionately reduce the number of shares the Reporting Person is entitled to receive in a Put Option or Call Option transaction (the "DTR Adjustment"). If either the Issuer or the Reporting Person shall exercise the above described Call Option or Put Option, respectively, such transaction shall be (i) executed pursuant to a customary purchase agreement that will contain representations, warranties and interim operating covenants by the Issuer, DTR and the Reporting Person that are customary for a transaction of this nature (the "Definitive Agreement"), (ii) subject to, among other things, obtaining any required regulatory approvals, non-objections and/or similar authorizations, Issuer</w:t>
      </w:r>
    </w:p>
    <w:p>
      <w:pPr>
        <w:sectPr>
          <w:pgSz w:w="11900" w:h="16838" w:orient="portrait"/>
          <w:cols w:equalWidth="0" w:num="1">
            <w:col w:w="11120"/>
          </w:cols>
          <w:pgMar w:left="360" w:top="112" w:right="419" w:bottom="0" w:gutter="0" w:footer="0" w:header="0"/>
        </w:sectPr>
      </w:pPr>
    </w:p>
    <w:bookmarkStart w:id="5" w:name="page6"/>
    <w:bookmarkEnd w:id="5"/>
    <w:p>
      <w:pPr>
        <w:ind w:left="920" w:right="20"/>
        <w:spacing w:after="0" w:line="231" w:lineRule="auto"/>
        <w:rPr>
          <w:sz w:val="20"/>
          <w:szCs w:val="20"/>
          <w:color w:val="auto"/>
        </w:rPr>
      </w:pPr>
      <w:r>
        <w:rPr>
          <w:rFonts w:ascii="Times New Roman" w:cs="Times New Roman" w:eastAsia="Times New Roman" w:hAnsi="Times New Roman"/>
          <w:sz w:val="22"/>
          <w:szCs w:val="22"/>
          <w:color w:val="auto"/>
        </w:rPr>
        <w:t>stockholder approvals (including compliance with any applicable requirements of the NYSE) and Delaware law, (iii) subject to receipt by the Issuer of a fairness opinion from an independent financial advisor, (iv) subject to the execution by the parties of a definitive agreement reflecting the commercial arrangement described above, and (v) subject to the Issuer having terminated any lines of credit in effect on the date of the Cooperation Agreement and having repaid in full any indebtedness then outstanding and borrowed thereunder. The Definitive Agreement shall also provide for a clause to allow the Special Committee of the Board of Directors of the Issuer to pursue any superior proposal for a transaction that, if consummated, would result in a change of control of the Issuer that is conditioned upon the termination of the Put Option; provided, that the Issuer will negotiate reasonably and in good faith with any prospective party to include the Put Option or have such Put Option exercised immediately prior to the closing of such proposed transaction. If, after such negotiation, the Put Option will be terminated, the Issuer will be obligated to pay the Reporting Person a termination fee of 3.0% of the DTR Value, as determined immediately prior to the termination of the Put Option. The price payable by the Issuer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 During the term of the Cooperation Agreement, each party will use commercially reasonable efforts to conduct its business in the normal and ordinary course, consistent with applicable laws. Pursuant to the Cooperation Agreement, the Reporting Person will not, directly or indirectly, engage in hedging, short sales or similar activities with respect to the Issuer's equity. A copy of the Cooperation Agreement is attached as an exhibit to the Original Filing and incorporated herein by reference. Employment Agreement and Restricted Stock Unit Agreement Pursuant to the terms of the Employment Agreement (as amended and restated by the A&amp;R Employment Agreement), on April 21, 2025, the Compensation Committee approved the equity-based grant for the Reporting Person of 11,426 RSUs. The RSUs were granted to the Reporting Person pursuant to a Restricted Stock Unit Agreement between Old Bakkt and the Reporting Person (the "RSU Agreement"). Upon the closing of the Reorganization, the Issuer assumed Old Bakkt's responsibilities under the RSU Agreement. The RSUs vest 100% on the one-year anniversary of the Effective Date, subject to the Reporting Person's continued service with the Issuer. A copy of the A&amp;R Employment Agreement is attached as an exhibit to the Original Filing and incorporated herein by reference. A copy of the form of RSU Agreement is attached as an exhibit to this Amendment No. 1 and incorporated herein by reference.</w:t>
      </w:r>
    </w:p>
    <w:p>
      <w:pPr>
        <w:spacing w:after="0" w:line="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180" w:firstLine="6"/>
        <w:spacing w:after="0" w:line="253" w:lineRule="auto"/>
        <w:tabs>
          <w:tab w:leader="none" w:pos="113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Amended and Restated Employment Agreement, by and between Bakkt Holdings, Inc. and Akshay Naheta, dated November 14, 2025 (incorporated by reference to Exhibit 10.1 to the Issuer's Current Report on Form 8-K (File No.</w:t>
      </w:r>
    </w:p>
    <w:p>
      <w:pPr>
        <w:ind w:left="920" w:right="24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001-39544) filed with the SEC on November 14, 2025). URL: https://www.sec.gov/Archives/edgar/data/1820302/000162828025052422/bakkt-aremploymentagreemen.htm 2. Amended and Restated Performance Stock Unit Agreement, by and between Bakkt Holdings, Inc. and Akshay Naheta (incorporated by reference to Exhibit 10.2 to the Issuer's Current Report on Form 8-K (File No. 001-39544) filed with the SEC on November 14, 2025). URL: https://www.sec.gov/Archives/edgar/data/1820302/000162828025052422/bakkt-arpsuawardagreementa.htm</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Akshay Sudhir Naheta</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Akshay Sudhir Naheta</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Akshay Sudhir Naheta</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11/18/2025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2025-11-18T20:12:55Z</dcterms:created>
  <dcterms:modified xsi:type="dcterms:W3CDTF">2025-11-18T20:12:55Z</dcterms:modified>
</cp:coreProperties>
</file>