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4"/>
          <w:szCs w:val="24"/>
          <w:color w:val="auto"/>
        </w:rPr>
      </w:pPr>
    </w:p>
    <w:p>
      <w:pPr>
        <w:ind w:left="9940" w:hanging="9854"/>
        <w:spacing w:after="0" w:line="302" w:lineRule="auto"/>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 and all information herein remains strictly confidential. Registration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120015</wp:posOffset>
            </wp:positionV>
            <wp:extent cx="2280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 S-1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 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120015</wp:posOffset>
            </wp:positionV>
            <wp:extent cx="228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VPC Impact Acquisition Holdings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120015</wp:posOffset>
            </wp:positionV>
            <wp:extent cx="2280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p>
      <w:pPr>
        <w:spacing w:after="0" w:line="305" w:lineRule="exact"/>
        <w:rPr>
          <w:sz w:val="24"/>
          <w:szCs w:val="24"/>
          <w:color w:val="auto"/>
        </w:rPr>
      </w:pPr>
    </w:p>
    <w:p>
      <w:pPr>
        <w:ind w:left="1460"/>
        <w:spacing w:after="0"/>
        <w:rPr>
          <w:sz w:val="20"/>
          <w:szCs w:val="20"/>
          <w:color w:val="auto"/>
        </w:rPr>
      </w:pPr>
      <w:r>
        <w:rPr>
          <w:rFonts w:ascii="Arial" w:cs="Arial" w:eastAsia="Arial" w:hAnsi="Arial"/>
          <w:sz w:val="13"/>
          <w:szCs w:val="13"/>
          <w:b w:val="1"/>
          <w:bCs w:val="1"/>
          <w:color w:val="auto"/>
        </w:rPr>
        <w:t>Cayman Islands</w:t>
      </w:r>
    </w:p>
    <w:p>
      <w:pPr>
        <w:spacing w:after="0" w:line="16" w:lineRule="exact"/>
        <w:rPr>
          <w:sz w:val="24"/>
          <w:szCs w:val="24"/>
          <w:color w:val="auto"/>
        </w:rPr>
      </w:pPr>
    </w:p>
    <w:p>
      <w:pPr>
        <w:ind w:left="1060"/>
        <w:spacing w:after="0"/>
        <w:rPr>
          <w:sz w:val="20"/>
          <w:szCs w:val="20"/>
          <w:color w:val="auto"/>
        </w:rPr>
      </w:pPr>
      <w:r>
        <w:rPr>
          <w:rFonts w:ascii="Arial" w:cs="Arial" w:eastAsia="Arial" w:hAnsi="Arial"/>
          <w:sz w:val="13"/>
          <w:szCs w:val="13"/>
          <w:b w:val="1"/>
          <w:bCs w:val="1"/>
          <w:color w:val="auto"/>
        </w:rPr>
        <w:t>(State or other jurisdiction of</w:t>
      </w:r>
    </w:p>
    <w:p>
      <w:pPr>
        <w:ind w:left="10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1280"/>
        <w:spacing w:after="0"/>
        <w:rPr>
          <w:sz w:val="20"/>
          <w:szCs w:val="20"/>
          <w:color w:val="auto"/>
        </w:rPr>
      </w:pPr>
      <w:r>
        <w:rPr>
          <w:rFonts w:ascii="Arial" w:cs="Arial" w:eastAsia="Arial" w:hAnsi="Arial"/>
          <w:sz w:val="13"/>
          <w:szCs w:val="13"/>
          <w:b w:val="1"/>
          <w:bCs w:val="1"/>
          <w:color w:val="auto"/>
        </w:rPr>
        <w:t>6770</w:t>
      </w:r>
    </w:p>
    <w:p>
      <w:pPr>
        <w:spacing w:after="0" w:line="16" w:lineRule="exact"/>
        <w:rPr>
          <w:sz w:val="24"/>
          <w:szCs w:val="24"/>
          <w:color w:val="auto"/>
        </w:rPr>
      </w:pPr>
    </w:p>
    <w:p>
      <w:pPr>
        <w:jc w:val="center"/>
        <w:ind w:right="1280"/>
        <w:spacing w:after="0"/>
        <w:rPr>
          <w:sz w:val="20"/>
          <w:szCs w:val="20"/>
          <w:color w:val="auto"/>
        </w:rPr>
      </w:pPr>
      <w:r>
        <w:rPr>
          <w:rFonts w:ascii="Arial" w:cs="Arial" w:eastAsia="Arial" w:hAnsi="Arial"/>
          <w:sz w:val="13"/>
          <w:szCs w:val="13"/>
          <w:b w:val="1"/>
          <w:bCs w:val="1"/>
          <w:color w:val="auto"/>
        </w:rPr>
        <w:t>(Primary Standard Industrial</w:t>
      </w:r>
    </w:p>
    <w:p>
      <w:pPr>
        <w:jc w:val="center"/>
        <w:ind w:right="128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1020"/>
        <w:spacing w:after="0"/>
        <w:rPr>
          <w:sz w:val="20"/>
          <w:szCs w:val="20"/>
          <w:color w:val="auto"/>
        </w:rPr>
      </w:pPr>
      <w:r>
        <w:rPr>
          <w:rFonts w:ascii="Arial" w:cs="Arial" w:eastAsia="Arial" w:hAnsi="Arial"/>
          <w:sz w:val="13"/>
          <w:szCs w:val="13"/>
          <w:b w:val="1"/>
          <w:bCs w:val="1"/>
          <w:color w:val="auto"/>
        </w:rPr>
        <w:t>98-1550750</w:t>
      </w:r>
    </w:p>
    <w:p>
      <w:pPr>
        <w:spacing w:after="0" w:line="16" w:lineRule="exact"/>
        <w:rPr>
          <w:sz w:val="24"/>
          <w:szCs w:val="24"/>
          <w:color w:val="auto"/>
        </w:rPr>
      </w:pPr>
    </w:p>
    <w:p>
      <w:pPr>
        <w:jc w:val="center"/>
        <w:ind w:right="1020"/>
        <w:spacing w:after="0"/>
        <w:rPr>
          <w:sz w:val="20"/>
          <w:szCs w:val="20"/>
          <w:color w:val="auto"/>
        </w:rPr>
      </w:pPr>
      <w:r>
        <w:rPr>
          <w:rFonts w:ascii="Arial" w:cs="Arial" w:eastAsia="Arial" w:hAnsi="Arial"/>
          <w:sz w:val="13"/>
          <w:szCs w:val="13"/>
          <w:b w:val="1"/>
          <w:bCs w:val="1"/>
          <w:color w:val="auto"/>
        </w:rPr>
        <w:t>(I.R.S. Employer</w:t>
      </w:r>
    </w:p>
    <w:p>
      <w:pPr>
        <w:jc w:val="center"/>
        <w:ind w:right="1020"/>
        <w:spacing w:after="0"/>
        <w:rPr>
          <w:sz w:val="20"/>
          <w:szCs w:val="20"/>
          <w:color w:val="auto"/>
        </w:rPr>
      </w:pPr>
      <w:r>
        <w:rPr>
          <w:rFonts w:ascii="Arial" w:cs="Arial" w:eastAsia="Arial" w:hAnsi="Arial"/>
          <w:sz w:val="13"/>
          <w:szCs w:val="13"/>
          <w:b w:val="1"/>
          <w:bCs w:val="1"/>
          <w:color w:val="auto"/>
        </w:rPr>
        <w:t>Identification Number)</w:t>
      </w:r>
    </w:p>
    <w:p>
      <w:pPr>
        <w:spacing w:after="0" w:line="49" w:lineRule="exact"/>
        <w:rPr>
          <w:sz w:val="24"/>
          <w:szCs w:val="24"/>
          <w:color w:val="auto"/>
        </w:rPr>
      </w:pPr>
    </w:p>
    <w:p>
      <w:pPr>
        <w:sectPr>
          <w:pgSz w:w="11900" w:h="16838" w:orient="portrait"/>
          <w:cols w:equalWidth="0" w:num="3">
            <w:col w:w="4220" w:space="720"/>
            <w:col w:w="3120" w:space="720"/>
            <w:col w:w="2460"/>
          </w:cols>
          <w:pgMar w:left="320" w:top="226" w:right="339" w:bottom="1440" w:gutter="0" w:footer="0" w:header="0"/>
          <w:type w:val="continuous"/>
        </w:sectPr>
      </w:pPr>
    </w:p>
    <w:p>
      <w:pPr>
        <w:ind w:left="4520"/>
        <w:spacing w:after="0"/>
        <w:rPr>
          <w:sz w:val="20"/>
          <w:szCs w:val="20"/>
          <w:color w:val="auto"/>
        </w:rPr>
      </w:pPr>
      <w:r>
        <w:rPr>
          <w:rFonts w:ascii="Arial" w:cs="Arial" w:eastAsia="Arial" w:hAnsi="Arial"/>
          <w:sz w:val="13"/>
          <w:szCs w:val="13"/>
          <w:b w:val="1"/>
          <w:bCs w:val="1"/>
          <w:color w:val="auto"/>
        </w:rPr>
        <w:t>Victory Park Capital Advisors, LLC</w:t>
      </w:r>
    </w:p>
    <w:p>
      <w:pPr>
        <w:spacing w:after="0" w:line="16" w:lineRule="exact"/>
        <w:rPr>
          <w:sz w:val="24"/>
          <w:szCs w:val="24"/>
          <w:color w:val="auto"/>
        </w:rPr>
      </w:pPr>
    </w:p>
    <w:p>
      <w:pPr>
        <w:ind w:left="4420"/>
        <w:spacing w:after="0"/>
        <w:rPr>
          <w:sz w:val="20"/>
          <w:szCs w:val="20"/>
          <w:color w:val="auto"/>
        </w:rPr>
      </w:pPr>
      <w:r>
        <w:rPr>
          <w:rFonts w:ascii="Arial" w:cs="Arial" w:eastAsia="Arial" w:hAnsi="Arial"/>
          <w:sz w:val="13"/>
          <w:szCs w:val="13"/>
          <w:b w:val="1"/>
          <w:bCs w:val="1"/>
          <w:color w:val="auto"/>
        </w:rPr>
        <w:t>150 North Riverside Plaza, Suite 5200</w:t>
      </w:r>
    </w:p>
    <w:p>
      <w:pPr>
        <w:ind w:left="5060"/>
        <w:spacing w:after="0"/>
        <w:rPr>
          <w:sz w:val="20"/>
          <w:szCs w:val="20"/>
          <w:color w:val="auto"/>
        </w:rPr>
      </w:pPr>
      <w:r>
        <w:rPr>
          <w:rFonts w:ascii="Arial" w:cs="Arial" w:eastAsia="Arial" w:hAnsi="Arial"/>
          <w:sz w:val="13"/>
          <w:szCs w:val="13"/>
          <w:b w:val="1"/>
          <w:bCs w:val="1"/>
          <w:color w:val="auto"/>
        </w:rPr>
        <w:t>Chicago, IL 60606</w:t>
      </w:r>
    </w:p>
    <w:p>
      <w:pPr>
        <w:ind w:left="5200"/>
        <w:spacing w:after="0"/>
        <w:rPr>
          <w:sz w:val="20"/>
          <w:szCs w:val="20"/>
          <w:color w:val="auto"/>
        </w:rPr>
      </w:pPr>
      <w:r>
        <w:rPr>
          <w:rFonts w:ascii="Arial" w:cs="Arial" w:eastAsia="Arial" w:hAnsi="Arial"/>
          <w:sz w:val="13"/>
          <w:szCs w:val="13"/>
          <w:b w:val="1"/>
          <w:bCs w:val="1"/>
          <w:color w:val="auto"/>
        </w:rPr>
        <w:t>312-701-1777</w:t>
      </w:r>
    </w:p>
    <w:p>
      <w:pPr>
        <w:sectPr>
          <w:pgSz w:w="11900" w:h="16838" w:orient="portrait"/>
          <w:cols w:equalWidth="0" w:num="1">
            <w:col w:w="11240"/>
          </w:cols>
          <w:pgMar w:left="320" w:top="22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110490</wp:posOffset>
            </wp:positionV>
            <wp:extent cx="228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Scott R. Zemnick</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Victory Park Capital Advisors, LLC</w:t>
      </w:r>
    </w:p>
    <w:p>
      <w:pPr>
        <w:jc w:val="center"/>
        <w:spacing w:after="0"/>
        <w:rPr>
          <w:sz w:val="20"/>
          <w:szCs w:val="20"/>
          <w:color w:val="auto"/>
        </w:rPr>
      </w:pPr>
      <w:r>
        <w:rPr>
          <w:rFonts w:ascii="Arial" w:cs="Arial" w:eastAsia="Arial" w:hAnsi="Arial"/>
          <w:sz w:val="13"/>
          <w:szCs w:val="13"/>
          <w:b w:val="1"/>
          <w:bCs w:val="1"/>
          <w:color w:val="auto"/>
        </w:rPr>
        <w:t>150 North Riverside Plaza, Suite 5200</w:t>
      </w:r>
    </w:p>
    <w:p>
      <w:pPr>
        <w:jc w:val="center"/>
        <w:spacing w:after="0"/>
        <w:rPr>
          <w:sz w:val="20"/>
          <w:szCs w:val="20"/>
          <w:color w:val="auto"/>
        </w:rPr>
      </w:pPr>
      <w:r>
        <w:rPr>
          <w:rFonts w:ascii="Arial" w:cs="Arial" w:eastAsia="Arial" w:hAnsi="Arial"/>
          <w:sz w:val="13"/>
          <w:szCs w:val="13"/>
          <w:b w:val="1"/>
          <w:bCs w:val="1"/>
          <w:color w:val="auto"/>
        </w:rPr>
        <w:t>Chicago, IL 60606</w:t>
      </w:r>
    </w:p>
    <w:p>
      <w:pPr>
        <w:jc w:val="center"/>
        <w:spacing w:after="0"/>
        <w:rPr>
          <w:sz w:val="20"/>
          <w:szCs w:val="20"/>
          <w:color w:val="auto"/>
        </w:rPr>
      </w:pPr>
      <w:r>
        <w:rPr>
          <w:rFonts w:ascii="Arial" w:cs="Arial" w:eastAsia="Arial" w:hAnsi="Arial"/>
          <w:sz w:val="13"/>
          <w:szCs w:val="13"/>
          <w:b w:val="1"/>
          <w:bCs w:val="1"/>
          <w:color w:val="auto"/>
        </w:rPr>
        <w:t>312-705-2786</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120015</wp:posOffset>
            </wp:positionV>
            <wp:extent cx="2280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30" w:lineRule="exact"/>
        <w:rPr>
          <w:sz w:val="24"/>
          <w:szCs w:val="24"/>
          <w:color w:val="auto"/>
        </w:rPr>
      </w:pPr>
    </w:p>
    <w:tbl>
      <w:tblPr>
        <w:tblLayout w:type="fixed"/>
        <w:tblInd w:w="1040" w:type="dxa"/>
        <w:tblCellMar>
          <w:top w:w="0" w:type="dxa"/>
          <w:left w:w="0" w:type="dxa"/>
          <w:bottom w:w="0" w:type="dxa"/>
          <w:right w:w="0" w:type="dxa"/>
        </w:tblCellMar>
      </w:tblPr>
      <w:tr>
        <w:trPr>
          <w:trHeight w:val="174"/>
        </w:trPr>
        <w:tc>
          <w:tcPr>
            <w:tcW w:w="2800" w:type="dxa"/>
            <w:vAlign w:val="bottom"/>
          </w:tcPr>
          <w:p>
            <w:pPr>
              <w:spacing w:after="0"/>
              <w:rPr>
                <w:sz w:val="15"/>
                <w:szCs w:val="15"/>
                <w:color w:val="auto"/>
              </w:rPr>
            </w:pPr>
          </w:p>
        </w:tc>
        <w:tc>
          <w:tcPr>
            <w:tcW w:w="3780" w:type="dxa"/>
            <w:vAlign w:val="bottom"/>
          </w:tcPr>
          <w:p>
            <w:pPr>
              <w:ind w:left="1480"/>
              <w:spacing w:after="0"/>
              <w:rPr>
                <w:sz w:val="20"/>
                <w:szCs w:val="20"/>
                <w:color w:val="auto"/>
              </w:rPr>
            </w:pPr>
            <w:r>
              <w:rPr>
                <w:rFonts w:ascii="Arial" w:cs="Arial" w:eastAsia="Arial" w:hAnsi="Arial"/>
                <w:sz w:val="13"/>
                <w:szCs w:val="13"/>
                <w:b w:val="1"/>
                <w:bCs w:val="1"/>
                <w:i w:val="1"/>
                <w:iCs w:val="1"/>
                <w:color w:val="auto"/>
              </w:rPr>
              <w:t>Copies to:</w:t>
            </w:r>
          </w:p>
        </w:tc>
        <w:tc>
          <w:tcPr>
            <w:tcW w:w="2620" w:type="dxa"/>
            <w:vAlign w:val="bottom"/>
          </w:tcPr>
          <w:p>
            <w:pPr>
              <w:spacing w:after="0"/>
              <w:rPr>
                <w:sz w:val="15"/>
                <w:szCs w:val="15"/>
                <w:color w:val="auto"/>
              </w:rPr>
            </w:pPr>
          </w:p>
        </w:tc>
      </w:tr>
      <w:tr>
        <w:trPr>
          <w:trHeight w:val="214"/>
        </w:trPr>
        <w:tc>
          <w:tcPr>
            <w:tcW w:w="2800" w:type="dxa"/>
            <w:vAlign w:val="bottom"/>
          </w:tcPr>
          <w:p>
            <w:pPr>
              <w:jc w:val="center"/>
              <w:ind w:right="997"/>
              <w:spacing w:after="0"/>
              <w:rPr>
                <w:sz w:val="20"/>
                <w:szCs w:val="20"/>
                <w:color w:val="auto"/>
              </w:rPr>
            </w:pPr>
            <w:r>
              <w:rPr>
                <w:rFonts w:ascii="Arial" w:cs="Arial" w:eastAsia="Arial" w:hAnsi="Arial"/>
                <w:sz w:val="13"/>
                <w:szCs w:val="13"/>
                <w:b w:val="1"/>
                <w:bCs w:val="1"/>
                <w:color w:val="auto"/>
                <w:w w:val="98"/>
              </w:rPr>
              <w:t>Joel L. Rubinstein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6"/>
              </w:rPr>
              <w:t>Matthew Gardner</w:t>
            </w:r>
          </w:p>
        </w:tc>
        <w:tc>
          <w:tcPr>
            <w:tcW w:w="2620" w:type="dxa"/>
            <w:vAlign w:val="bottom"/>
          </w:tcPr>
          <w:p>
            <w:pPr>
              <w:jc w:val="center"/>
              <w:ind w:left="977"/>
              <w:spacing w:after="0"/>
              <w:rPr>
                <w:sz w:val="20"/>
                <w:szCs w:val="20"/>
                <w:color w:val="auto"/>
              </w:rPr>
            </w:pPr>
            <w:r>
              <w:rPr>
                <w:rFonts w:ascii="Arial" w:cs="Arial" w:eastAsia="Arial" w:hAnsi="Arial"/>
                <w:sz w:val="13"/>
                <w:szCs w:val="13"/>
                <w:b w:val="1"/>
                <w:bCs w:val="1"/>
                <w:color w:val="auto"/>
                <w:w w:val="97"/>
              </w:rPr>
              <w:t>Christian Nagler</w:t>
            </w:r>
          </w:p>
        </w:tc>
      </w:tr>
      <w:tr>
        <w:trPr>
          <w:trHeight w:val="135"/>
        </w:trPr>
        <w:tc>
          <w:tcPr>
            <w:tcW w:w="2800" w:type="dxa"/>
            <w:vAlign w:val="bottom"/>
          </w:tcPr>
          <w:p>
            <w:pPr>
              <w:jc w:val="center"/>
              <w:ind w:right="997"/>
              <w:spacing w:after="0" w:line="135" w:lineRule="exact"/>
              <w:rPr>
                <w:sz w:val="20"/>
                <w:szCs w:val="20"/>
                <w:color w:val="auto"/>
              </w:rPr>
            </w:pPr>
            <w:r>
              <w:rPr>
                <w:rFonts w:ascii="Arial" w:cs="Arial" w:eastAsia="Arial" w:hAnsi="Arial"/>
                <w:sz w:val="13"/>
                <w:szCs w:val="13"/>
                <w:b w:val="1"/>
                <w:bCs w:val="1"/>
                <w:color w:val="auto"/>
                <w:w w:val="95"/>
              </w:rPr>
              <w:t>Elliott M. Smith</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Michael Johns</w:t>
            </w:r>
          </w:p>
        </w:tc>
        <w:tc>
          <w:tcPr>
            <w:tcW w:w="2620" w:type="dxa"/>
            <w:vAlign w:val="bottom"/>
          </w:tcPr>
          <w:p>
            <w:pPr>
              <w:jc w:val="center"/>
              <w:ind w:left="957"/>
              <w:spacing w:after="0" w:line="135" w:lineRule="exact"/>
              <w:rPr>
                <w:sz w:val="20"/>
                <w:szCs w:val="20"/>
                <w:color w:val="auto"/>
              </w:rPr>
            </w:pPr>
            <w:r>
              <w:rPr>
                <w:rFonts w:ascii="Arial" w:cs="Arial" w:eastAsia="Arial" w:hAnsi="Arial"/>
                <w:sz w:val="13"/>
                <w:szCs w:val="13"/>
                <w:b w:val="1"/>
                <w:bCs w:val="1"/>
                <w:color w:val="auto"/>
                <w:w w:val="97"/>
              </w:rPr>
              <w:t>Peter Seligson</w:t>
            </w:r>
          </w:p>
        </w:tc>
      </w:tr>
      <w:tr>
        <w:trPr>
          <w:trHeight w:val="135"/>
        </w:trPr>
        <w:tc>
          <w:tcPr>
            <w:tcW w:w="2800" w:type="dxa"/>
            <w:vAlign w:val="bottom"/>
          </w:tcPr>
          <w:p>
            <w:pPr>
              <w:jc w:val="center"/>
              <w:ind w:right="977"/>
              <w:spacing w:after="0" w:line="135" w:lineRule="exact"/>
              <w:rPr>
                <w:sz w:val="20"/>
                <w:szCs w:val="20"/>
                <w:color w:val="auto"/>
              </w:rPr>
            </w:pPr>
            <w:r>
              <w:rPr>
                <w:rFonts w:ascii="Arial" w:cs="Arial" w:eastAsia="Arial" w:hAnsi="Arial"/>
                <w:sz w:val="13"/>
                <w:szCs w:val="13"/>
                <w:b w:val="1"/>
                <w:bCs w:val="1"/>
                <w:color w:val="auto"/>
                <w:w w:val="97"/>
              </w:rPr>
              <w:t>White &amp; Case LLP</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Maples and Calder</w:t>
            </w:r>
          </w:p>
        </w:tc>
        <w:tc>
          <w:tcPr>
            <w:tcW w:w="2620" w:type="dxa"/>
            <w:vAlign w:val="bottom"/>
          </w:tcPr>
          <w:p>
            <w:pPr>
              <w:jc w:val="center"/>
              <w:ind w:left="957"/>
              <w:spacing w:after="0" w:line="135" w:lineRule="exact"/>
              <w:rPr>
                <w:sz w:val="20"/>
                <w:szCs w:val="20"/>
                <w:color w:val="auto"/>
              </w:rPr>
            </w:pPr>
            <w:r>
              <w:rPr>
                <w:rFonts w:ascii="Arial" w:cs="Arial" w:eastAsia="Arial" w:hAnsi="Arial"/>
                <w:sz w:val="13"/>
                <w:szCs w:val="13"/>
                <w:b w:val="1"/>
                <w:bCs w:val="1"/>
                <w:color w:val="auto"/>
                <w:w w:val="97"/>
              </w:rPr>
              <w:t>Kirkland &amp; Ellis LLP</w:t>
            </w:r>
          </w:p>
        </w:tc>
      </w:tr>
      <w:tr>
        <w:trPr>
          <w:trHeight w:val="135"/>
        </w:trPr>
        <w:tc>
          <w:tcPr>
            <w:tcW w:w="2800" w:type="dxa"/>
            <w:vAlign w:val="bottom"/>
          </w:tcPr>
          <w:p>
            <w:pPr>
              <w:jc w:val="center"/>
              <w:ind w:right="997"/>
              <w:spacing w:after="0" w:line="135" w:lineRule="exact"/>
              <w:rPr>
                <w:sz w:val="20"/>
                <w:szCs w:val="20"/>
                <w:color w:val="auto"/>
              </w:rPr>
            </w:pPr>
            <w:r>
              <w:rPr>
                <w:rFonts w:ascii="Arial" w:cs="Arial" w:eastAsia="Arial" w:hAnsi="Arial"/>
                <w:sz w:val="13"/>
                <w:szCs w:val="13"/>
                <w:b w:val="1"/>
                <w:bCs w:val="1"/>
                <w:color w:val="auto"/>
                <w:w w:val="96"/>
              </w:rPr>
              <w:t>1221 Avenue of the Americas</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P.O. Box 309, Ugland House</w:t>
            </w:r>
          </w:p>
        </w:tc>
        <w:tc>
          <w:tcPr>
            <w:tcW w:w="2620" w:type="dxa"/>
            <w:vAlign w:val="bottom"/>
          </w:tcPr>
          <w:p>
            <w:pPr>
              <w:jc w:val="center"/>
              <w:ind w:left="977"/>
              <w:spacing w:after="0" w:line="135" w:lineRule="exact"/>
              <w:rPr>
                <w:sz w:val="20"/>
                <w:szCs w:val="20"/>
                <w:color w:val="auto"/>
              </w:rPr>
            </w:pPr>
            <w:r>
              <w:rPr>
                <w:rFonts w:ascii="Arial" w:cs="Arial" w:eastAsia="Arial" w:hAnsi="Arial"/>
                <w:sz w:val="13"/>
                <w:szCs w:val="13"/>
                <w:b w:val="1"/>
                <w:bCs w:val="1"/>
                <w:color w:val="auto"/>
                <w:w w:val="95"/>
              </w:rPr>
              <w:t>601 Lexington Ave</w:t>
            </w:r>
          </w:p>
        </w:tc>
      </w:tr>
      <w:tr>
        <w:trPr>
          <w:trHeight w:val="135"/>
        </w:trPr>
        <w:tc>
          <w:tcPr>
            <w:tcW w:w="2800" w:type="dxa"/>
            <w:vAlign w:val="bottom"/>
          </w:tcPr>
          <w:p>
            <w:pPr>
              <w:jc w:val="center"/>
              <w:ind w:right="997"/>
              <w:spacing w:after="0" w:line="135" w:lineRule="exact"/>
              <w:rPr>
                <w:sz w:val="20"/>
                <w:szCs w:val="20"/>
                <w:color w:val="auto"/>
              </w:rPr>
            </w:pPr>
            <w:r>
              <w:rPr>
                <w:rFonts w:ascii="Arial" w:cs="Arial" w:eastAsia="Arial" w:hAnsi="Arial"/>
                <w:sz w:val="13"/>
                <w:szCs w:val="13"/>
                <w:b w:val="1"/>
                <w:bCs w:val="1"/>
                <w:color w:val="auto"/>
                <w:w w:val="95"/>
              </w:rPr>
              <w:t>New York, New York 10020</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Grand Cayman</w:t>
            </w:r>
          </w:p>
        </w:tc>
        <w:tc>
          <w:tcPr>
            <w:tcW w:w="2620" w:type="dxa"/>
            <w:vAlign w:val="bottom"/>
          </w:tcPr>
          <w:p>
            <w:pPr>
              <w:jc w:val="center"/>
              <w:ind w:left="977"/>
              <w:spacing w:after="0" w:line="135" w:lineRule="exact"/>
              <w:rPr>
                <w:sz w:val="20"/>
                <w:szCs w:val="20"/>
                <w:color w:val="auto"/>
              </w:rPr>
            </w:pPr>
            <w:r>
              <w:rPr>
                <w:rFonts w:ascii="Arial" w:cs="Arial" w:eastAsia="Arial" w:hAnsi="Arial"/>
                <w:sz w:val="13"/>
                <w:szCs w:val="13"/>
                <w:b w:val="1"/>
                <w:bCs w:val="1"/>
                <w:color w:val="auto"/>
                <w:w w:val="95"/>
              </w:rPr>
              <w:t>New York, New York 10022</w:t>
            </w:r>
          </w:p>
        </w:tc>
      </w:tr>
      <w:tr>
        <w:trPr>
          <w:trHeight w:val="135"/>
        </w:trPr>
        <w:tc>
          <w:tcPr>
            <w:tcW w:w="2800" w:type="dxa"/>
            <w:vAlign w:val="bottom"/>
          </w:tcPr>
          <w:p>
            <w:pPr>
              <w:jc w:val="center"/>
              <w:ind w:right="997"/>
              <w:spacing w:after="0" w:line="135" w:lineRule="exact"/>
              <w:rPr>
                <w:sz w:val="20"/>
                <w:szCs w:val="20"/>
                <w:color w:val="auto"/>
              </w:rPr>
            </w:pPr>
            <w:r>
              <w:rPr>
                <w:rFonts w:ascii="Arial" w:cs="Arial" w:eastAsia="Arial" w:hAnsi="Arial"/>
                <w:sz w:val="13"/>
                <w:szCs w:val="13"/>
                <w:b w:val="1"/>
                <w:bCs w:val="1"/>
                <w:color w:val="auto"/>
                <w:w w:val="95"/>
              </w:rPr>
              <w:t>Tel: (212) 819-8200</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KY1-1104</w:t>
            </w:r>
          </w:p>
        </w:tc>
        <w:tc>
          <w:tcPr>
            <w:tcW w:w="2620" w:type="dxa"/>
            <w:vAlign w:val="bottom"/>
          </w:tcPr>
          <w:p>
            <w:pPr>
              <w:jc w:val="center"/>
              <w:ind w:left="957"/>
              <w:spacing w:after="0" w:line="135" w:lineRule="exact"/>
              <w:rPr>
                <w:sz w:val="20"/>
                <w:szCs w:val="20"/>
                <w:color w:val="auto"/>
              </w:rPr>
            </w:pPr>
            <w:r>
              <w:rPr>
                <w:rFonts w:ascii="Arial" w:cs="Arial" w:eastAsia="Arial" w:hAnsi="Arial"/>
                <w:sz w:val="13"/>
                <w:szCs w:val="13"/>
                <w:b w:val="1"/>
                <w:bCs w:val="1"/>
                <w:color w:val="auto"/>
                <w:w w:val="96"/>
              </w:rPr>
              <w:t>Tel: (212) 370-1300</w:t>
            </w:r>
          </w:p>
        </w:tc>
      </w:tr>
      <w:tr>
        <w:trPr>
          <w:trHeight w:val="135"/>
        </w:trPr>
        <w:tc>
          <w:tcPr>
            <w:tcW w:w="2800" w:type="dxa"/>
            <w:vAlign w:val="bottom"/>
          </w:tcPr>
          <w:p>
            <w:pPr>
              <w:spacing w:after="0"/>
              <w:rPr>
                <w:sz w:val="11"/>
                <w:szCs w:val="11"/>
                <w:color w:val="auto"/>
              </w:rPr>
            </w:pP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Cayman Islands</w:t>
            </w:r>
          </w:p>
        </w:tc>
        <w:tc>
          <w:tcPr>
            <w:tcW w:w="2620" w:type="dxa"/>
            <w:vAlign w:val="bottom"/>
          </w:tcPr>
          <w:p>
            <w:pPr>
              <w:spacing w:after="0"/>
              <w:rPr>
                <w:sz w:val="11"/>
                <w:szCs w:val="11"/>
                <w:color w:val="auto"/>
              </w:rPr>
            </w:pPr>
          </w:p>
        </w:tc>
      </w:tr>
      <w:tr>
        <w:trPr>
          <w:trHeight w:val="178"/>
        </w:trPr>
        <w:tc>
          <w:tcPr>
            <w:tcW w:w="2800" w:type="dxa"/>
            <w:vAlign w:val="bottom"/>
          </w:tcPr>
          <w:p>
            <w:pPr>
              <w:spacing w:after="0"/>
              <w:rPr>
                <w:sz w:val="15"/>
                <w:szCs w:val="15"/>
                <w:color w:val="auto"/>
              </w:rPr>
            </w:pP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5"/>
              </w:rPr>
              <w:t>Tel: (345) 949-8066</w:t>
            </w:r>
          </w:p>
        </w:tc>
        <w:tc>
          <w:tcPr>
            <w:tcW w:w="26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107950</wp:posOffset>
            </wp:positionV>
            <wp:extent cx="2280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0"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1" w:lineRule="exact"/>
        <w:rPr>
          <w:sz w:val="24"/>
          <w:szCs w:val="24"/>
          <w:color w:val="auto"/>
        </w:rPr>
      </w:pPr>
    </w:p>
    <w:p>
      <w:pPr>
        <w:ind w:right="140"/>
        <w:spacing w:after="0" w:line="166"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4" w:lineRule="exact"/>
        <w:rPr>
          <w:sz w:val="24"/>
          <w:szCs w:val="24"/>
          <w:color w:val="auto"/>
        </w:rPr>
      </w:pPr>
    </w:p>
    <w:p>
      <w:pPr>
        <w:ind w:right="120"/>
        <w:spacing w:after="0" w:line="166"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1" w:lineRule="exact"/>
        <w:rPr>
          <w:sz w:val="24"/>
          <w:szCs w:val="24"/>
          <w:color w:val="auto"/>
        </w:rPr>
      </w:pPr>
    </w:p>
    <w:p>
      <w:pPr>
        <w:ind w:right="60"/>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w:t>
      </w:r>
      <w:r>
        <w:rPr>
          <w:rFonts w:ascii="Arial" w:cs="Arial" w:eastAsia="Arial" w:hAnsi="Arial"/>
          <w:sz w:val="13"/>
          <w:szCs w:val="13"/>
          <w:i w:val="1"/>
          <w:iCs w:val="1"/>
          <w:color w:val="auto"/>
        </w:rPr>
        <w:t>large accelerated filer</w:t>
      </w:r>
      <w:r>
        <w:rPr>
          <w:rFonts w:ascii="Arial" w:cs="Arial" w:eastAsia="Arial" w:hAnsi="Arial"/>
          <w:sz w:val="13"/>
          <w:szCs w:val="13"/>
          <w:color w:val="auto"/>
        </w:rPr>
        <w:t>,” “</w:t>
      </w:r>
      <w:r>
        <w:rPr>
          <w:rFonts w:ascii="Arial" w:cs="Arial" w:eastAsia="Arial" w:hAnsi="Arial"/>
          <w:sz w:val="13"/>
          <w:szCs w:val="13"/>
          <w:i w:val="1"/>
          <w:iCs w:val="1"/>
          <w:color w:val="auto"/>
        </w:rPr>
        <w:t>accelerated filer</w:t>
      </w:r>
      <w:r>
        <w:rPr>
          <w:rFonts w:ascii="Arial" w:cs="Arial" w:eastAsia="Arial" w:hAnsi="Arial"/>
          <w:sz w:val="13"/>
          <w:szCs w:val="13"/>
          <w:color w:val="auto"/>
        </w:rPr>
        <w:t>,” “</w:t>
      </w:r>
      <w:r>
        <w:rPr>
          <w:rFonts w:ascii="Arial" w:cs="Arial" w:eastAsia="Arial" w:hAnsi="Arial"/>
          <w:sz w:val="13"/>
          <w:szCs w:val="13"/>
          <w:i w:val="1"/>
          <w:iCs w:val="1"/>
          <w:color w:val="auto"/>
        </w:rPr>
        <w:t>smaller reporting company</w:t>
      </w:r>
      <w:r>
        <w:rPr>
          <w:rFonts w:ascii="Arial" w:cs="Arial" w:eastAsia="Arial" w:hAnsi="Arial"/>
          <w:sz w:val="13"/>
          <w:szCs w:val="13"/>
          <w:color w:val="auto"/>
        </w:rPr>
        <w:t>” and “</w:t>
      </w:r>
      <w:r>
        <w:rPr>
          <w:rFonts w:ascii="Arial" w:cs="Arial" w:eastAsia="Arial" w:hAnsi="Arial"/>
          <w:sz w:val="13"/>
          <w:szCs w:val="13"/>
          <w:i w:val="1"/>
          <w:iCs w:val="1"/>
          <w:color w:val="auto"/>
        </w:rPr>
        <w:t>emerging growth company</w:t>
      </w:r>
      <w:r>
        <w:rPr>
          <w:rFonts w:ascii="Arial" w:cs="Arial" w:eastAsia="Arial" w:hAnsi="Arial"/>
          <w:sz w:val="13"/>
          <w:szCs w:val="13"/>
          <w:color w:val="auto"/>
        </w:rPr>
        <w:t>” in Rule 12b-2 of the Exchange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00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340" w:type="dxa"/>
            <w:vAlign w:val="bottom"/>
          </w:tcPr>
          <w:p>
            <w:pPr>
              <w:ind w:left="3640"/>
              <w:spacing w:after="0"/>
              <w:rPr>
                <w:sz w:val="20"/>
                <w:szCs w:val="20"/>
                <w:color w:val="auto"/>
              </w:rPr>
            </w:pPr>
            <w:r>
              <w:rPr>
                <w:rFonts w:ascii="Arial" w:cs="Arial" w:eastAsia="Arial" w:hAnsi="Arial"/>
                <w:sz w:val="13"/>
                <w:szCs w:val="13"/>
                <w:color w:val="auto"/>
              </w:rPr>
              <w:t>Accelerated filer</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480" w:type="dxa"/>
            <w:vAlign w:val="bottom"/>
          </w:tcPr>
          <w:p>
            <w:pPr>
              <w:spacing w:after="0"/>
              <w:rPr>
                <w:sz w:val="20"/>
                <w:szCs w:val="20"/>
                <w:color w:val="auto"/>
              </w:rPr>
            </w:pPr>
            <w:r>
              <w:rPr>
                <w:rFonts w:ascii="Arial" w:cs="Arial" w:eastAsia="Arial" w:hAnsi="Arial"/>
                <w:sz w:val="13"/>
                <w:szCs w:val="13"/>
                <w:color w:val="auto"/>
              </w:rPr>
              <w:t>Non-accelerated filer</w:t>
            </w:r>
          </w:p>
        </w:tc>
        <w:tc>
          <w:tcPr>
            <w:tcW w:w="400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340" w:type="dxa"/>
            <w:vAlign w:val="bottom"/>
          </w:tcPr>
          <w:p>
            <w:pPr>
              <w:ind w:left="3640"/>
              <w:spacing w:after="0"/>
              <w:rPr>
                <w:sz w:val="20"/>
                <w:szCs w:val="20"/>
                <w:color w:val="auto"/>
              </w:rPr>
            </w:pPr>
            <w:r>
              <w:rPr>
                <w:rFonts w:ascii="Arial" w:cs="Arial" w:eastAsia="Arial" w:hAnsi="Arial"/>
                <w:sz w:val="13"/>
                <w:szCs w:val="13"/>
                <w:color w:val="auto"/>
              </w:rPr>
              <w:t>Smaller reporting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4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340" w:type="dxa"/>
            <w:vAlign w:val="bottom"/>
          </w:tcPr>
          <w:p>
            <w:pPr>
              <w:ind w:left="3640"/>
              <w:spacing w:after="0"/>
              <w:rPr>
                <w:sz w:val="20"/>
                <w:szCs w:val="20"/>
                <w:color w:val="auto"/>
              </w:rPr>
            </w:pPr>
            <w:r>
              <w:rPr>
                <w:rFonts w:ascii="Arial" w:cs="Arial" w:eastAsia="Arial" w:hAnsi="Arial"/>
                <w:sz w:val="13"/>
                <w:szCs w:val="13"/>
                <w:color w:val="auto"/>
              </w:rPr>
              <w:t>Emerging growth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2" w:lineRule="exact"/>
        <w:rPr>
          <w:sz w:val="24"/>
          <w:szCs w:val="24"/>
          <w:color w:val="auto"/>
        </w:rPr>
      </w:pPr>
    </w:p>
    <w:p>
      <w:pPr>
        <w:ind w:right="44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0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408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jc w:val="center"/>
              <w:ind w:left="14"/>
              <w:spacing w:after="0" w:line="127" w:lineRule="exact"/>
              <w:rPr>
                <w:sz w:val="20"/>
                <w:szCs w:val="20"/>
                <w:color w:val="auto"/>
              </w:rPr>
            </w:pPr>
            <w:r>
              <w:rPr>
                <w:rFonts w:ascii="Arial" w:cs="Arial" w:eastAsia="Arial" w:hAnsi="Arial"/>
                <w:sz w:val="14"/>
                <w:szCs w:val="14"/>
                <w:b w:val="1"/>
                <w:bCs w:val="1"/>
                <w:color w:val="auto"/>
              </w:rPr>
              <w:t>Proposed Maximum</w:t>
            </w:r>
          </w:p>
        </w:tc>
        <w:tc>
          <w:tcPr>
            <w:tcW w:w="178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rPr>
              <w:t>Proposed Maximum</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8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jc w:val="center"/>
              <w:ind w:left="34"/>
              <w:spacing w:after="0" w:line="159" w:lineRule="exact"/>
              <w:rPr>
                <w:sz w:val="20"/>
                <w:szCs w:val="20"/>
                <w:color w:val="auto"/>
              </w:rPr>
            </w:pPr>
            <w:r>
              <w:rPr>
                <w:rFonts w:ascii="Arial" w:cs="Arial" w:eastAsia="Arial" w:hAnsi="Arial"/>
                <w:sz w:val="14"/>
                <w:szCs w:val="14"/>
                <w:b w:val="1"/>
                <w:bCs w:val="1"/>
                <w:color w:val="auto"/>
              </w:rPr>
              <w:t>Amount Being</w:t>
            </w:r>
          </w:p>
        </w:tc>
        <w:tc>
          <w:tcPr>
            <w:tcW w:w="1820" w:type="dxa"/>
            <w:vAlign w:val="bottom"/>
            <w:tcBorders>
              <w:right w:val="single" w:sz="8" w:color="auto"/>
            </w:tcBorders>
          </w:tcPr>
          <w:p>
            <w:pPr>
              <w:jc w:val="center"/>
              <w:ind w:left="14"/>
              <w:spacing w:after="0" w:line="159" w:lineRule="exact"/>
              <w:rPr>
                <w:sz w:val="20"/>
                <w:szCs w:val="20"/>
                <w:color w:val="auto"/>
              </w:rPr>
            </w:pPr>
            <w:r>
              <w:rPr>
                <w:rFonts w:ascii="Arial" w:cs="Arial" w:eastAsia="Arial" w:hAnsi="Arial"/>
                <w:sz w:val="14"/>
                <w:szCs w:val="14"/>
                <w:b w:val="1"/>
                <w:bCs w:val="1"/>
                <w:color w:val="auto"/>
              </w:rPr>
              <w:t>Offering Price</w:t>
            </w:r>
          </w:p>
        </w:tc>
        <w:tc>
          <w:tcPr>
            <w:tcW w:w="17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Aggregate</w:t>
            </w:r>
          </w:p>
        </w:tc>
        <w:tc>
          <w:tcPr>
            <w:tcW w:w="1760" w:type="dxa"/>
            <w:vAlign w:val="bottom"/>
          </w:tcPr>
          <w:p>
            <w:pPr>
              <w:jc w:val="center"/>
              <w:ind w:left="14"/>
              <w:spacing w:after="0" w:line="15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81"/>
        </w:trPr>
        <w:tc>
          <w:tcPr>
            <w:tcW w:w="4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Security Being Registered</w:t>
            </w:r>
          </w:p>
        </w:tc>
        <w:tc>
          <w:tcPr>
            <w:tcW w:w="1800" w:type="dxa"/>
            <w:vAlign w:val="bottom"/>
            <w:tcBorders>
              <w:bottom w:val="single" w:sz="8" w:color="auto"/>
              <w:right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Registered</w:t>
            </w:r>
          </w:p>
        </w:tc>
        <w:tc>
          <w:tcPr>
            <w:tcW w:w="1820" w:type="dxa"/>
            <w:vAlign w:val="bottom"/>
            <w:tcBorders>
              <w:bottom w:val="single" w:sz="8" w:color="auto"/>
              <w:right w:val="single" w:sz="8" w:color="auto"/>
            </w:tcBorders>
          </w:tcPr>
          <w:p>
            <w:pPr>
              <w:jc w:val="center"/>
              <w:ind w:left="14"/>
              <w:spacing w:after="0" w:line="181" w:lineRule="exact"/>
              <w:rPr>
                <w:sz w:val="20"/>
                <w:szCs w:val="20"/>
                <w:color w:val="auto"/>
              </w:rPr>
            </w:pPr>
            <w:r>
              <w:rPr>
                <w:rFonts w:ascii="Arial" w:cs="Arial" w:eastAsia="Arial" w:hAnsi="Arial"/>
                <w:sz w:val="12"/>
                <w:szCs w:val="12"/>
                <w:b w:val="1"/>
                <w:bCs w:val="1"/>
                <w:color w:val="auto"/>
              </w:rPr>
              <w:t>per Security</w:t>
            </w:r>
            <w:r>
              <w:rPr>
                <w:rFonts w:ascii="Arial" w:cs="Arial" w:eastAsia="Arial" w:hAnsi="Arial"/>
                <w:sz w:val="20"/>
                <w:szCs w:val="20"/>
                <w:b w:val="1"/>
                <w:bCs w:val="1"/>
                <w:color w:val="auto"/>
                <w:vertAlign w:val="superscript"/>
              </w:rPr>
              <w:t>(1)</w:t>
            </w:r>
          </w:p>
        </w:tc>
        <w:tc>
          <w:tcPr>
            <w:tcW w:w="1780" w:type="dxa"/>
            <w:vAlign w:val="bottom"/>
            <w:tcBorders>
              <w:bottom w:val="single" w:sz="8" w:color="auto"/>
              <w:right w:val="single" w:sz="8" w:color="auto"/>
            </w:tcBorders>
          </w:tcPr>
          <w:p>
            <w:pPr>
              <w:jc w:val="center"/>
              <w:ind w:left="15"/>
              <w:spacing w:after="0" w:line="181" w:lineRule="exact"/>
              <w:rPr>
                <w:sz w:val="20"/>
                <w:szCs w:val="20"/>
                <w:color w:val="auto"/>
              </w:rPr>
            </w:pPr>
            <w:r>
              <w:rPr>
                <w:rFonts w:ascii="Arial" w:cs="Arial" w:eastAsia="Arial" w:hAnsi="Arial"/>
                <w:sz w:val="12"/>
                <w:szCs w:val="12"/>
                <w:b w:val="1"/>
                <w:bCs w:val="1"/>
                <w:color w:val="auto"/>
              </w:rPr>
              <w:t>Offering Price</w:t>
            </w:r>
            <w:r>
              <w:rPr>
                <w:rFonts w:ascii="Arial" w:cs="Arial" w:eastAsia="Arial" w:hAnsi="Arial"/>
                <w:sz w:val="20"/>
                <w:szCs w:val="20"/>
                <w:b w:val="1"/>
                <w:bCs w:val="1"/>
                <w:color w:val="auto"/>
                <w:vertAlign w:val="superscript"/>
              </w:rPr>
              <w:t>(1)</w:t>
            </w:r>
          </w:p>
        </w:tc>
        <w:tc>
          <w:tcPr>
            <w:tcW w:w="17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07"/>
        </w:trPr>
        <w:tc>
          <w:tcPr>
            <w:tcW w:w="4080" w:type="dxa"/>
            <w:vAlign w:val="bottom"/>
            <w:tcBorders>
              <w:right w:val="single" w:sz="8" w:color="auto"/>
            </w:tcBorders>
          </w:tcPr>
          <w:p>
            <w:pPr>
              <w:spacing w:after="0" w:line="107" w:lineRule="exact"/>
              <w:rPr>
                <w:sz w:val="20"/>
                <w:szCs w:val="20"/>
                <w:color w:val="auto"/>
              </w:rPr>
            </w:pPr>
            <w:r>
              <w:rPr>
                <w:rFonts w:ascii="Arial" w:cs="Arial" w:eastAsia="Arial" w:hAnsi="Arial"/>
                <w:sz w:val="12"/>
                <w:szCs w:val="12"/>
                <w:color w:val="auto"/>
              </w:rPr>
              <w:t>Units, each consisting of one Class A ordinary share, $0.0001 par value,</w:t>
            </w:r>
          </w:p>
        </w:tc>
        <w:tc>
          <w:tcPr>
            <w:tcW w:w="1800" w:type="dxa"/>
            <w:vAlign w:val="bottom"/>
            <w:tcBorders>
              <w:right w:val="single" w:sz="8" w:color="auto"/>
            </w:tcBorders>
            <w:vMerge w:val="restart"/>
          </w:tcPr>
          <w:p>
            <w:pPr>
              <w:jc w:val="center"/>
              <w:ind w:left="14"/>
              <w:spacing w:after="0"/>
              <w:rPr>
                <w:sz w:val="20"/>
                <w:szCs w:val="20"/>
                <w:color w:val="auto"/>
              </w:rPr>
            </w:pPr>
            <w:r>
              <w:rPr>
                <w:rFonts w:ascii="Arial" w:cs="Arial" w:eastAsia="Arial" w:hAnsi="Arial"/>
                <w:sz w:val="13"/>
                <w:szCs w:val="13"/>
                <w:color w:val="auto"/>
                <w:w w:val="97"/>
              </w:rPr>
              <w:t>23,000,000 Units</w:t>
            </w:r>
          </w:p>
        </w:tc>
        <w:tc>
          <w:tcPr>
            <w:tcW w:w="1820" w:type="dxa"/>
            <w:vAlign w:val="bottom"/>
            <w:tcBorders>
              <w:right w:val="single" w:sz="8" w:color="auto"/>
            </w:tcBorders>
            <w:vMerge w:val="restart"/>
          </w:tcPr>
          <w:p>
            <w:pPr>
              <w:jc w:val="center"/>
              <w:ind w:left="14"/>
              <w:spacing w:after="0"/>
              <w:rPr>
                <w:sz w:val="20"/>
                <w:szCs w:val="20"/>
                <w:color w:val="auto"/>
              </w:rPr>
            </w:pPr>
            <w:r>
              <w:rPr>
                <w:rFonts w:ascii="Arial" w:cs="Arial" w:eastAsia="Arial" w:hAnsi="Arial"/>
                <w:sz w:val="13"/>
                <w:szCs w:val="13"/>
                <w:color w:val="auto"/>
                <w:w w:val="95"/>
              </w:rPr>
              <w:t>$10.00</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$230,000,000</w:t>
            </w:r>
          </w:p>
        </w:tc>
        <w:tc>
          <w:tcPr>
            <w:tcW w:w="1760" w:type="dxa"/>
            <w:vAlign w:val="bottom"/>
            <w:vMerge w:val="restart"/>
          </w:tcPr>
          <w:p>
            <w:pPr>
              <w:jc w:val="center"/>
              <w:ind w:left="14"/>
              <w:spacing w:after="0"/>
              <w:rPr>
                <w:sz w:val="20"/>
                <w:szCs w:val="20"/>
                <w:color w:val="auto"/>
              </w:rPr>
            </w:pPr>
            <w:r>
              <w:rPr>
                <w:rFonts w:ascii="Arial" w:cs="Arial" w:eastAsia="Arial" w:hAnsi="Arial"/>
                <w:sz w:val="13"/>
                <w:szCs w:val="13"/>
                <w:color w:val="auto"/>
                <w:w w:val="98"/>
              </w:rPr>
              <w:t>$29,854.00</w:t>
            </w:r>
          </w:p>
        </w:tc>
        <w:tc>
          <w:tcPr>
            <w:tcW w:w="0" w:type="dxa"/>
            <w:vAlign w:val="bottom"/>
          </w:tcPr>
          <w:p>
            <w:pPr>
              <w:spacing w:after="0"/>
              <w:rPr>
                <w:sz w:val="1"/>
                <w:szCs w:val="1"/>
                <w:color w:val="auto"/>
              </w:rPr>
            </w:pPr>
          </w:p>
        </w:tc>
      </w:tr>
      <w:tr>
        <w:trPr>
          <w:trHeight w:val="157"/>
        </w:trPr>
        <w:tc>
          <w:tcPr>
            <w:tcW w:w="40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and one-half of one redeemable warrant</w:t>
            </w:r>
            <w:r>
              <w:rPr>
                <w:rFonts w:ascii="Arial" w:cs="Arial" w:eastAsia="Arial" w:hAnsi="Arial"/>
                <w:sz w:val="10"/>
                <w:szCs w:val="10"/>
                <w:color w:val="auto"/>
              </w:rPr>
              <w:t>(2)</w:t>
            </w:r>
          </w:p>
        </w:tc>
        <w:tc>
          <w:tcPr>
            <w:tcW w:w="1800" w:type="dxa"/>
            <w:vAlign w:val="bottom"/>
            <w:tcBorders>
              <w:bottom w:val="single" w:sz="8" w:color="auto"/>
              <w:right w:val="single" w:sz="8" w:color="auto"/>
            </w:tcBorders>
            <w:vMerge w:val="continue"/>
          </w:tcPr>
          <w:p>
            <w:pPr>
              <w:spacing w:after="0"/>
              <w:rPr>
                <w:sz w:val="13"/>
                <w:szCs w:val="13"/>
                <w:color w:val="auto"/>
              </w:rPr>
            </w:pPr>
          </w:p>
        </w:tc>
        <w:tc>
          <w:tcPr>
            <w:tcW w:w="1820" w:type="dxa"/>
            <w:vAlign w:val="bottom"/>
            <w:tcBorders>
              <w:bottom w:val="single" w:sz="8" w:color="auto"/>
              <w:right w:val="single" w:sz="8" w:color="auto"/>
            </w:tcBorders>
            <w:vMerge w:val="continue"/>
          </w:tcPr>
          <w:p>
            <w:pPr>
              <w:spacing w:after="0"/>
              <w:rPr>
                <w:sz w:val="13"/>
                <w:szCs w:val="13"/>
                <w:color w:val="auto"/>
              </w:rPr>
            </w:pPr>
          </w:p>
        </w:tc>
        <w:tc>
          <w:tcPr>
            <w:tcW w:w="1780" w:type="dxa"/>
            <w:vAlign w:val="bottom"/>
            <w:tcBorders>
              <w:bottom w:val="single" w:sz="8" w:color="auto"/>
              <w:right w:val="single" w:sz="8" w:color="auto"/>
            </w:tcBorders>
            <w:vMerge w:val="continue"/>
          </w:tcPr>
          <w:p>
            <w:pPr>
              <w:spacing w:after="0"/>
              <w:rPr>
                <w:sz w:val="13"/>
                <w:szCs w:val="13"/>
                <w:color w:val="auto"/>
              </w:rPr>
            </w:pPr>
          </w:p>
        </w:tc>
        <w:tc>
          <w:tcPr>
            <w:tcW w:w="1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08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Class A ordinary shares included as part of the units</w:t>
            </w:r>
            <w:r>
              <w:rPr>
                <w:rFonts w:ascii="Arial" w:cs="Arial" w:eastAsia="Arial" w:hAnsi="Arial"/>
                <w:sz w:val="10"/>
                <w:szCs w:val="10"/>
                <w:color w:val="auto"/>
              </w:rPr>
              <w:t>(3)</w:t>
            </w:r>
          </w:p>
        </w:tc>
        <w:tc>
          <w:tcPr>
            <w:tcW w:w="1800" w:type="dxa"/>
            <w:vAlign w:val="bottom"/>
            <w:tcBorders>
              <w:bottom w:val="single" w:sz="8" w:color="auto"/>
              <w:right w:val="single" w:sz="8" w:color="auto"/>
            </w:tcBorders>
          </w:tcPr>
          <w:p>
            <w:pPr>
              <w:jc w:val="center"/>
              <w:ind w:left="34"/>
              <w:spacing w:after="0" w:line="129" w:lineRule="exact"/>
              <w:rPr>
                <w:sz w:val="20"/>
                <w:szCs w:val="20"/>
                <w:color w:val="auto"/>
              </w:rPr>
            </w:pPr>
            <w:r>
              <w:rPr>
                <w:rFonts w:ascii="Arial" w:cs="Arial" w:eastAsia="Arial" w:hAnsi="Arial"/>
                <w:sz w:val="13"/>
                <w:szCs w:val="13"/>
                <w:color w:val="auto"/>
                <w:w w:val="96"/>
              </w:rPr>
              <w:t>23,000,000 Shares</w:t>
            </w:r>
          </w:p>
        </w:tc>
        <w:tc>
          <w:tcPr>
            <w:tcW w:w="1820" w:type="dxa"/>
            <w:vAlign w:val="bottom"/>
            <w:tcBorders>
              <w:bottom w:val="single" w:sz="8" w:color="auto"/>
              <w:right w:val="single" w:sz="8" w:color="auto"/>
            </w:tcBorders>
          </w:tcPr>
          <w:p>
            <w:pPr>
              <w:jc w:val="center"/>
              <w:ind w:left="14"/>
              <w:spacing w:after="0" w:line="129" w:lineRule="exact"/>
              <w:rPr>
                <w:sz w:val="20"/>
                <w:szCs w:val="20"/>
                <w:color w:val="auto"/>
              </w:rPr>
            </w:pPr>
            <w:r>
              <w:rPr>
                <w:rFonts w:ascii="Arial" w:cs="Arial" w:eastAsia="Arial" w:hAnsi="Arial"/>
                <w:sz w:val="13"/>
                <w:szCs w:val="13"/>
                <w:color w:val="auto"/>
              </w:rPr>
              <w:t>—</w:t>
            </w:r>
          </w:p>
        </w:tc>
        <w:tc>
          <w:tcPr>
            <w:tcW w:w="17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1"/>
              </w:rPr>
              <w:t>—</w:t>
            </w:r>
          </w:p>
        </w:tc>
        <w:tc>
          <w:tcPr>
            <w:tcW w:w="1760" w:type="dxa"/>
            <w:vAlign w:val="bottom"/>
            <w:tcBorders>
              <w:bottom w:val="single" w:sz="8" w:color="auto"/>
            </w:tcBorders>
          </w:tcPr>
          <w:p>
            <w:pPr>
              <w:jc w:val="center"/>
              <w:ind w:left="34"/>
              <w:spacing w:after="0" w:line="129"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29"/>
        </w:trPr>
        <w:tc>
          <w:tcPr>
            <w:tcW w:w="408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Redeemable warrants included as part of the units</w:t>
            </w:r>
            <w:r>
              <w:rPr>
                <w:rFonts w:ascii="Arial" w:cs="Arial" w:eastAsia="Arial" w:hAnsi="Arial"/>
                <w:sz w:val="10"/>
                <w:szCs w:val="10"/>
                <w:color w:val="auto"/>
              </w:rPr>
              <w:t>(3)</w:t>
            </w:r>
          </w:p>
        </w:tc>
        <w:tc>
          <w:tcPr>
            <w:tcW w:w="1800" w:type="dxa"/>
            <w:vAlign w:val="bottom"/>
            <w:tcBorders>
              <w:bottom w:val="single" w:sz="8" w:color="auto"/>
              <w:right w:val="single" w:sz="8" w:color="auto"/>
            </w:tcBorders>
          </w:tcPr>
          <w:p>
            <w:pPr>
              <w:jc w:val="center"/>
              <w:ind w:left="14"/>
              <w:spacing w:after="0" w:line="129" w:lineRule="exact"/>
              <w:rPr>
                <w:sz w:val="20"/>
                <w:szCs w:val="20"/>
                <w:color w:val="auto"/>
              </w:rPr>
            </w:pPr>
            <w:r>
              <w:rPr>
                <w:rFonts w:ascii="Arial" w:cs="Arial" w:eastAsia="Arial" w:hAnsi="Arial"/>
                <w:sz w:val="13"/>
                <w:szCs w:val="13"/>
                <w:color w:val="auto"/>
                <w:w w:val="95"/>
              </w:rPr>
              <w:t>11,500,000 Warrants</w:t>
            </w:r>
          </w:p>
        </w:tc>
        <w:tc>
          <w:tcPr>
            <w:tcW w:w="1820" w:type="dxa"/>
            <w:vAlign w:val="bottom"/>
            <w:tcBorders>
              <w:bottom w:val="single" w:sz="8" w:color="auto"/>
              <w:right w:val="single" w:sz="8" w:color="auto"/>
            </w:tcBorders>
          </w:tcPr>
          <w:p>
            <w:pPr>
              <w:jc w:val="center"/>
              <w:ind w:left="14"/>
              <w:spacing w:after="0" w:line="129" w:lineRule="exact"/>
              <w:rPr>
                <w:sz w:val="20"/>
                <w:szCs w:val="20"/>
                <w:color w:val="auto"/>
              </w:rPr>
            </w:pPr>
            <w:r>
              <w:rPr>
                <w:rFonts w:ascii="Arial" w:cs="Arial" w:eastAsia="Arial" w:hAnsi="Arial"/>
                <w:sz w:val="13"/>
                <w:szCs w:val="13"/>
                <w:color w:val="auto"/>
              </w:rPr>
              <w:t>—</w:t>
            </w:r>
          </w:p>
        </w:tc>
        <w:tc>
          <w:tcPr>
            <w:tcW w:w="17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1"/>
              </w:rPr>
              <w:t>—</w:t>
            </w:r>
          </w:p>
        </w:tc>
        <w:tc>
          <w:tcPr>
            <w:tcW w:w="1760" w:type="dxa"/>
            <w:vAlign w:val="bottom"/>
            <w:tcBorders>
              <w:bottom w:val="single" w:sz="8" w:color="auto"/>
            </w:tcBorders>
          </w:tcPr>
          <w:p>
            <w:pPr>
              <w:jc w:val="center"/>
              <w:ind w:left="34"/>
              <w:spacing w:after="0" w:line="129"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2"/>
        </w:trPr>
        <w:tc>
          <w:tcPr>
            <w:tcW w:w="40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color w:val="auto"/>
              </w:rPr>
              <w:t>Total</w:t>
            </w:r>
          </w:p>
        </w:tc>
        <w:tc>
          <w:tcPr>
            <w:tcW w:w="1800" w:type="dxa"/>
            <w:vAlign w:val="bottom"/>
            <w:tcBorders>
              <w:bottom w:val="single" w:sz="8" w:color="auto"/>
              <w:right w:val="single" w:sz="8" w:color="auto"/>
            </w:tcBorders>
          </w:tcPr>
          <w:p>
            <w:pPr>
              <w:jc w:val="center"/>
              <w:ind w:left="14"/>
              <w:spacing w:after="0" w:line="142" w:lineRule="exact"/>
              <w:rPr>
                <w:sz w:val="20"/>
                <w:szCs w:val="20"/>
                <w:color w:val="auto"/>
              </w:rPr>
            </w:pPr>
            <w:r>
              <w:rPr>
                <w:rFonts w:ascii="Arial" w:cs="Arial" w:eastAsia="Arial" w:hAnsi="Arial"/>
                <w:sz w:val="13"/>
                <w:szCs w:val="13"/>
                <w:color w:val="auto"/>
                <w:w w:val="94"/>
              </w:rPr>
              <w:t>Units</w:t>
            </w:r>
          </w:p>
        </w:tc>
        <w:tc>
          <w:tcPr>
            <w:tcW w:w="182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95"/>
              </w:rPr>
              <w:t>$230,000,000</w:t>
            </w:r>
          </w:p>
        </w:tc>
        <w:tc>
          <w:tcPr>
            <w:tcW w:w="1760" w:type="dxa"/>
            <w:vAlign w:val="bottom"/>
            <w:tcBorders>
              <w:bottom w:val="single" w:sz="8" w:color="auto"/>
            </w:tcBorders>
          </w:tcPr>
          <w:p>
            <w:pPr>
              <w:jc w:val="center"/>
              <w:ind w:left="14"/>
              <w:spacing w:after="0" w:line="142" w:lineRule="exact"/>
              <w:rPr>
                <w:sz w:val="20"/>
                <w:szCs w:val="20"/>
                <w:color w:val="auto"/>
              </w:rPr>
            </w:pPr>
            <w:r>
              <w:rPr>
                <w:rFonts w:ascii="Arial" w:cs="Arial" w:eastAsia="Arial" w:hAnsi="Arial"/>
                <w:sz w:val="13"/>
                <w:szCs w:val="13"/>
                <w:color w:val="auto"/>
                <w:w w:val="98"/>
              </w:rPr>
              <w:t>$29,854.00</w:t>
            </w:r>
          </w:p>
        </w:tc>
        <w:tc>
          <w:tcPr>
            <w:tcW w:w="0" w:type="dxa"/>
            <w:vAlign w:val="bottom"/>
          </w:tcPr>
          <w:p>
            <w:pPr>
              <w:spacing w:after="0"/>
              <w:rPr>
                <w:sz w:val="1"/>
                <w:szCs w:val="1"/>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4"/>
          <w:szCs w:val="24"/>
          <w:color w:val="auto"/>
        </w:rPr>
      </w:pPr>
    </w:p>
    <w:p>
      <w:pPr>
        <w:ind w:left="440" w:hanging="262"/>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w:t>
      </w:r>
    </w:p>
    <w:p>
      <w:pPr>
        <w:spacing w:after="0" w:line="93" w:lineRule="exact"/>
        <w:rPr>
          <w:rFonts w:ascii="Arial" w:cs="Arial" w:eastAsia="Arial" w:hAnsi="Arial"/>
          <w:sz w:val="13"/>
          <w:szCs w:val="13"/>
          <w:color w:val="auto"/>
        </w:rPr>
      </w:pPr>
    </w:p>
    <w:p>
      <w:pPr>
        <w:ind w:left="440" w:hanging="262"/>
        <w:spacing w:after="0" w:line="249"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3,000,000 units, consisting of 3,000,000 Class A ordinary shares and 1,500,000 redeemable warrants, which may be issued upon exercise of a 45-day option granted to the underwriters to cover over-allotments, if any.</w:t>
      </w:r>
    </w:p>
    <w:p>
      <w:pPr>
        <w:spacing w:after="0" w:line="40" w:lineRule="exact"/>
        <w:rPr>
          <w:rFonts w:ascii="Arial" w:cs="Arial" w:eastAsia="Arial" w:hAnsi="Arial"/>
          <w:sz w:val="13"/>
          <w:szCs w:val="13"/>
          <w:color w:val="auto"/>
        </w:rPr>
      </w:pPr>
    </w:p>
    <w:p>
      <w:pPr>
        <w:ind w:left="440" w:hanging="262"/>
        <w:spacing w:after="0" w:line="249"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there are also being registered an indeterminable number of additional securities as may be issued to prevent dilution resulting from share sub-divisions, share dividends or similar transactions.</w:t>
      </w:r>
    </w:p>
    <w:p>
      <w:pPr>
        <w:spacing w:after="0" w:line="40" w:lineRule="exact"/>
        <w:rPr>
          <w:rFonts w:ascii="Arial" w:cs="Arial" w:eastAsia="Arial" w:hAnsi="Arial"/>
          <w:sz w:val="13"/>
          <w:szCs w:val="13"/>
          <w:color w:val="auto"/>
        </w:rPr>
      </w:pPr>
    </w:p>
    <w:p>
      <w:pPr>
        <w:ind w:left="440" w:hanging="262"/>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 fee pursuant to Rule 457(g).</w:t>
      </w:r>
    </w:p>
    <w:p>
      <w:pPr>
        <w:spacing w:after="0" w:line="78" w:lineRule="exact"/>
        <w:rPr>
          <w:sz w:val="24"/>
          <w:szCs w:val="24"/>
          <w:color w:val="auto"/>
        </w:rPr>
      </w:pPr>
    </w:p>
    <w:p>
      <w:pPr>
        <w:ind w:right="160"/>
        <w:spacing w:after="0" w:line="23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C2112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92" w:lineRule="exact"/>
        <w:rPr>
          <w:sz w:val="20"/>
          <w:szCs w:val="20"/>
          <w:color w:val="auto"/>
        </w:rPr>
      </w:pPr>
    </w:p>
    <w:p>
      <w:pPr>
        <w:spacing w:after="0"/>
        <w:tabs>
          <w:tab w:leader="none" w:pos="8200" w:val="left"/>
        </w:tabs>
        <w:rPr>
          <w:sz w:val="20"/>
          <w:szCs w:val="20"/>
          <w:color w:val="auto"/>
        </w:rPr>
      </w:pPr>
      <w:r>
        <w:rPr>
          <w:rFonts w:ascii="Arial" w:cs="Arial" w:eastAsia="Arial" w:hAnsi="Arial"/>
          <w:sz w:val="14"/>
          <w:szCs w:val="14"/>
          <w:color w:val="C21128"/>
        </w:rPr>
        <w:t>PRELIMINARY PROSPECTUS</w:t>
      </w:r>
      <w:r>
        <w:rPr>
          <w:sz w:val="20"/>
          <w:szCs w:val="20"/>
          <w:color w:val="auto"/>
        </w:rPr>
        <w:tab/>
      </w:r>
      <w:r>
        <w:rPr>
          <w:rFonts w:ascii="Arial" w:cs="Arial" w:eastAsia="Arial" w:hAnsi="Arial"/>
          <w:sz w:val="14"/>
          <w:szCs w:val="14"/>
          <w:color w:val="C21128"/>
        </w:rPr>
        <w:t>SUBJECT TO COMPLETION, DATED [•], 2020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VPC Impact Acquisition Holdings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 Units</w:t>
      </w:r>
    </w:p>
    <w:p>
      <w:pPr>
        <w:spacing w:after="0" w:line="71"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VPC Impact Acquisition Holdings is a blank check company incorporated as a Cayman Islands exempted company for the purpose of effecting a merger, share exchange, asset acquisition, share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42"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This is an initial public offering of our securities. Each unit has an offering price of $10.00 and consists of one Class A ordinary share and one-half of one redeemable warrant. Each whole warrant entitles the holder thereof to purchase one Class A ordinary share at a price of $11.50 per share, subject to adjustment as described herein. Only whole warrants are exercisable. No fractional warrants will be issued upon separation of the units and only whole warrants will trade. The warrants will become exercisable on the later of 30 days after the completion of our initial business combination or 12 months from the closing of this offering, and will expire five years after the completion of our initial business combination or earlier upon redemption or our liquidation, as described herein. The underwriters have a 45-day option from the date of this prospectus to purchase up to an additional 3,000,000 units to cover over-allotments, if any.</w:t>
      </w:r>
    </w:p>
    <w:p>
      <w:pPr>
        <w:spacing w:after="0" w:line="31" w:lineRule="exact"/>
        <w:rPr>
          <w:sz w:val="20"/>
          <w:szCs w:val="20"/>
          <w:color w:val="auto"/>
        </w:rPr>
      </w:pPr>
    </w:p>
    <w:p>
      <w:pPr>
        <w:ind w:right="40"/>
        <w:spacing w:after="0" w:line="246" w:lineRule="auto"/>
        <w:rPr>
          <w:sz w:val="20"/>
          <w:szCs w:val="20"/>
          <w:color w:val="auto"/>
        </w:rPr>
      </w:pPr>
      <w:r>
        <w:rPr>
          <w:rFonts w:ascii="Arial" w:cs="Arial" w:eastAsia="Arial" w:hAnsi="Arial"/>
          <w:sz w:val="13"/>
          <w:szCs w:val="13"/>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and not previously released to us to pay our taxes, divided by the number of then outstanding Class A ordinary shares that were sold as part of the units in this offering, which we refer to collectively as our public shares, subject to the limitations and on the conditions described herein. If we are unable to complete our initial business combination within 24 months from the closing of this offering, we will redeem 100% of the public shares at a per 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subject to applicable law and certain conditions as further described herein.</w:t>
      </w:r>
    </w:p>
    <w:p>
      <w:pPr>
        <w:spacing w:after="0" w:line="34" w:lineRule="exact"/>
        <w:rPr>
          <w:sz w:val="20"/>
          <w:szCs w:val="20"/>
          <w:color w:val="auto"/>
        </w:rPr>
      </w:pPr>
    </w:p>
    <w:p>
      <w:pPr>
        <w:ind w:right="220"/>
        <w:spacing w:after="0" w:line="263" w:lineRule="auto"/>
        <w:rPr>
          <w:sz w:val="20"/>
          <w:szCs w:val="20"/>
          <w:color w:val="auto"/>
        </w:rPr>
      </w:pPr>
      <w:r>
        <w:rPr>
          <w:rFonts w:ascii="Arial" w:cs="Arial" w:eastAsia="Arial" w:hAnsi="Arial"/>
          <w:sz w:val="13"/>
          <w:szCs w:val="13"/>
          <w:color w:val="auto"/>
        </w:rPr>
        <w:t>Our sponsor, VPC Impact Acquisition Holdings Sponsor, LLC, has committed to purchase an aggregate of 6,000,000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close simultaneously with the closing of this offering.</w:t>
      </w:r>
    </w:p>
    <w:p>
      <w:pPr>
        <w:spacing w:after="0" w:line="35" w:lineRule="exact"/>
        <w:rPr>
          <w:sz w:val="20"/>
          <w:szCs w:val="20"/>
          <w:color w:val="auto"/>
        </w:rPr>
      </w:pPr>
    </w:p>
    <w:p>
      <w:pPr>
        <w:ind w:right="80"/>
        <w:spacing w:after="0" w:line="250" w:lineRule="auto"/>
        <w:rPr>
          <w:sz w:val="20"/>
          <w:szCs w:val="20"/>
          <w:color w:val="auto"/>
        </w:rPr>
      </w:pPr>
      <w:r>
        <w:rPr>
          <w:rFonts w:ascii="Arial" w:cs="Arial" w:eastAsia="Arial" w:hAnsi="Arial"/>
          <w:sz w:val="13"/>
          <w:szCs w:val="13"/>
          <w:color w:val="auto"/>
        </w:rPr>
        <w:t>Our initial shareholders, which include our sponsor, currently own an aggregate of 5,750,000 Class B ordinary shares, up to 750,000 of which will be surrendered to us for no consideration after the closing of this offering depending on the extent to which the underwriters’ over-allotment option is exercised, which will automatically convert into Class A ordinary shares concurrently with or immediately following the consummation of our initial business combination on a one-for-one basis, subject to the adjustments described herein. Only holders of Class B ordinary shares will have the right to appoint directors in any election held prior to or in connection with the completion of our initial business combination. On any other matters submitted to a vote of our shareholders, holders of the Class B ordinary shares and holders of the Class A ordinary shares will vote together as a single class, except as required by law.</w:t>
      </w:r>
    </w:p>
    <w:p>
      <w:pPr>
        <w:spacing w:after="0" w:line="31"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Currently, there is no public market for our units, Class A ordinary shares or warrants. We intend to apply to have our units listed on The Nasdaq Capital Market, or Nasdaq, under the symbol “VIHHU.” We expect that our units will be listed on Nasdaq on or promptly after the date of this prospectus. We cannot guarantee that our securities will be approved for listing on Nasdaq. We expect the Class A ordinary shares and warrants comprising the units to begin separate trading on the 52</w:t>
      </w:r>
      <w:r>
        <w:rPr>
          <w:rFonts w:ascii="Arial" w:cs="Arial" w:eastAsia="Arial" w:hAnsi="Arial"/>
          <w:sz w:val="11"/>
          <w:szCs w:val="11"/>
          <w:color w:val="auto"/>
        </w:rPr>
        <w:t>nd</w:t>
      </w:r>
      <w:r>
        <w:rPr>
          <w:rFonts w:ascii="Arial" w:cs="Arial" w:eastAsia="Arial" w:hAnsi="Arial"/>
          <w:sz w:val="13"/>
          <w:szCs w:val="13"/>
          <w:color w:val="auto"/>
        </w:rPr>
        <w:t xml:space="preserve"> day following the date of this prospectus unless Jefferies LLC, the representative of the underwriters, informs us of its decision to allow earlier separate trading, subject to our satisfaction of certain conditions as described further herein. Once the securities comprising the units begin separate trading, we expect that the Class A ordinary shares and warrants will be listed on Nasdaq under the symbols “VIH” and “VIHHW,” respectively.</w:t>
      </w:r>
    </w:p>
    <w:p>
      <w:pPr>
        <w:spacing w:after="0" w:line="29" w:lineRule="exact"/>
        <w:rPr>
          <w:sz w:val="20"/>
          <w:szCs w:val="20"/>
          <w:color w:val="auto"/>
        </w:rPr>
      </w:pPr>
    </w:p>
    <w:p>
      <w:pPr>
        <w:ind w:right="480"/>
        <w:spacing w:after="0" w:line="271" w:lineRule="auto"/>
        <w:rPr>
          <w:rFonts w:ascii="Arial" w:cs="Arial" w:eastAsia="Arial" w:hAnsi="Arial"/>
          <w:sz w:val="13"/>
          <w:szCs w:val="13"/>
          <w:b w:val="1"/>
          <w:bCs w:val="1"/>
          <w:color w:val="auto"/>
        </w:rPr>
      </w:pPr>
      <w:r>
        <w:rPr>
          <w:rFonts w:ascii="Arial" w:cs="Arial" w:eastAsia="Arial" w:hAnsi="Arial"/>
          <w:sz w:val="13"/>
          <w:szCs w:val="13"/>
          <w:b w:val="1"/>
          <w:bCs w:val="1"/>
          <w:color w:val="auto"/>
        </w:rPr>
        <w:t>We are an “emerging growth company” under applicable federal securities laws and will be subject to reduced public company reporting requirements. Investing in our securities involves a high degree of risk. See “</w:t>
      </w:r>
      <w:hyperlink w:anchor="page33">
        <w:r>
          <w:rPr>
            <w:rFonts w:ascii="Arial" w:cs="Arial" w:eastAsia="Arial" w:hAnsi="Arial"/>
            <w:sz w:val="13"/>
            <w:szCs w:val="13"/>
            <w:b w:val="1"/>
            <w:bCs w:val="1"/>
            <w:i w:val="1"/>
            <w:iCs w:val="1"/>
            <w:u w:val="single" w:color="auto"/>
            <w:color w:val="0000EE"/>
          </w:rPr>
          <w:t>Risk Factors</w:t>
        </w:r>
      </w:hyperlink>
      <w:r>
        <w:rPr>
          <w:rFonts w:ascii="Arial" w:cs="Arial" w:eastAsia="Arial" w:hAnsi="Arial"/>
          <w:sz w:val="13"/>
          <w:szCs w:val="13"/>
          <w:b w:val="1"/>
          <w:bCs w:val="1"/>
          <w:color w:val="auto"/>
        </w:rPr>
        <w:t>” beginning on page [30] for a discussion of information that should be considered in connection with an investment in our securities. Investors will not be entitled to protections normally afforded to investors in Rule 419 blank check offerings.</w:t>
      </w:r>
    </w:p>
    <w:p>
      <w:pPr>
        <w:spacing w:after="0" w:line="20" w:lineRule="exact"/>
        <w:rPr>
          <w:sz w:val="20"/>
          <w:szCs w:val="20"/>
          <w:color w:val="auto"/>
        </w:rPr>
      </w:pPr>
    </w:p>
    <w:p>
      <w:pPr>
        <w:ind w:right="120"/>
        <w:spacing w:after="0" w:line="303"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50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Per Unit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5040" w:type="dxa"/>
            <w:vAlign w:val="bottom"/>
          </w:tcPr>
          <w:p>
            <w:pPr>
              <w:spacing w:after="0" w:line="142" w:lineRule="exact"/>
              <w:rPr>
                <w:sz w:val="20"/>
                <w:szCs w:val="20"/>
                <w:color w:val="auto"/>
              </w:rPr>
            </w:pPr>
            <w:r>
              <w:rPr>
                <w:rFonts w:ascii="Arial" w:cs="Arial" w:eastAsia="Arial" w:hAnsi="Arial"/>
                <w:sz w:val="13"/>
                <w:szCs w:val="13"/>
                <w:color w:val="auto"/>
              </w:rPr>
              <w:t>Public offering price</w:t>
            </w:r>
          </w:p>
        </w:tc>
        <w:tc>
          <w:tcPr>
            <w:tcW w:w="24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10.00</w:t>
            </w:r>
          </w:p>
        </w:tc>
        <w:tc>
          <w:tcPr>
            <w:tcW w:w="40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200,000,000</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1"/>
                <w:szCs w:val="11"/>
                <w:color w:val="auto"/>
              </w:rPr>
              <w:t>(1)</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11,000,000</w:t>
            </w:r>
          </w:p>
        </w:tc>
        <w:tc>
          <w:tcPr>
            <w:tcW w:w="900" w:type="dxa"/>
            <w:vAlign w:val="bottom"/>
          </w:tcPr>
          <w:p>
            <w:pPr>
              <w:spacing w:after="0"/>
              <w:rPr>
                <w:sz w:val="12"/>
                <w:szCs w:val="12"/>
                <w:color w:val="auto"/>
              </w:rPr>
            </w:pPr>
          </w:p>
        </w:tc>
      </w:tr>
      <w:tr>
        <w:trPr>
          <w:trHeight w:val="180"/>
        </w:trPr>
        <w:tc>
          <w:tcPr>
            <w:tcW w:w="92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Arial" w:cs="Arial" w:eastAsia="Arial" w:hAnsi="Arial"/>
                <w:sz w:val="13"/>
                <w:szCs w:val="13"/>
                <w:color w:val="auto"/>
              </w:rPr>
              <w:t>Proceeds, before expenses, to us</w:t>
            </w:r>
          </w:p>
        </w:tc>
        <w:tc>
          <w:tcPr>
            <w:tcW w:w="2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9.45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189,000,000</w:t>
            </w: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3"/>
        </w:trPr>
        <w:tc>
          <w:tcPr>
            <w:tcW w:w="920" w:type="dxa"/>
            <w:vAlign w:val="bottom"/>
            <w:tcBorders>
              <w:bottom w:val="single" w:sz="8" w:color="auto"/>
            </w:tcBorders>
          </w:tcPr>
          <w:p>
            <w:pPr>
              <w:spacing w:after="0"/>
              <w:rPr>
                <w:sz w:val="5"/>
                <w:szCs w:val="5"/>
                <w:color w:val="auto"/>
              </w:rPr>
            </w:pPr>
          </w:p>
        </w:tc>
        <w:tc>
          <w:tcPr>
            <w:tcW w:w="504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bl>
    <w:p>
      <w:pPr>
        <w:spacing w:after="0" w:line="100" w:lineRule="exact"/>
        <w:rPr>
          <w:sz w:val="20"/>
          <w:szCs w:val="20"/>
          <w:color w:val="auto"/>
        </w:rPr>
      </w:pPr>
    </w:p>
    <w:p>
      <w:pPr>
        <w:ind w:left="440" w:right="100" w:hanging="262"/>
        <w:spacing w:after="0" w:line="230" w:lineRule="auto"/>
        <w:tabs>
          <w:tab w:leader="none" w:pos="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$0.20 per unit, or $4,000,000 in the aggregate (or $4,600,000 if the underwriters’ over-allotment option is exercised in full), payable to the underwriters upon the closing of this offering. Also includes $0.35 per unit, or $7,000,000 in the aggregate (or up to $8,050,000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w:t>
      </w:r>
      <w:r>
        <w:rPr>
          <w:rFonts w:ascii="Arial" w:cs="Arial" w:eastAsia="Arial" w:hAnsi="Arial"/>
          <w:sz w:val="13"/>
          <w:szCs w:val="13"/>
          <w:i w:val="1"/>
          <w:iCs w:val="1"/>
          <w:color w:val="auto"/>
        </w:rPr>
        <w:t>Underwriting</w:t>
      </w:r>
      <w:r>
        <w:rPr>
          <w:rFonts w:ascii="Arial" w:cs="Arial" w:eastAsia="Arial" w:hAnsi="Arial"/>
          <w:sz w:val="13"/>
          <w:szCs w:val="13"/>
          <w:color w:val="auto"/>
        </w:rPr>
        <w:t>” for a description of compensation and other items of value payable to the underwriters.</w:t>
      </w:r>
    </w:p>
    <w:p>
      <w:pPr>
        <w:spacing w:after="0" w:line="40"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Of the proceeds we receive from this offering and the sale of the private placement warrants described in this prospectus, $200 million, or $230 million if the underwriters’ over-allotment option is exercised in full ($10.00 per unit in either case), will be deposited into a trust account located in the United States with Continental Stock Transfer &amp; Trust Company acting as trustee, after deducting $4,000,000 in underwriting discounts and commissions payable upon the closing of this offering (or $4,600,000 if the underwriters’ over-allotment option is exercised in full) and an aggregate of $1 million to pay fees and expenses in connection with the closing of this offering and for working capital following the closing of this offering.</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The underwriters are offering the units for sale on a firm commitment basis. The underwriters expect to deliver the units to the purchasers on or about [•], 2020.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Sole Book-Running Manager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Jefferies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2020</w:t>
      </w:r>
    </w:p>
    <w:p>
      <w:pPr>
        <w:sectPr>
          <w:pgSz w:w="11900" w:h="16838" w:orient="portrait"/>
          <w:cols w:equalWidth="0" w:num="1">
            <w:col w:w="11240"/>
          </w:cols>
          <w:pgMar w:left="32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1"/>
                <w:szCs w:val="21"/>
                <w:color w:val="auto"/>
              </w:rPr>
            </w:pPr>
          </w:p>
        </w:tc>
      </w:tr>
      <w:tr>
        <w:trPr>
          <w:trHeight w:val="353"/>
        </w:trPr>
        <w:tc>
          <w:tcPr>
            <w:tcW w:w="8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439"/>
        </w:trPr>
        <w:tc>
          <w:tcPr>
            <w:tcW w:w="8740" w:type="dxa"/>
            <w:vAlign w:val="bottom"/>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Summary</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Risks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Risk factors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Cautionary note regarding forward-looking statements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Use of proceeds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Dividend policy</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Dilution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Capitalization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Management’s discussion and analysis of financial condition and results of operations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80">
              <w:r>
                <w:rPr>
                  <w:rFonts w:ascii="Arial" w:cs="Arial" w:eastAsia="Arial" w:hAnsi="Arial"/>
                  <w:sz w:val="17"/>
                  <w:szCs w:val="17"/>
                  <w:u w:val="single" w:color="auto"/>
                  <w:color w:val="0000EE"/>
                </w:rPr>
                <w:t>Proposed business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87">
              <w:r>
                <w:rPr>
                  <w:rFonts w:ascii="Arial" w:cs="Arial" w:eastAsia="Arial" w:hAnsi="Arial"/>
                  <w:sz w:val="17"/>
                  <w:szCs w:val="17"/>
                  <w:u w:val="single" w:color="auto"/>
                  <w:color w:val="0000EE"/>
                </w:rPr>
                <w:t>Effecting our initial business combination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07">
              <w:r>
                <w:rPr>
                  <w:rFonts w:ascii="Arial" w:cs="Arial" w:eastAsia="Arial" w:hAnsi="Arial"/>
                  <w:sz w:val="17"/>
                  <w:szCs w:val="17"/>
                  <w:u w:val="single" w:color="auto"/>
                  <w:color w:val="0000EE"/>
                </w:rPr>
                <w:t>Management</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14">
              <w:r>
                <w:rPr>
                  <w:rFonts w:ascii="Arial" w:cs="Arial" w:eastAsia="Arial" w:hAnsi="Arial"/>
                  <w:sz w:val="17"/>
                  <w:szCs w:val="17"/>
                  <w:u w:val="single" w:color="auto"/>
                  <w:color w:val="0000EE"/>
                </w:rPr>
                <w:t>Principal shareholders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17">
              <w:r>
                <w:rPr>
                  <w:rFonts w:ascii="Arial" w:cs="Arial" w:eastAsia="Arial" w:hAnsi="Arial"/>
                  <w:sz w:val="17"/>
                  <w:szCs w:val="17"/>
                  <w:u w:val="single" w:color="auto"/>
                  <w:color w:val="0000EE"/>
                </w:rPr>
                <w:t>Certain relationships and related party transactions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19">
              <w:r>
                <w:rPr>
                  <w:rFonts w:ascii="Arial" w:cs="Arial" w:eastAsia="Arial" w:hAnsi="Arial"/>
                  <w:sz w:val="17"/>
                  <w:szCs w:val="17"/>
                  <w:u w:val="single" w:color="auto"/>
                  <w:color w:val="0000EE"/>
                </w:rPr>
                <w:t>Description of securities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39">
              <w:r>
                <w:rPr>
                  <w:rFonts w:ascii="Arial" w:cs="Arial" w:eastAsia="Arial" w:hAnsi="Arial"/>
                  <w:sz w:val="17"/>
                  <w:szCs w:val="17"/>
                  <w:u w:val="single" w:color="auto"/>
                  <w:color w:val="0000EE"/>
                </w:rPr>
                <w:t>Taxation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Underwriting</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147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57">
              <w:r>
                <w:rPr>
                  <w:rFonts w:ascii="Arial" w:cs="Arial" w:eastAsia="Arial" w:hAnsi="Arial"/>
                  <w:sz w:val="17"/>
                  <w:szCs w:val="17"/>
                  <w:u w:val="single" w:color="auto"/>
                  <w:color w:val="0000EE"/>
                </w:rPr>
                <w:t>Legal matters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154</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58">
              <w:r>
                <w:rPr>
                  <w:rFonts w:ascii="Arial" w:cs="Arial" w:eastAsia="Arial" w:hAnsi="Arial"/>
                  <w:sz w:val="17"/>
                  <w:szCs w:val="17"/>
                  <w:u w:val="single" w:color="auto"/>
                  <w:color w:val="0000EE"/>
                </w:rPr>
                <w:t>Experts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59">
              <w:r>
                <w:rPr>
                  <w:rFonts w:ascii="Arial" w:cs="Arial" w:eastAsia="Arial" w:hAnsi="Arial"/>
                  <w:sz w:val="17"/>
                  <w:szCs w:val="17"/>
                  <w:u w:val="single" w:color="auto"/>
                  <w:color w:val="0000EE"/>
                </w:rPr>
                <w:t>Where you can find additional information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156</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60">
              <w:r>
                <w:rPr>
                  <w:rFonts w:ascii="Arial" w:cs="Arial" w:eastAsia="Arial" w:hAnsi="Arial"/>
                  <w:sz w:val="17"/>
                  <w:szCs w:val="17"/>
                  <w:u w:val="single" w:color="auto"/>
                  <w:color w:val="0000EE"/>
                </w:rPr>
                <w:t>Index to Financial Statements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color w:val="auto"/>
        </w:rPr>
        <w:t>We have not, and the underwriters have not, authorized anyone to provide you with information that is different from or inconsistent with that contained in this prospectus.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ectPr>
          <w:pgSz w:w="11900" w:h="16838" w:orient="portrait"/>
          <w:cols w:equalWidth="0" w:num="1">
            <w:col w:w="11240"/>
          </w:cols>
          <w:pgMar w:left="32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64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57645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318" w:lineRule="exact"/>
        <w:rPr>
          <w:sz w:val="20"/>
          <w:szCs w:val="20"/>
          <w:color w:val="auto"/>
        </w:rPr>
      </w:pPr>
    </w:p>
    <w:p>
      <w:pPr>
        <w:ind w:left="200" w:right="20"/>
        <w:spacing w:after="0" w:line="252" w:lineRule="auto"/>
        <w:rPr>
          <w:sz w:val="20"/>
          <w:szCs w:val="20"/>
          <w:color w:val="auto"/>
        </w:rPr>
      </w:pPr>
      <w:r>
        <w:rPr>
          <w:rFonts w:ascii="Arial" w:cs="Arial" w:eastAsia="Arial" w:hAnsi="Arial"/>
          <w:sz w:val="17"/>
          <w:szCs w:val="17"/>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Unless otherwise stated in this prospectus or the context otherwise requires, references to:</w:t>
      </w:r>
    </w:p>
    <w:p>
      <w:pPr>
        <w:spacing w:after="0" w:line="196" w:lineRule="exact"/>
        <w:rPr>
          <w:sz w:val="20"/>
          <w:szCs w:val="20"/>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“we,” “us,” “company” or “our company” are to VPC Impact Acquisition Holdings, a Cayman Islands exempted company;</w:t>
      </w:r>
    </w:p>
    <w:p>
      <w:pPr>
        <w:spacing w:after="0" w:line="34" w:lineRule="exact"/>
        <w:rPr>
          <w:rFonts w:ascii="MS PGothic" w:cs="MS PGothic" w:eastAsia="MS PGothic" w:hAnsi="MS PGothic"/>
          <w:sz w:val="13"/>
          <w:szCs w:val="13"/>
          <w:color w:val="auto"/>
        </w:rPr>
      </w:pPr>
    </w:p>
    <w:p>
      <w:pPr>
        <w:ind w:left="1060" w:right="320" w:hanging="434"/>
        <w:spacing w:after="0" w:line="256"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“Companies Law” are to the Companies Law (2020 Revision) of the Cayman Islands as the same may be amended from time to time;</w:t>
      </w:r>
    </w:p>
    <w:p>
      <w:pPr>
        <w:spacing w:after="0" w:line="1" w:lineRule="exact"/>
        <w:rPr>
          <w:rFonts w:ascii="MS PGothic" w:cs="MS PGothic" w:eastAsia="MS PGothic" w:hAnsi="MS PGothic"/>
          <w:sz w:val="13"/>
          <w:szCs w:val="13"/>
          <w:color w:val="auto"/>
        </w:rPr>
      </w:pPr>
    </w:p>
    <w:p>
      <w:pPr>
        <w:ind w:left="1060" w:right="20" w:hanging="434"/>
        <w:spacing w:after="0" w:line="248"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“founder shares” are to Class B ordinary shares initially purchased by our sponsor in a private placement prior to this offering and the Class A ordinary shares that will be issued upon the automatic conversion of the Class B ordinary shares at the time of our initial business combination as described herein;</w:t>
      </w:r>
    </w:p>
    <w:p>
      <w:pPr>
        <w:spacing w:after="0" w:line="1"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“initial shareholders” are to holders of our founder shares prior to this offering;</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“management” or our “management team” are to our officers and directors;</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“ordinary shares” are to our Class A ordinary shares and our Class B ordinary shares;</w:t>
      </w:r>
    </w:p>
    <w:p>
      <w:pPr>
        <w:spacing w:after="0" w:line="34" w:lineRule="exact"/>
        <w:rPr>
          <w:rFonts w:ascii="MS PGothic" w:cs="MS PGothic" w:eastAsia="MS PGothic" w:hAnsi="MS PGothic"/>
          <w:sz w:val="13"/>
          <w:szCs w:val="13"/>
          <w:color w:val="auto"/>
        </w:rPr>
      </w:pPr>
    </w:p>
    <w:p>
      <w:pPr>
        <w:ind w:left="1060" w:right="60" w:hanging="434"/>
        <w:spacing w:after="0" w:line="256"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“public shares” are to Class A ordinary shares sold as part of the units in this offering (whether they are purchased in this offering or thereafter in the open market);</w:t>
      </w:r>
    </w:p>
    <w:p>
      <w:pPr>
        <w:spacing w:after="0" w:line="1" w:lineRule="exact"/>
        <w:rPr>
          <w:rFonts w:ascii="MS PGothic" w:cs="MS PGothic" w:eastAsia="MS PGothic" w:hAnsi="MS PGothic"/>
          <w:sz w:val="13"/>
          <w:szCs w:val="13"/>
          <w:color w:val="auto"/>
        </w:rPr>
      </w:pPr>
    </w:p>
    <w:p>
      <w:pPr>
        <w:jc w:val="both"/>
        <w:ind w:left="1060" w:right="140" w:hanging="434"/>
        <w:spacing w:after="0" w:line="248"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“public shareholders” are to the holders of our public shares, including our initial shareholders and management team to the extent our initial shareholders and/or members of our management team purchase public shares, provided that each initial shareholder’s and member of our management team’s status as a “public shareholder” will only exist with respect to such public shares;</w:t>
      </w:r>
    </w:p>
    <w:p>
      <w:pPr>
        <w:spacing w:after="0" w:line="1" w:lineRule="exact"/>
        <w:rPr>
          <w:rFonts w:ascii="MS PGothic" w:cs="MS PGothic" w:eastAsia="MS PGothic" w:hAnsi="MS PGothic"/>
          <w:sz w:val="13"/>
          <w:szCs w:val="13"/>
          <w:color w:val="auto"/>
        </w:rPr>
      </w:pPr>
    </w:p>
    <w:p>
      <w:pPr>
        <w:ind w:left="1060" w:right="20" w:hanging="434"/>
        <w:spacing w:after="0" w:line="256"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“public warrants” are to the warrants sold as part of the units in this offering (whether they are purchased in this offering or thereafter in the open market);</w:t>
      </w:r>
    </w:p>
    <w:p>
      <w:pPr>
        <w:spacing w:after="0" w:line="1" w:lineRule="exact"/>
        <w:rPr>
          <w:rFonts w:ascii="MS PGothic" w:cs="MS PGothic" w:eastAsia="MS PGothic" w:hAnsi="MS PGothic"/>
          <w:sz w:val="13"/>
          <w:szCs w:val="13"/>
          <w:color w:val="auto"/>
        </w:rPr>
      </w:pPr>
    </w:p>
    <w:p>
      <w:pPr>
        <w:ind w:left="1060" w:right="40" w:hanging="434"/>
        <w:spacing w:after="0" w:line="256"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“private placement warrants” are to the warrants issued to our sponsor in a private placement simultaneously with the closing of this offering;</w:t>
      </w:r>
    </w:p>
    <w:p>
      <w:pPr>
        <w:spacing w:after="0" w:line="1"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“sponsor” are to VPC Impact Acquisition Holdings Sponsor, LLC, a Delaware limited liability company;</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“Jefferies” are to Jefferies LLC, the representative of the underwriters in this offering; and</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“warrants” are to our public warrants and private placement warrants.</w:t>
      </w:r>
    </w:p>
    <w:p>
      <w:pPr>
        <w:spacing w:after="0" w:line="156" w:lineRule="exact"/>
        <w:rPr>
          <w:sz w:val="20"/>
          <w:szCs w:val="20"/>
          <w:color w:val="auto"/>
        </w:rPr>
      </w:pPr>
    </w:p>
    <w:p>
      <w:pPr>
        <w:ind w:left="200" w:right="160"/>
        <w:spacing w:after="0" w:line="245" w:lineRule="auto"/>
        <w:rPr>
          <w:sz w:val="20"/>
          <w:szCs w:val="20"/>
          <w:color w:val="auto"/>
        </w:rPr>
      </w:pPr>
      <w:r>
        <w:rPr>
          <w:rFonts w:ascii="Arial" w:cs="Arial" w:eastAsia="Arial" w:hAnsi="Arial"/>
          <w:sz w:val="17"/>
          <w:szCs w:val="17"/>
          <w:i w:val="1"/>
          <w:iCs w:val="1"/>
          <w:color w:val="auto"/>
        </w:rPr>
        <w:t>Any conversion of the Class B ordinary shares described in this prospectus will take effect as a redemption of Class B ordinary shares and an issuance of Class A ordinary shares as a matter of Cayman Islands law. Any forfeiture of shares, and all references to forfeiture of shares, described in this prospectus shall take effect as a surrender of shares for no consideration as a matter of Cayman Islands law. Any share dividend described in this prospectus will take effect as a share capitalization as a matter of Cayman Islands law.</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Unless we tell you otherwise, the information in this prospectus assumes that the underwriters will not exercise their over-allotment option.</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60" w:lineRule="exact"/>
        <w:rPr>
          <w:sz w:val="20"/>
          <w:szCs w:val="20"/>
          <w:color w:val="auto"/>
        </w:rPr>
      </w:pPr>
    </w:p>
    <w:p>
      <w:pPr>
        <w:ind w:left="200"/>
        <w:spacing w:after="0" w:line="246" w:lineRule="auto"/>
        <w:rPr>
          <w:sz w:val="20"/>
          <w:szCs w:val="20"/>
          <w:color w:val="auto"/>
        </w:rPr>
      </w:pPr>
      <w:r>
        <w:rPr>
          <w:rFonts w:ascii="Arial" w:cs="Arial" w:eastAsia="Arial" w:hAnsi="Arial"/>
          <w:sz w:val="17"/>
          <w:szCs w:val="17"/>
          <w:color w:val="auto"/>
        </w:rPr>
        <w:t>We are a blank check company incorporated as a Cayman Islands exempted company for the purpose of effecting a merger, share exchange, asset acquisition, share purchase, reorganization or similar business combination with one or more businesses. Throughout this prospectus, we will refer to this as our initial business combination. We have not selected any potential business combination target and we have not, nor has anyone on our behalf, initiated any substantive discussions, directly or indirectly, with any potential business combination target.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40"/>
          </w:cols>
          <w:pgMar w:left="32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627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62737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Our sponsor is affiliated with Victory Park Capital Advisors, LLC (“VPC”), a registered investment advisor with the Securities and Exchange Commission (“SEC”) and was founded in 2007. VPC’s institutional investor base is diversified geographically and includes sovereign wealth funds, insurance companies, financial institutions, foundations, endowments and family offices for which it has invested approximately $6.0 billion in over 115 transactions across North America, Europe, Latin America, Africa, Southeast Asia and Oceania. As part of those investments, VPC has provided financing to financial technology or financial services (collectively “Fintech”) businesses backed by some of the world’s leading venture capital firms and has a long track record of executing debt and equity financing transactions with some of the largest global Fintech companies, including with Square (U.S. NYSE:SQ), iZettle (Sweden, acquired by PayPal in 2018), Zip Co (Australia ASX:Z1P), Funding Circle (UK LSE:FCH), Kabbage (US), Dave (US), Avant (US), Fundbox (US), Konfio (Mexico), and WeFox (Germany). VPC’s investments have enabled portfolio companies to scale quickly and capture leading market positions. These representative transactions demonstrate VPC’s ability to identify early-stage Fintech companies with strong long-term growth prospects. VPC’s Fintech investment history and robust network of industry relationships furnish the firm with a detailed understanding of the long-term capital needs of the highest growth Fintech businesses globally.</w:t>
      </w:r>
    </w:p>
    <w:p>
      <w:pPr>
        <w:spacing w:after="0" w:line="123" w:lineRule="exact"/>
        <w:rPr>
          <w:sz w:val="20"/>
          <w:szCs w:val="20"/>
          <w:color w:val="auto"/>
        </w:rPr>
      </w:pPr>
    </w:p>
    <w:p>
      <w:pPr>
        <w:ind w:left="200" w:right="180"/>
        <w:spacing w:after="0" w:line="242" w:lineRule="auto"/>
        <w:rPr>
          <w:sz w:val="20"/>
          <w:szCs w:val="20"/>
          <w:color w:val="auto"/>
        </w:rPr>
      </w:pPr>
      <w:r>
        <w:rPr>
          <w:rFonts w:ascii="Arial" w:cs="Arial" w:eastAsia="Arial" w:hAnsi="Arial"/>
          <w:sz w:val="17"/>
          <w:szCs w:val="17"/>
          <w:color w:val="auto"/>
        </w:rPr>
        <w:t>VPC has sourced, diligenced and executed transactions within the key segments of the Fintech landscape including digital lending, payment processing, insurance technology, real estate technology and digital investment management, and is adept at investing across differing operating models (e.g., asset-light vs. capital intensive) and stages of business maturity. VPC’s industry brand name, historical transaction experience, venture capital partnerships and international investor base have helped the firm build an expansive network of relationships and access to management that will be a differentiating factor in identifying and completing a business combination.</w:t>
      </w:r>
    </w:p>
    <w:p>
      <w:pPr>
        <w:spacing w:after="0" w:line="121" w:lineRule="exact"/>
        <w:rPr>
          <w:sz w:val="20"/>
          <w:szCs w:val="20"/>
          <w:color w:val="auto"/>
        </w:rPr>
      </w:pPr>
    </w:p>
    <w:p>
      <w:pPr>
        <w:ind w:left="200" w:right="260"/>
        <w:spacing w:after="0"/>
        <w:rPr>
          <w:sz w:val="20"/>
          <w:szCs w:val="20"/>
          <w:color w:val="auto"/>
        </w:rPr>
      </w:pPr>
      <w:r>
        <w:rPr>
          <w:rFonts w:ascii="Arial" w:cs="Arial" w:eastAsia="Arial" w:hAnsi="Arial"/>
          <w:sz w:val="17"/>
          <w:szCs w:val="17"/>
          <w:color w:val="auto"/>
        </w:rPr>
        <w:t>We intend to concentrate our efforts in identifying high-growth businesses in the Fintech industry with an enterprise value of approximately $800 million to $2.0 billion. The Fintech landscape has matured from a previously niche venture market to an expansive global industry comprised of numerous large-scale institutionalized businesses that consistently experience strong revenue and profitability growth. Fintech adoption by both consumers and businesses continues to benefit from robust secular tailwinds including the growth in digital commerce, the proliferation of mobile technology, the ubiquitous acceptance of digital payments and continuous technological advancement, positioning the sector for long-term growth.</w:t>
      </w:r>
    </w:p>
    <w:p>
      <w:pPr>
        <w:spacing w:after="0" w:line="123" w:lineRule="exact"/>
        <w:rPr>
          <w:sz w:val="20"/>
          <w:szCs w:val="20"/>
          <w:color w:val="auto"/>
        </w:rPr>
      </w:pPr>
    </w:p>
    <w:p>
      <w:pPr>
        <w:ind w:left="200"/>
        <w:spacing w:after="0" w:line="239" w:lineRule="auto"/>
        <w:rPr>
          <w:sz w:val="20"/>
          <w:szCs w:val="20"/>
          <w:color w:val="auto"/>
        </w:rPr>
      </w:pPr>
      <w:r>
        <w:rPr>
          <w:rFonts w:ascii="Arial" w:cs="Arial" w:eastAsia="Arial" w:hAnsi="Arial"/>
          <w:sz w:val="17"/>
          <w:szCs w:val="17"/>
          <w:color w:val="auto"/>
        </w:rPr>
        <w:t>Within the broader Fintech industry, specific sectors of focus will include businesses in the payment processing, digital “buy now pay later”, digital banks or neo banks, e-commerce financing, digital lending, remittance, underwriting and data analytics, insurance technology, real estate technology and fraud detection sectors. We will place particular emphasis on acquiring a Fintech business with a best-in-class management team, rapid sales growth, industry-leading unit economics, a differentiated technology platform and attractive competitive dynamics within a geography and/or industry vertical that offers a large and expanding addressable market. In considering potential acquisition targets, VPC will prioritize targets that promote financial inclusion and superior value add to the end consumer or small-to-medium enterprise (“SME”) through lowering overall transaction costs and providing access to high-quality financial services.</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Business Strategy</w:t>
      </w:r>
    </w:p>
    <w:p>
      <w:pPr>
        <w:spacing w:after="0" w:line="316" w:lineRule="exact"/>
        <w:rPr>
          <w:sz w:val="20"/>
          <w:szCs w:val="20"/>
          <w:color w:val="auto"/>
        </w:rPr>
      </w:pPr>
    </w:p>
    <w:p>
      <w:pPr>
        <w:ind w:left="200" w:right="80"/>
        <w:spacing w:after="0" w:line="253" w:lineRule="auto"/>
        <w:rPr>
          <w:sz w:val="20"/>
          <w:szCs w:val="20"/>
          <w:color w:val="auto"/>
        </w:rPr>
      </w:pPr>
      <w:r>
        <w:rPr>
          <w:rFonts w:ascii="Arial" w:cs="Arial" w:eastAsia="Arial" w:hAnsi="Arial"/>
          <w:sz w:val="17"/>
          <w:szCs w:val="17"/>
          <w:color w:val="auto"/>
        </w:rPr>
        <w:t>We intend to identify high growth Fintech acquisition targets by leveraging the expertise of our management team and VPC. VPC maintains robust proprietary deal sourcing channels and industry-leading relationships across the Fintech landscape. VPC is well positioned as a partner for both venture capital firms, international finance organizations and Fintech companies.</w:t>
      </w:r>
    </w:p>
    <w:p>
      <w:pPr>
        <w:spacing w:after="0" w:line="111" w:lineRule="exact"/>
        <w:rPr>
          <w:sz w:val="20"/>
          <w:szCs w:val="20"/>
          <w:color w:val="auto"/>
        </w:rPr>
      </w:pPr>
    </w:p>
    <w:p>
      <w:pPr>
        <w:jc w:val="both"/>
        <w:ind w:left="200" w:right="60"/>
        <w:spacing w:after="0" w:line="253" w:lineRule="auto"/>
        <w:rPr>
          <w:sz w:val="20"/>
          <w:szCs w:val="20"/>
          <w:color w:val="auto"/>
        </w:rPr>
      </w:pPr>
      <w:r>
        <w:rPr>
          <w:rFonts w:ascii="Arial" w:cs="Arial" w:eastAsia="Arial" w:hAnsi="Arial"/>
          <w:sz w:val="17"/>
          <w:szCs w:val="17"/>
          <w:color w:val="auto"/>
        </w:rPr>
        <w:t>VPC’s historical investments consist primarily of debt capital and minority equity transactions which have allowed VPC to invest with a diverse universe of industry participants. VPC currently holds minority equity positions in over 20 Fintech firms globally, typically acquired in the form of warrants or early stage growth equity in conjunction with a larger debt investment. All VPC financing transactions allow meaningful access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20"/>
          </w:cols>
          <w:pgMar w:left="320" w:top="455" w:right="5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90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54902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right="40"/>
        <w:spacing w:after="0" w:line="242" w:lineRule="auto"/>
        <w:rPr>
          <w:sz w:val="20"/>
          <w:szCs w:val="20"/>
          <w:color w:val="auto"/>
        </w:rPr>
      </w:pPr>
      <w:r>
        <w:rPr>
          <w:rFonts w:ascii="Arial" w:cs="Arial" w:eastAsia="Arial" w:hAnsi="Arial"/>
          <w:sz w:val="17"/>
          <w:szCs w:val="17"/>
          <w:color w:val="auto"/>
        </w:rPr>
        <w:t>management, require detailed reporting, and often include Board of Directors observation rights. This affords VPC valuable insights into the industry and competitive dynamics as well as benchmarks to identify best-in-class operations and management teams. VPC has executed over 50 Fintech transactions and has performed diligence on other opportunities across the world culminating in deep sector expertise and a unique market position. In evaluating potential target businesses, we will utilize VPC’s comprehensive underwriting and diligence review standards to determine the intrinsic value and identify both idiosyncratic and market risks inherent with each Fintech business.</w:t>
      </w:r>
    </w:p>
    <w:p>
      <w:pPr>
        <w:spacing w:after="0" w:line="121" w:lineRule="exact"/>
        <w:rPr>
          <w:sz w:val="20"/>
          <w:szCs w:val="20"/>
          <w:color w:val="auto"/>
        </w:rPr>
      </w:pPr>
    </w:p>
    <w:p>
      <w:pPr>
        <w:ind w:left="200" w:right="80"/>
        <w:spacing w:after="0" w:line="239" w:lineRule="auto"/>
        <w:rPr>
          <w:sz w:val="20"/>
          <w:szCs w:val="20"/>
          <w:color w:val="auto"/>
        </w:rPr>
      </w:pPr>
      <w:r>
        <w:rPr>
          <w:rFonts w:ascii="Arial" w:cs="Arial" w:eastAsia="Arial" w:hAnsi="Arial"/>
          <w:sz w:val="17"/>
          <w:szCs w:val="17"/>
          <w:color w:val="auto"/>
        </w:rPr>
        <w:t>The VPC investment team’s deal sourcing network is further expanded by the widespread reach and reputation of various global joint venture partners including the International Finance Corporation (“IFC”), a member of the World Bank, and Inter-American Development Bank (“IDB”). These partnerships expand VPC’s sourcing network globally and present a proprietary and differentiated channel for the identification of emerging market Fintech businesses that may benefit from a potential business combination. VPC has successfully utilized these relationships to source and execute non-U.S. Fintech transactions and add credibility and access to VPC to prospective targets in emerging markets. VPC believes these relationships are a key differentiator and will play a critical role in allowing VPC to evaluate attractive non-U.S. acquisition targets, which may further benefit from our access to U.S. equity markets.</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Acquisition Criteria</w:t>
      </w:r>
    </w:p>
    <w:p>
      <w:pPr>
        <w:spacing w:after="0" w:line="316" w:lineRule="exact"/>
        <w:rPr>
          <w:sz w:val="20"/>
          <w:szCs w:val="20"/>
          <w:color w:val="auto"/>
        </w:rPr>
      </w:pPr>
    </w:p>
    <w:p>
      <w:pPr>
        <w:ind w:left="200"/>
        <w:spacing w:after="0" w:line="246" w:lineRule="auto"/>
        <w:rPr>
          <w:sz w:val="20"/>
          <w:szCs w:val="20"/>
          <w:color w:val="auto"/>
        </w:rPr>
      </w:pPr>
      <w:r>
        <w:rPr>
          <w:rFonts w:ascii="Arial" w:cs="Arial" w:eastAsia="Arial" w:hAnsi="Arial"/>
          <w:sz w:val="17"/>
          <w:szCs w:val="17"/>
          <w:color w:val="auto"/>
        </w:rPr>
        <w:t>Consistent with our business strategy, we have identified the following general criteria and guidelines that we believe are important in evaluating a prospective business target. We expect to utilize these criteria and guidelines in evaluating acquisition opportunities, but these are not intended to be exhaustive and management will independently review the merits of an initial business combination. We expect that no individual criterion will entirely determine a decision to pursue an opportunity, but we intend to acquire companies that we believe:</w:t>
      </w:r>
    </w:p>
    <w:p>
      <w:pPr>
        <w:spacing w:after="0" w:line="157" w:lineRule="exact"/>
        <w:rPr>
          <w:sz w:val="20"/>
          <w:szCs w:val="20"/>
          <w:color w:val="auto"/>
        </w:rPr>
      </w:pPr>
    </w:p>
    <w:p>
      <w:pPr>
        <w:ind w:left="1060" w:hanging="434"/>
        <w:spacing w:after="0"/>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Are high-growth Fintech businesses which operate within large and expanding markets with significant whitespace opportunity;</w:t>
      </w:r>
    </w:p>
    <w:p>
      <w:pPr>
        <w:spacing w:after="0" w:line="35" w:lineRule="exact"/>
        <w:rPr>
          <w:rFonts w:ascii="MS PGothic" w:cs="MS PGothic" w:eastAsia="MS PGothic" w:hAnsi="MS PGothic"/>
          <w:sz w:val="13"/>
          <w:szCs w:val="13"/>
          <w:color w:val="auto"/>
        </w:rPr>
      </w:pPr>
    </w:p>
    <w:p>
      <w:pPr>
        <w:ind w:left="1060" w:hanging="434"/>
        <w:spacing w:after="0"/>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Are high-growth Fintech businesses which operate within large and expanding markets with significant whitespace opportunity;</w:t>
      </w:r>
    </w:p>
    <w:p>
      <w:pPr>
        <w:spacing w:after="0" w:line="34" w:lineRule="exact"/>
        <w:rPr>
          <w:rFonts w:ascii="MS PGothic" w:cs="MS PGothic" w:eastAsia="MS PGothic" w:hAnsi="MS PGothic"/>
          <w:sz w:val="13"/>
          <w:szCs w:val="13"/>
          <w:color w:val="auto"/>
        </w:rPr>
      </w:pPr>
    </w:p>
    <w:p>
      <w:pPr>
        <w:ind w:left="1060" w:right="460" w:hanging="434"/>
        <w:spacing w:after="0" w:line="256" w:lineRule="auto"/>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Are of meaningful scale and whose products and/or services are materially differentiated from competitors creating meaningful barriers to entry for new competitors;</w:t>
      </w:r>
    </w:p>
    <w:p>
      <w:pPr>
        <w:spacing w:after="0" w:line="1" w:lineRule="exact"/>
        <w:rPr>
          <w:rFonts w:ascii="MS PGothic" w:cs="MS PGothic" w:eastAsia="MS PGothic" w:hAnsi="MS PGothic"/>
          <w:sz w:val="13"/>
          <w:szCs w:val="13"/>
          <w:color w:val="auto"/>
        </w:rPr>
      </w:pPr>
    </w:p>
    <w:p>
      <w:pPr>
        <w:ind w:left="1060" w:right="760" w:hanging="434"/>
        <w:spacing w:after="0" w:line="256" w:lineRule="auto"/>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Operate a superior unit economic model which either currently or over time are expected to generate profitable, stable and predictable cash flow generation for the business;</w:t>
      </w:r>
    </w:p>
    <w:p>
      <w:pPr>
        <w:spacing w:after="0" w:line="1" w:lineRule="exact"/>
        <w:rPr>
          <w:rFonts w:ascii="MS PGothic" w:cs="MS PGothic" w:eastAsia="MS PGothic" w:hAnsi="MS PGothic"/>
          <w:sz w:val="13"/>
          <w:szCs w:val="13"/>
          <w:color w:val="auto"/>
        </w:rPr>
      </w:pPr>
    </w:p>
    <w:p>
      <w:pPr>
        <w:ind w:left="1060" w:right="120" w:hanging="434"/>
        <w:spacing w:after="0" w:line="256" w:lineRule="auto"/>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Are at a capital inflection point where significant risk-adjusted shareholder value can be generated through a business combination and resulting access to the broader equity capital markets to drive growth;</w:t>
      </w:r>
    </w:p>
    <w:p>
      <w:pPr>
        <w:spacing w:after="0" w:line="1" w:lineRule="exact"/>
        <w:rPr>
          <w:rFonts w:ascii="MS PGothic" w:cs="MS PGothic" w:eastAsia="MS PGothic" w:hAnsi="MS PGothic"/>
          <w:sz w:val="13"/>
          <w:szCs w:val="13"/>
          <w:color w:val="auto"/>
        </w:rPr>
      </w:pPr>
    </w:p>
    <w:p>
      <w:pPr>
        <w:ind w:left="1060" w:hanging="434"/>
        <w:spacing w:after="0"/>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Possess a best-in-class management team with a track record of success in driving growth and profitability within Fintech market;</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Maintain superior and scalable risk management, underwriting, data analytics, monitoring and reporting processes; and</w:t>
      </w:r>
    </w:p>
    <w:p>
      <w:pPr>
        <w:spacing w:after="0" w:line="34" w:lineRule="exact"/>
        <w:rPr>
          <w:rFonts w:ascii="MS PGothic" w:cs="MS PGothic" w:eastAsia="MS PGothic" w:hAnsi="MS PGothic"/>
          <w:sz w:val="13"/>
          <w:szCs w:val="13"/>
          <w:color w:val="auto"/>
        </w:rPr>
      </w:pPr>
    </w:p>
    <w:p>
      <w:pPr>
        <w:ind w:left="1060" w:right="660" w:hanging="434"/>
        <w:spacing w:after="0" w:line="273" w:lineRule="auto"/>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Promote financial inclusion and provide significant value to the underlying end consumer or enterprise through a lowering of transaction costs or through providing access to high-quality financial services.</w:t>
      </w:r>
    </w:p>
    <w:p>
      <w:pPr>
        <w:spacing w:after="0" w:line="94" w:lineRule="exact"/>
        <w:rPr>
          <w:sz w:val="20"/>
          <w:szCs w:val="20"/>
          <w:color w:val="auto"/>
        </w:rPr>
      </w:pPr>
    </w:p>
    <w:p>
      <w:pPr>
        <w:ind w:left="200" w:right="60"/>
        <w:spacing w:after="0"/>
        <w:rPr>
          <w:sz w:val="20"/>
          <w:szCs w:val="20"/>
          <w:color w:val="auto"/>
        </w:rPr>
      </w:pPr>
      <w:r>
        <w:rPr>
          <w:rFonts w:ascii="Arial" w:cs="Arial" w:eastAsia="Arial" w:hAnsi="Arial"/>
          <w:sz w:val="17"/>
          <w:szCs w:val="17"/>
          <w:color w:val="auto"/>
        </w:rPr>
        <w:t>These criteria and guidelines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proxy solicitation materials or tender offer documents that we would file with the SEC.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40"/>
          </w:cols>
          <w:pgMar w:left="320" w:top="455"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884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8845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Management Team</w:t>
      </w:r>
    </w:p>
    <w:p>
      <w:pPr>
        <w:spacing w:after="0" w:line="316" w:lineRule="exact"/>
        <w:rPr>
          <w:sz w:val="20"/>
          <w:szCs w:val="20"/>
          <w:color w:val="auto"/>
        </w:rPr>
      </w:pPr>
    </w:p>
    <w:p>
      <w:pPr>
        <w:ind w:left="200" w:right="120"/>
        <w:spacing w:after="0" w:line="242" w:lineRule="auto"/>
        <w:rPr>
          <w:sz w:val="20"/>
          <w:szCs w:val="20"/>
          <w:color w:val="auto"/>
        </w:rPr>
      </w:pPr>
      <w:r>
        <w:rPr>
          <w:rFonts w:ascii="Arial" w:cs="Arial" w:eastAsia="Arial" w:hAnsi="Arial"/>
          <w:sz w:val="17"/>
          <w:szCs w:val="17"/>
          <w:color w:val="auto"/>
        </w:rPr>
        <w:t>Our management team will consist of John Martin, our Chairman and Chief Executive Officer, Gordon Watson, our President and Chief Operating Officer, and Olibia Stamatoglou, our Chief Financial Officer, all of whom will be supported by the entire VPC investment team whose partners average over 15 years of relevant experience across a broad range of investing, financial, operating, advisory and legal disciplines. Our management team’s Fintech investing experience and operational expertise enables VPC to consistently act as a value-added partner to its portfolio companies.</w:t>
      </w:r>
    </w:p>
    <w:p>
      <w:pPr>
        <w:spacing w:after="0" w:line="121"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John Martin, our Chairman and Chief Executive Officer, maintains over thirty years of investment experience and is a Senior Partner at VPC. Martin served as managing partner and co-CEO of Antares Capital, LP, a private debt credit manager, until May 2019. He was a founding partner of the original Antares Capital in 1996, a startup business that provided acquisition financing capital to the portfolio companies of private equity firms across North America. Over the course of nine years, Antares grew to become one of the largest providers of acquisition capital to private equity sponsors in the middle market. Following the firm’s acquisition by GE Capital in 2005, Martin became President and CEO of the newly branded GE Antares Capital and helped to direct the strategic vision of the business. In addition, he presided over numerous acquisitions and divestitures, including the sale of the firm to The Canada Pension Plan Investment Board (“CPPIB”) for $12 billion in August 2015. Subsequently, Antares went on to raise more than $6.5 billion in the CLO market from a global investor base comprised of banks, pension funds, insurance companies and asset managers. Following the acquisition by CPPIB, Martin sat on the Antares Investment Committee throughout his tenure at the company and was a member of the board of directors. At the time of his retirement, the firm’s assets under management totaled more than $24 billion.</w:t>
      </w:r>
    </w:p>
    <w:p>
      <w:pPr>
        <w:spacing w:after="0" w:line="127" w:lineRule="exact"/>
        <w:rPr>
          <w:sz w:val="20"/>
          <w:szCs w:val="20"/>
          <w:color w:val="auto"/>
        </w:rPr>
      </w:pPr>
    </w:p>
    <w:p>
      <w:pPr>
        <w:ind w:left="200" w:right="20"/>
        <w:spacing w:after="0"/>
        <w:rPr>
          <w:sz w:val="20"/>
          <w:szCs w:val="20"/>
          <w:color w:val="auto"/>
        </w:rPr>
      </w:pPr>
      <w:r>
        <w:rPr>
          <w:rFonts w:ascii="Arial" w:cs="Arial" w:eastAsia="Arial" w:hAnsi="Arial"/>
          <w:sz w:val="17"/>
          <w:szCs w:val="17"/>
          <w:color w:val="auto"/>
        </w:rPr>
        <w:t>Gordon Watson, our President and Chief Operating Officer, joined VPC in 2014 and is currently a Partner. Gordon is a member of VPC’s investment committee and helps lead our Fintech investing team. Gordon is the Investment Manager for VPC Specialty Lending Investments PLC (LSE: VSL), a VPC managed UK publicly listed investment trust focused on opportunities in the Fintech market. Previously, Gordon was a portfolio manager focused on distressed debt at GLG Partners, a London-based 31 billion multi-strategy hedge fund that concentrates on a diverse range of alternative investments. He joined GLG when it purchased Ore Hill Partners, a credit focused hedge fund where Gordon was a partner.</w:t>
      </w:r>
    </w:p>
    <w:p>
      <w:pPr>
        <w:spacing w:after="0" w:line="123" w:lineRule="exact"/>
        <w:rPr>
          <w:sz w:val="20"/>
          <w:szCs w:val="20"/>
          <w:color w:val="auto"/>
        </w:rPr>
      </w:pPr>
    </w:p>
    <w:p>
      <w:pPr>
        <w:ind w:left="200" w:right="260"/>
        <w:spacing w:after="0" w:line="242" w:lineRule="auto"/>
        <w:rPr>
          <w:sz w:val="20"/>
          <w:szCs w:val="20"/>
          <w:color w:val="auto"/>
        </w:rPr>
      </w:pPr>
      <w:r>
        <w:rPr>
          <w:rFonts w:ascii="Arial" w:cs="Arial" w:eastAsia="Arial" w:hAnsi="Arial"/>
          <w:sz w:val="17"/>
          <w:szCs w:val="17"/>
          <w:color w:val="auto"/>
        </w:rPr>
        <w:t>Olibia Stamatoglou, our Chief Financial Officer, is the Chief Financial Officer of VPC. Previously, Olibia served as vice president of finance at Valor Equity Partners where she managed firm and fund finance activities. Prior to Valor, she served as chief operating officer and chief financial officer of First National Assets, a specialty finance private equity group specializing in tax lien purchases and real estate owned ventures. She joined First National Assets from Aurora Investment Management where she progressed through several accounting roles. Mrs. Stamatoglou was recognized as one of Crain’s Notable Women in Finance for 2019.</w:t>
      </w:r>
    </w:p>
    <w:p>
      <w:pPr>
        <w:spacing w:after="0" w:line="127" w:lineRule="exact"/>
        <w:rPr>
          <w:sz w:val="20"/>
          <w:szCs w:val="20"/>
          <w:color w:val="auto"/>
        </w:rPr>
      </w:pPr>
    </w:p>
    <w:p>
      <w:pPr>
        <w:ind w:left="200" w:right="420"/>
        <w:spacing w:after="0" w:line="243" w:lineRule="auto"/>
        <w:rPr>
          <w:sz w:val="20"/>
          <w:szCs w:val="20"/>
          <w:color w:val="auto"/>
        </w:rPr>
      </w:pPr>
      <w:r>
        <w:rPr>
          <w:rFonts w:ascii="Arial" w:cs="Arial" w:eastAsia="Arial" w:hAnsi="Arial"/>
          <w:sz w:val="18"/>
          <w:szCs w:val="18"/>
          <w:color w:val="auto"/>
        </w:rPr>
        <w:t xml:space="preserve">With respect to the foregoing experiences of our management team, past performance is not a guarantee (i) that we will be able to identify a suitable candidate for our initial business combination or (ii) of success with respect to any business combination we may consummate. You should not rely on the historical record of our management team’s performance as indicative of our future performance. None of the members of our management team has any past experience with any blank check companies or special purpose acquisition companies. For more information on the experience and background of our management team, see the section entitled </w:t>
      </w:r>
      <w:r>
        <w:rPr>
          <w:rFonts w:ascii="Arial" w:cs="Arial" w:eastAsia="Arial" w:hAnsi="Arial"/>
          <w:sz w:val="18"/>
          <w:szCs w:val="18"/>
          <w:i w:val="1"/>
          <w:iCs w:val="1"/>
          <w:color w:val="auto"/>
        </w:rPr>
        <w:t>“Management.”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i w:val="1"/>
          <w:iCs w:val="1"/>
          <w:u w:val="single" w:color="auto"/>
          <w:color w:val="auto"/>
        </w:rPr>
        <w:t>VPC Investment Team Leadership</w:t>
      </w:r>
    </w:p>
    <w:p>
      <w:pPr>
        <w:spacing w:after="0" w:line="154" w:lineRule="exact"/>
        <w:rPr>
          <w:sz w:val="20"/>
          <w:szCs w:val="20"/>
          <w:color w:val="auto"/>
        </w:rPr>
      </w:pPr>
    </w:p>
    <w:p>
      <w:pPr>
        <w:jc w:val="both"/>
        <w:ind w:left="200" w:right="140"/>
        <w:spacing w:after="0" w:line="246" w:lineRule="auto"/>
        <w:rPr>
          <w:sz w:val="20"/>
          <w:szCs w:val="20"/>
          <w:color w:val="auto"/>
        </w:rPr>
      </w:pPr>
      <w:r>
        <w:rPr>
          <w:rFonts w:ascii="Arial" w:cs="Arial" w:eastAsia="Arial" w:hAnsi="Arial"/>
          <w:sz w:val="17"/>
          <w:szCs w:val="17"/>
          <w:color w:val="auto"/>
        </w:rPr>
        <w:t>Richard Levy is the Chief Executive Officer and Founder of VPC. He oversees the firm’s investment and operational activities. Mr. Levy is also the chairman of the firm’s Senior Leadership Team and Investment Committee. Mr. Levy serves as chairman of the board of directors of VPC portfolio company, Giordano’s. He also serves as a member of the board of directors of VPC portfolio companies, Caribbean Financial Group and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40"/>
          </w:cols>
          <w:pgMar w:left="320" w:top="455" w:right="5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259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25907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right="20"/>
        <w:spacing w:after="0" w:line="242" w:lineRule="auto"/>
        <w:rPr>
          <w:sz w:val="20"/>
          <w:szCs w:val="20"/>
          <w:color w:val="auto"/>
        </w:rPr>
      </w:pPr>
      <w:r>
        <w:rPr>
          <w:rFonts w:ascii="Arial" w:cs="Arial" w:eastAsia="Arial" w:hAnsi="Arial"/>
          <w:sz w:val="17"/>
          <w:szCs w:val="17"/>
          <w:color w:val="auto"/>
        </w:rPr>
        <w:t>United Automobile Insurance Company. Previously, Mr. Levy served as head of the Small Cap Structured Products Group and co-head of the Solutions Group at Magnetar Capital. He also co-founded and served as managing partner at Crestview Capital Partners. Mr. Levy received a B.A. in political science from The Ohio State University, an MBA from the Illinois Institute of Technology’s Stuart School of Business and a J.D. from Chicago-Kent College of Law. He is a member of the Illinois bar (inactive). Mr. Levy is also chairman of the board of nonprofit, Gardeneers, an active board member of Camp Kesem and he sits on the Board of Trustees for the Illinois Institute of Technology.</w:t>
      </w:r>
    </w:p>
    <w:p>
      <w:pPr>
        <w:spacing w:after="0" w:line="121" w:lineRule="exact"/>
        <w:rPr>
          <w:sz w:val="20"/>
          <w:szCs w:val="20"/>
          <w:color w:val="auto"/>
        </w:rPr>
      </w:pPr>
    </w:p>
    <w:p>
      <w:pPr>
        <w:ind w:left="200" w:right="140"/>
        <w:spacing w:after="0" w:line="236" w:lineRule="auto"/>
        <w:rPr>
          <w:sz w:val="20"/>
          <w:szCs w:val="20"/>
          <w:color w:val="auto"/>
        </w:rPr>
      </w:pPr>
      <w:r>
        <w:rPr>
          <w:rFonts w:ascii="Arial" w:cs="Arial" w:eastAsia="Arial" w:hAnsi="Arial"/>
          <w:sz w:val="17"/>
          <w:szCs w:val="17"/>
          <w:color w:val="auto"/>
        </w:rPr>
        <w:t>Brendan Carroll is a Senior Partner at VPC, which he co-founded in 2007. He is responsible for strategic initiatives and firm operations in addition to sourcing, evaluating and executing investment opportunities. Mr. Carroll also oversees marketing, fundraising, business development and investor relations for the firm. He is a member of the firm’s Senior Leadership Team and Investment Committee. Mr. Carroll serves as member of the board of directors of VPC portfolio company, johnnie-O. Previously, as a member of the Solutions Group at Magnetar Capital, Mr. Carroll specialized in direct financings to lower middle market companies. He has held various investment banking positions at William Blair and Robertson Stephens, specializing in corporate finance and mergers and acquisitions. Mr. Carroll has also worked in various capacities for former U.S. Senator Joseph Lieberman (I- CT). Mr. Carroll received a B.A. with honors in government from Georgetown University and an MBA from Harvard Business School. He speaks frequently on debt and private equity investing issues and has served as a guest lecturer and panelist at the University of Chicago’s Booth Global School of Business, Northwestern University’s Kellogg School of Management and Harvard Business School. Mr. Carroll is a member of the Finance Council of the Archdiocese of Chicago and Loyola Press and previously served on the Board of Regents at Georgetown University. He is also a director on the board of the Ann &amp; Robert H. Lurie Children’s Hospital of Chicago and is also a member of the board’s Finance Committee.</w:t>
      </w:r>
    </w:p>
    <w:p>
      <w:pPr>
        <w:spacing w:after="0" w:line="123" w:lineRule="exact"/>
        <w:rPr>
          <w:sz w:val="20"/>
          <w:szCs w:val="20"/>
          <w:color w:val="auto"/>
        </w:rPr>
      </w:pPr>
    </w:p>
    <w:p>
      <w:pPr>
        <w:ind w:left="200" w:right="80"/>
        <w:spacing w:after="0" w:line="237" w:lineRule="auto"/>
        <w:rPr>
          <w:sz w:val="20"/>
          <w:szCs w:val="20"/>
          <w:color w:val="auto"/>
        </w:rPr>
      </w:pPr>
      <w:r>
        <w:rPr>
          <w:rFonts w:ascii="Arial" w:cs="Arial" w:eastAsia="Arial" w:hAnsi="Arial"/>
          <w:sz w:val="17"/>
          <w:szCs w:val="17"/>
          <w:color w:val="auto"/>
        </w:rPr>
        <w:t>Jason Brown joined VPC in 2014 as a Partner and manages the firm’s Los Angeles office. He is primarily responsible for sourcing, analyzing, executing and managing investments in lower middle market companies. Mr. Brown also actively works on value creation initiatives and strategic alternatives for the firm. Mr. Brown is a member of the firm’s Senior Leadership Team and Investment Committee. Mr. Brown currently serves on the board of directors of VPC portfolio companies, Labs.Dental Holdings and Processing.com. Mr. Brown has more than 20 years of experience in financial services. Most recently, Mr. Brown was a managing director for GE Capital, Corporate Restructuring Finance for more than ten years where he and his team provided growth, working capital and turnaround finance to mid-size and large companies. His team also specialized in senior secured loans to distressed companies supporting Chapter 11 filings, plan-of-reorganizations and out-of-court restructurings. Prior to GE Capital, he worked at Comerica Bank as a manager in their northern Los Angeles office and for Manufacturers Hanover in Sydney, Australia. He has also served as the global chairman and president of the Los Angeles chapter of the Association for Corporate Growth (ACG). Mr. Brown received a B.S. in business administration from the University of Southern California.</w:t>
      </w:r>
    </w:p>
    <w:p>
      <w:pPr>
        <w:spacing w:after="0" w:line="122" w:lineRule="exact"/>
        <w:rPr>
          <w:sz w:val="20"/>
          <w:szCs w:val="20"/>
          <w:color w:val="auto"/>
        </w:rPr>
      </w:pPr>
    </w:p>
    <w:p>
      <w:pPr>
        <w:ind w:left="200" w:right="200"/>
        <w:spacing w:after="0"/>
        <w:rPr>
          <w:sz w:val="20"/>
          <w:szCs w:val="20"/>
          <w:color w:val="auto"/>
        </w:rPr>
      </w:pPr>
      <w:r>
        <w:rPr>
          <w:rFonts w:ascii="Arial" w:cs="Arial" w:eastAsia="Arial" w:hAnsi="Arial"/>
          <w:sz w:val="17"/>
          <w:szCs w:val="17"/>
          <w:color w:val="auto"/>
        </w:rPr>
        <w:t>Tom Welch joined VPC in 2009 and is a Partner. He is primarily responsible for sourcing, analyzing, executing and managing investments primarily within the financial services industry. Mr. Welch also actively works on value creation initiatives and strategic alternatives for portfolio companies. Mr. Welch is a member of firm’s Investment Committee. Previously, Mr. Welch served as a credit underwriter in the Cash-Flow Lending Group for CapitalSource, concentrating his investment efforts in the industrials, consumer products and business services industries. He also worked in the Global Multi-Industries Investment Banking Group at Merrill Lynch, focusing on mergers and acquisitions, leveraged finance and growth capital transactions. Mr. Welch received a B.S. in finance with honors from the University of Illinois.</w:t>
      </w:r>
    </w:p>
    <w:p>
      <w:pPr>
        <w:spacing w:after="0" w:line="123" w:lineRule="exact"/>
        <w:rPr>
          <w:sz w:val="20"/>
          <w:szCs w:val="20"/>
          <w:color w:val="auto"/>
        </w:rPr>
      </w:pPr>
    </w:p>
    <w:p>
      <w:pPr>
        <w:ind w:left="200"/>
        <w:spacing w:after="0" w:line="242" w:lineRule="auto"/>
        <w:rPr>
          <w:sz w:val="20"/>
          <w:szCs w:val="20"/>
          <w:color w:val="auto"/>
        </w:rPr>
      </w:pPr>
      <w:r>
        <w:rPr>
          <w:rFonts w:ascii="Arial" w:cs="Arial" w:eastAsia="Arial" w:hAnsi="Arial"/>
          <w:sz w:val="17"/>
          <w:szCs w:val="17"/>
          <w:color w:val="auto"/>
        </w:rPr>
        <w:t>Connell Hasten joined VPC in 2018 and is a Partner. He co-founded and manages the firm’s insurance services platform and is primarily responsible for sourcing, underwriting, executing and managing investment opportunities for insurers. Mr. Hasten is a member of the firm’s Investment Committee. Previously, Mr. Hasten was a managing director at EquiTrust Life Insurance Company, an insurance company with approximately $20.0 billion in assets, where he oversaw a large portion of private and public debt and equity investments. Prior to EquiTrust Life Insurance Company, Mr. Hasten was a director at Guggenheim Partners and served as 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60"/>
          </w:cols>
          <w:pgMar w:left="320" w:top="455" w:right="5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73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4730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portfolio manager, primarily responsible for an $8 billion real estate investment portfolio on behalf of insurance companies. Beforehand,</w:t>
      </w:r>
    </w:p>
    <w:p>
      <w:pPr>
        <w:spacing w:after="0" w:line="16" w:lineRule="exact"/>
        <w:rPr>
          <w:sz w:val="20"/>
          <w:szCs w:val="20"/>
          <w:color w:val="auto"/>
        </w:rPr>
      </w:pPr>
    </w:p>
    <w:p>
      <w:pPr>
        <w:ind w:left="200" w:right="140"/>
        <w:spacing w:after="0"/>
        <w:rPr>
          <w:sz w:val="20"/>
          <w:szCs w:val="20"/>
          <w:color w:val="auto"/>
        </w:rPr>
      </w:pPr>
      <w:r>
        <w:rPr>
          <w:rFonts w:ascii="Arial" w:cs="Arial" w:eastAsia="Arial" w:hAnsi="Arial"/>
          <w:sz w:val="17"/>
          <w:szCs w:val="17"/>
          <w:color w:val="auto"/>
        </w:rPr>
        <w:t>Mr. Hasten was a vice president at Bank of America in the special situations and real estate lending groups. Mr. Hasten earned his B.S. from Indiana University’s Kelley School of Business and his MBA from Northwestern University’s Kellogg School of Management. Mr. Hasten was a recipient of the ULI 40 under 40 award in 2016 and is also an active Chicago board member of Camp Kesem.</w:t>
      </w:r>
    </w:p>
    <w:p>
      <w:pPr>
        <w:spacing w:after="0" w:line="121" w:lineRule="exact"/>
        <w:rPr>
          <w:sz w:val="20"/>
          <w:szCs w:val="20"/>
          <w:color w:val="auto"/>
        </w:rPr>
      </w:pPr>
    </w:p>
    <w:p>
      <w:pPr>
        <w:ind w:left="200" w:right="380"/>
        <w:spacing w:after="0" w:line="246" w:lineRule="auto"/>
        <w:rPr>
          <w:sz w:val="20"/>
          <w:szCs w:val="20"/>
          <w:color w:val="auto"/>
        </w:rPr>
      </w:pPr>
      <w:r>
        <w:rPr>
          <w:rFonts w:ascii="Arial" w:cs="Arial" w:eastAsia="Arial" w:hAnsi="Arial"/>
          <w:sz w:val="17"/>
          <w:szCs w:val="17"/>
          <w:color w:val="auto"/>
        </w:rPr>
        <w:t>Our management team’s efforts to seek a suitable business combination target will be complemented and augmented by the expertise and network of relationships of our independent director nominees. We believe that our access to and affiliation with our independent director nominees represents a competitive advantage. We also believe that our management team’s expertise will be augmented by the other members of our board of directors, which will provide extensive experience in business and financial matters.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Initial Business Combination</w:t>
      </w:r>
    </w:p>
    <w:p>
      <w:pPr>
        <w:spacing w:after="0" w:line="60"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w:t>
      </w:r>
    </w:p>
    <w:p>
      <w:pPr>
        <w:spacing w:after="0" w:line="122"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We anticipate structuring our initial business combination so that the post transaction company in which our public shareholders own shares will own or acquire 100% of the equity interests or assets of the target business or businesses. We may, however, structure our initial business combination such that the post transaction company owns or acquires less than 100% of such interests or assets of the target business in order to meet certain objectives of the target management team or shareholders or for other reasons, but we will only complete such business combination if the post 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 transaction company owns or acquires 50% or more of the voting securities of the target, our shareholders prior to the business combination may collectively own a minority interest in the post transaction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 transaction company, the portion of such business or businesses that is owned or acquired is what will be taken into account for purposes of the 80% of assets test described above. If the business combination involves more than one target business, the 80% of assets test will be based on the aggregate value of all of the target businesses.</w:t>
      </w:r>
    </w:p>
    <w:p>
      <w:pPr>
        <w:spacing w:after="0" w:line="124" w:lineRule="exact"/>
        <w:rPr>
          <w:sz w:val="20"/>
          <w:szCs w:val="20"/>
          <w:color w:val="auto"/>
        </w:rPr>
      </w:pPr>
    </w:p>
    <w:p>
      <w:pPr>
        <w:ind w:left="200" w:right="260"/>
        <w:spacing w:after="0" w:line="246"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40"/>
          </w:cols>
          <w:pgMar w:left="320" w:top="455" w:right="5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318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31876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right="500"/>
        <w:spacing w:after="0" w:line="275" w:lineRule="auto"/>
        <w:rPr>
          <w:sz w:val="20"/>
          <w:szCs w:val="20"/>
          <w:color w:val="auto"/>
        </w:rPr>
      </w:pPr>
      <w:r>
        <w:rPr>
          <w:rFonts w:ascii="Arial" w:cs="Arial" w:eastAsia="Arial" w:hAnsi="Arial"/>
          <w:sz w:val="17"/>
          <w:szCs w:val="17"/>
          <w:color w:val="auto"/>
        </w:rPr>
        <w:t>independent directors, would obtain an opinion from an independent investment banking firm that is a member of FINRA or a valuation or appraisal firm that such an initial business combination is fair to our company from a financial point of view.</w:t>
      </w:r>
    </w:p>
    <w:p>
      <w:pPr>
        <w:spacing w:after="0" w:line="92" w:lineRule="exact"/>
        <w:rPr>
          <w:sz w:val="20"/>
          <w:szCs w:val="20"/>
          <w:color w:val="auto"/>
        </w:rPr>
      </w:pPr>
    </w:p>
    <w:p>
      <w:pPr>
        <w:ind w:left="200" w:right="100"/>
        <w:spacing w:after="0" w:line="242" w:lineRule="auto"/>
        <w:rPr>
          <w:sz w:val="20"/>
          <w:szCs w:val="20"/>
          <w:color w:val="auto"/>
        </w:rPr>
      </w:pPr>
      <w:r>
        <w:rPr>
          <w:rFonts w:ascii="Arial" w:cs="Arial" w:eastAsia="Arial" w:hAnsi="Arial"/>
          <w:sz w:val="17"/>
          <w:szCs w:val="17"/>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1"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26" w:lineRule="exact"/>
        <w:rPr>
          <w:sz w:val="20"/>
          <w:szCs w:val="20"/>
          <w:color w:val="auto"/>
        </w:rPr>
      </w:pPr>
    </w:p>
    <w:p>
      <w:pPr>
        <w:jc w:val="both"/>
        <w:ind w:left="200" w:right="10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ind w:left="200" w:right="60"/>
        <w:spacing w:after="0" w:line="246" w:lineRule="auto"/>
        <w:rPr>
          <w:sz w:val="20"/>
          <w:szCs w:val="20"/>
          <w:color w:val="auto"/>
        </w:rPr>
      </w:pPr>
      <w:r>
        <w:rPr>
          <w:rFonts w:ascii="Arial" w:cs="Arial" w:eastAsia="Arial" w:hAnsi="Arial"/>
          <w:sz w:val="17"/>
          <w:szCs w:val="17"/>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60" w:lineRule="exact"/>
        <w:rPr>
          <w:sz w:val="20"/>
          <w:szCs w:val="20"/>
          <w:color w:val="auto"/>
        </w:rPr>
      </w:pPr>
    </w:p>
    <w:p>
      <w:pPr>
        <w:ind w:left="200" w:right="420"/>
        <w:spacing w:after="0" w:line="275" w:lineRule="auto"/>
        <w:rPr>
          <w:sz w:val="20"/>
          <w:szCs w:val="20"/>
          <w:color w:val="auto"/>
        </w:rPr>
      </w:pPr>
      <w:r>
        <w:rPr>
          <w:rFonts w:ascii="Arial" w:cs="Arial" w:eastAsia="Arial" w:hAnsi="Arial"/>
          <w:sz w:val="17"/>
          <w:szCs w:val="17"/>
          <w:color w:val="auto"/>
        </w:rPr>
        <w:t>Our executive offices are located at 150 North Riverside Plaza, Suite 5200, Chicago, Illinois 60606, and our telephone number is 312-701-1777.</w:t>
      </w:r>
    </w:p>
    <w:p>
      <w:pPr>
        <w:spacing w:after="0" w:line="92"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40"/>
          </w:cols>
          <w:pgMar w:left="320" w:top="455"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3235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323596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0" w:right="100"/>
        <w:spacing w:after="0" w:line="238"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as modified by the Jumpstart Our Business Startups Act of 2012 (the “</w:t>
      </w:r>
      <w:r>
        <w:rPr>
          <w:rFonts w:ascii="Arial" w:cs="Arial" w:eastAsia="Arial" w:hAnsi="Arial"/>
          <w:sz w:val="17"/>
          <w:szCs w:val="17"/>
          <w:b w:val="1"/>
          <w:bCs w:val="1"/>
          <w:color w:val="auto"/>
        </w:rPr>
        <w:t>JOBS Act</w:t>
      </w:r>
      <w:r>
        <w:rPr>
          <w:rFonts w:ascii="Arial" w:cs="Arial" w:eastAsia="Arial" w:hAnsi="Arial"/>
          <w:sz w:val="17"/>
          <w:szCs w:val="17"/>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5" w:lineRule="exact"/>
        <w:rPr>
          <w:sz w:val="20"/>
          <w:szCs w:val="20"/>
          <w:color w:val="auto"/>
        </w:rPr>
      </w:pPr>
    </w:p>
    <w:p>
      <w:pPr>
        <w:ind w:left="200"/>
        <w:spacing w:after="0" w:line="246"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17" w:lineRule="exact"/>
        <w:rPr>
          <w:sz w:val="20"/>
          <w:szCs w:val="20"/>
          <w:color w:val="auto"/>
        </w:rPr>
      </w:pPr>
    </w:p>
    <w:p>
      <w:pPr>
        <w:ind w:left="200" w:right="60"/>
        <w:spacing w:after="0" w:line="242"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21" w:lineRule="exact"/>
        <w:rPr>
          <w:sz w:val="20"/>
          <w:szCs w:val="20"/>
          <w:color w:val="auto"/>
        </w:rPr>
      </w:pPr>
    </w:p>
    <w:p>
      <w:pPr>
        <w:ind w:left="200"/>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w:t>
      </w:r>
      <w:r>
        <w:rPr>
          <w:rFonts w:ascii="Arial" w:cs="Arial" w:eastAsia="Arial" w:hAnsi="Arial"/>
          <w:sz w:val="14"/>
          <w:szCs w:val="14"/>
          <w:color w:val="auto"/>
        </w:rPr>
        <w:t>th</w:t>
      </w:r>
      <w:r>
        <w:rPr>
          <w:rFonts w:ascii="Arial" w:cs="Arial" w:eastAsia="Arial" w:hAnsi="Arial"/>
          <w:sz w:val="17"/>
          <w:szCs w:val="17"/>
          <w:color w:val="auto"/>
        </w:rPr>
        <w:t>, or (2) our annual revenues exceeded $100 million during such completed fiscal year and the market value of our ordinary shares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40"/>
          </w:cols>
          <w:pgMar w:left="320" w:top="455" w:right="5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267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52673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318" w:lineRule="exact"/>
        <w:rPr>
          <w:sz w:val="20"/>
          <w:szCs w:val="20"/>
          <w:color w:val="auto"/>
        </w:rPr>
      </w:pPr>
    </w:p>
    <w:p>
      <w:pPr>
        <w:ind w:left="200" w:right="300"/>
        <w:spacing w:after="0" w:line="245" w:lineRule="auto"/>
        <w:rPr>
          <w:sz w:val="20"/>
          <w:szCs w:val="20"/>
          <w:color w:val="auto"/>
        </w:rPr>
      </w:pPr>
      <w:r>
        <w:rPr>
          <w:rFonts w:ascii="Arial" w:cs="Arial" w:eastAsia="Arial" w:hAnsi="Arial"/>
          <w:sz w:val="17"/>
          <w:szCs w:val="17"/>
          <w:i w:val="1"/>
          <w:iCs w:val="1"/>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pacing w:after="0" w:line="156" w:lineRule="exact"/>
        <w:rPr>
          <w:sz w:val="20"/>
          <w:szCs w:val="20"/>
          <w:color w:val="auto"/>
        </w:rPr>
      </w:pPr>
    </w:p>
    <w:p>
      <w:pPr>
        <w:ind w:left="200"/>
        <w:spacing w:after="0"/>
        <w:tabs>
          <w:tab w:leader="none" w:pos="4300" w:val="left"/>
        </w:tabs>
        <w:rPr>
          <w:sz w:val="20"/>
          <w:szCs w:val="20"/>
          <w:color w:val="auto"/>
        </w:rPr>
      </w:pPr>
      <w:r>
        <w:rPr>
          <w:rFonts w:ascii="Arial" w:cs="Arial" w:eastAsia="Arial" w:hAnsi="Arial"/>
          <w:sz w:val="17"/>
          <w:szCs w:val="17"/>
          <w:b w:val="1"/>
          <w:bCs w:val="1"/>
          <w:color w:val="auto"/>
        </w:rPr>
        <w:t>Securities offered:</w:t>
      </w:r>
      <w:r>
        <w:rPr>
          <w:sz w:val="20"/>
          <w:szCs w:val="20"/>
          <w:color w:val="auto"/>
        </w:rPr>
        <w:tab/>
      </w:r>
      <w:r>
        <w:rPr>
          <w:rFonts w:ascii="Arial" w:cs="Arial" w:eastAsia="Arial" w:hAnsi="Arial"/>
          <w:sz w:val="17"/>
          <w:szCs w:val="17"/>
          <w:color w:val="auto"/>
        </w:rPr>
        <w:t>20,000,000 units, at $10.00 per unit, each unit consisting of:</w:t>
      </w:r>
    </w:p>
    <w:p>
      <w:pPr>
        <w:spacing w:after="0" w:line="212" w:lineRule="exact"/>
        <w:rPr>
          <w:sz w:val="20"/>
          <w:szCs w:val="20"/>
          <w:color w:val="auto"/>
        </w:rPr>
      </w:pPr>
    </w:p>
    <w:p>
      <w:pPr>
        <w:ind w:left="4960" w:hanging="325"/>
        <w:spacing w:after="0"/>
        <w:tabs>
          <w:tab w:leader="none" w:pos="49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one Class A ordinary share; and</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one-half of one redeemable warrant.</w:t>
      </w:r>
    </w:p>
    <w:p>
      <w:pPr>
        <w:sectPr>
          <w:pgSz w:w="11900" w:h="16838" w:orient="portrait"/>
          <w:cols w:equalWidth="0" w:num="1">
            <w:col w:w="11040"/>
          </w:cols>
          <w:pgMar w:left="320" w:top="455" w:right="539" w:bottom="1440" w:gutter="0" w:footer="0" w:header="0"/>
        </w:sect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Trading commencement and separation of</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280" w:hanging="80"/>
        <w:spacing w:after="0" w:line="261" w:lineRule="auto"/>
        <w:rPr>
          <w:sz w:val="20"/>
          <w:szCs w:val="20"/>
          <w:color w:val="auto"/>
        </w:rPr>
      </w:pPr>
      <w:r>
        <w:rPr>
          <w:rFonts w:ascii="Arial" w:cs="Arial" w:eastAsia="Arial" w:hAnsi="Arial"/>
          <w:sz w:val="17"/>
          <w:szCs w:val="17"/>
          <w:b w:val="1"/>
          <w:bCs w:val="1"/>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Units: “VIHHU”</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Class A Ordinary Shares: “VIH”</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Warrants: “VIHHW”</w:t>
      </w:r>
    </w:p>
    <w:p>
      <w:pPr>
        <w:spacing w:after="0" w:line="19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4"/>
          <w:szCs w:val="14"/>
          <w:color w:val="auto"/>
        </w:rPr>
        <w:t>nd</w:t>
      </w:r>
      <w:r>
        <w:rPr>
          <w:rFonts w:ascii="Arial" w:cs="Arial" w:eastAsia="Arial" w:hAnsi="Arial"/>
          <w:sz w:val="17"/>
          <w:szCs w:val="17"/>
          <w:color w:val="auto"/>
        </w:rPr>
        <w:t xml:space="preserve"> day following the date of this prospectus unless Jefferies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6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at the closing of this offering. We will file the Current Report on Form 8-K promptly after the closing of this offering, which closing is anticipated to take place three business days from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4080" w:space="240"/>
            <w:col w:w="6720"/>
          </w:cols>
          <w:pgMar w:left="320" w:top="455" w:right="5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040"/>
          </w:cols>
          <w:pgMar w:left="320" w:top="455" w:right="5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64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46481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3700" w:type="dxa"/>
            <w:vAlign w:val="bottom"/>
          </w:tcPr>
          <w:p>
            <w:pPr>
              <w:spacing w:after="0"/>
              <w:rPr>
                <w:sz w:val="20"/>
                <w:szCs w:val="20"/>
                <w:color w:val="auto"/>
              </w:rPr>
            </w:pPr>
            <w:r>
              <w:rPr>
                <w:rFonts w:ascii="Arial" w:cs="Arial" w:eastAsia="Arial" w:hAnsi="Arial"/>
                <w:sz w:val="17"/>
                <w:szCs w:val="17"/>
                <w:b w:val="1"/>
                <w:bCs w:val="1"/>
                <w:color w:val="auto"/>
              </w:rPr>
              <w:t>Units:</w:t>
            </w:r>
          </w:p>
        </w:tc>
        <w:tc>
          <w:tcPr>
            <w:tcW w:w="1800" w:type="dxa"/>
            <w:vAlign w:val="bottom"/>
          </w:tcPr>
          <w:p>
            <w:pPr>
              <w:spacing w:after="0"/>
              <w:rPr>
                <w:sz w:val="21"/>
                <w:szCs w:val="21"/>
                <w:color w:val="auto"/>
              </w:rPr>
            </w:pPr>
          </w:p>
        </w:tc>
      </w:tr>
      <w:tr>
        <w:trPr>
          <w:trHeight w:val="392"/>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before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0</w:t>
            </w:r>
          </w:p>
        </w:tc>
      </w:tr>
      <w:tr>
        <w:trPr>
          <w:trHeight w:val="196"/>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after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20,000,000</w:t>
            </w:r>
          </w:p>
        </w:tc>
      </w:tr>
      <w:tr>
        <w:trPr>
          <w:trHeight w:val="195"/>
        </w:trPr>
        <w:tc>
          <w:tcPr>
            <w:tcW w:w="3700" w:type="dxa"/>
            <w:vAlign w:val="bottom"/>
          </w:tcPr>
          <w:p>
            <w:pPr>
              <w:spacing w:after="0"/>
              <w:rPr>
                <w:sz w:val="16"/>
                <w:szCs w:val="16"/>
                <w:color w:val="auto"/>
              </w:rPr>
            </w:pPr>
          </w:p>
        </w:tc>
        <w:tc>
          <w:tcPr>
            <w:tcW w:w="1800" w:type="dxa"/>
            <w:vAlign w:val="bottom"/>
          </w:tcPr>
          <w:p>
            <w:pPr>
              <w:ind w:left="1260"/>
              <w:spacing w:after="0"/>
              <w:rPr>
                <w:sz w:val="20"/>
                <w:szCs w:val="20"/>
                <w:color w:val="auto"/>
              </w:rPr>
            </w:pPr>
            <w:r>
              <w:rPr>
                <w:rFonts w:ascii="Arial" w:cs="Arial" w:eastAsia="Arial" w:hAnsi="Arial"/>
                <w:sz w:val="15"/>
                <w:szCs w:val="15"/>
                <w:color w:val="auto"/>
              </w:rPr>
              <w:t>(1)</w:t>
            </w:r>
          </w:p>
        </w:tc>
      </w:tr>
      <w:tr>
        <w:trPr>
          <w:trHeight w:val="378"/>
        </w:trPr>
        <w:tc>
          <w:tcPr>
            <w:tcW w:w="3700" w:type="dxa"/>
            <w:vAlign w:val="bottom"/>
          </w:tcPr>
          <w:p>
            <w:pPr>
              <w:spacing w:after="0"/>
              <w:rPr>
                <w:sz w:val="20"/>
                <w:szCs w:val="20"/>
                <w:color w:val="auto"/>
              </w:rPr>
            </w:pPr>
            <w:r>
              <w:rPr>
                <w:rFonts w:ascii="Arial" w:cs="Arial" w:eastAsia="Arial" w:hAnsi="Arial"/>
                <w:sz w:val="17"/>
                <w:szCs w:val="17"/>
                <w:b w:val="1"/>
                <w:bCs w:val="1"/>
                <w:color w:val="auto"/>
              </w:rPr>
              <w:t>Ordinary shares:</w:t>
            </w:r>
          </w:p>
        </w:tc>
        <w:tc>
          <w:tcPr>
            <w:tcW w:w="1800" w:type="dxa"/>
            <w:vAlign w:val="bottom"/>
          </w:tcPr>
          <w:p>
            <w:pPr>
              <w:spacing w:after="0"/>
              <w:rPr>
                <w:sz w:val="24"/>
                <w:szCs w:val="24"/>
                <w:color w:val="auto"/>
              </w:rPr>
            </w:pPr>
          </w:p>
        </w:tc>
      </w:tr>
      <w:tr>
        <w:trPr>
          <w:trHeight w:val="392"/>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before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5,750,000</w:t>
            </w:r>
            <w:r>
              <w:rPr>
                <w:rFonts w:ascii="Arial" w:cs="Arial" w:eastAsia="Arial" w:hAnsi="Arial"/>
                <w:sz w:val="14"/>
                <w:szCs w:val="14"/>
                <w:color w:val="auto"/>
              </w:rPr>
              <w:t>(2)(3)</w:t>
            </w:r>
          </w:p>
        </w:tc>
      </w:tr>
      <w:tr>
        <w:trPr>
          <w:trHeight w:val="196"/>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after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25,000,000</w:t>
            </w:r>
          </w:p>
        </w:tc>
      </w:tr>
      <w:tr>
        <w:trPr>
          <w:trHeight w:val="195"/>
        </w:trPr>
        <w:tc>
          <w:tcPr>
            <w:tcW w:w="3700" w:type="dxa"/>
            <w:vAlign w:val="bottom"/>
          </w:tcPr>
          <w:p>
            <w:pPr>
              <w:spacing w:after="0"/>
              <w:rPr>
                <w:sz w:val="16"/>
                <w:szCs w:val="16"/>
                <w:color w:val="auto"/>
              </w:rPr>
            </w:pPr>
          </w:p>
        </w:tc>
        <w:tc>
          <w:tcPr>
            <w:tcW w:w="1800" w:type="dxa"/>
            <w:vAlign w:val="bottom"/>
          </w:tcPr>
          <w:p>
            <w:pPr>
              <w:ind w:left="1260"/>
              <w:spacing w:after="0"/>
              <w:rPr>
                <w:sz w:val="20"/>
                <w:szCs w:val="20"/>
                <w:color w:val="auto"/>
              </w:rPr>
            </w:pPr>
            <w:r>
              <w:rPr>
                <w:rFonts w:ascii="Arial" w:cs="Arial" w:eastAsia="Arial" w:hAnsi="Arial"/>
                <w:sz w:val="15"/>
                <w:szCs w:val="15"/>
                <w:color w:val="auto"/>
                <w:w w:val="94"/>
              </w:rPr>
              <w:t>(1)(3)(4)</w:t>
            </w: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Warrants:</w:t>
      </w:r>
    </w:p>
    <w:p>
      <w:pPr>
        <w:sectPr>
          <w:pgSz w:w="11900" w:h="16838" w:orient="portrait"/>
          <w:cols w:equalWidth="0" w:num="1">
            <w:col w:w="10960"/>
          </w:cols>
          <w:pgMar w:left="320" w:top="455" w:right="619" w:bottom="1440" w:gutter="0" w:footer="0" w:header="0"/>
        </w:sectPr>
      </w:pPr>
    </w:p>
    <w:p>
      <w:pPr>
        <w:spacing w:after="0" w:line="196" w:lineRule="exact"/>
        <w:rPr>
          <w:sz w:val="20"/>
          <w:szCs w:val="20"/>
          <w:color w:val="auto"/>
        </w:rPr>
      </w:pPr>
    </w:p>
    <w:p>
      <w:pPr>
        <w:jc w:val="both"/>
        <w:ind w:left="280" w:hanging="80"/>
        <w:spacing w:after="0" w:line="261" w:lineRule="auto"/>
        <w:rPr>
          <w:sz w:val="20"/>
          <w:szCs w:val="20"/>
          <w:color w:val="auto"/>
        </w:rPr>
      </w:pPr>
      <w:r>
        <w:rPr>
          <w:rFonts w:ascii="Arial" w:cs="Arial" w:eastAsia="Arial" w:hAnsi="Arial"/>
          <w:sz w:val="17"/>
          <w:szCs w:val="17"/>
          <w:b w:val="1"/>
          <w:bCs w:val="1"/>
          <w:color w:val="auto"/>
        </w:rPr>
        <w:t>Number of private placement warrants to be sold in a private placement simultaneously with this offering</w:t>
      </w:r>
    </w:p>
    <w:p>
      <w:pPr>
        <w:spacing w:after="0" w:line="145" w:lineRule="exact"/>
        <w:rPr>
          <w:sz w:val="20"/>
          <w:szCs w:val="20"/>
          <w:color w:val="auto"/>
        </w:rPr>
      </w:pPr>
    </w:p>
    <w:p>
      <w:pPr>
        <w:ind w:left="280" w:right="100" w:hanging="80"/>
        <w:spacing w:after="0" w:line="290" w:lineRule="auto"/>
        <w:rPr>
          <w:sz w:val="20"/>
          <w:szCs w:val="20"/>
          <w:color w:val="auto"/>
        </w:rPr>
      </w:pPr>
      <w:r>
        <w:rPr>
          <w:rFonts w:ascii="Arial" w:cs="Arial" w:eastAsia="Arial" w:hAnsi="Arial"/>
          <w:sz w:val="17"/>
          <w:szCs w:val="17"/>
          <w:b w:val="1"/>
          <w:bCs w:val="1"/>
          <w:color w:val="auto"/>
        </w:rPr>
        <w:t>Number of warrants to be outstanding after this offering and the private placement</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Exercisability: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6,000,000</w:t>
      </w:r>
      <w:r>
        <w:rPr>
          <w:rFonts w:ascii="Arial" w:cs="Arial" w:eastAsia="Arial" w:hAnsi="Arial"/>
          <w:sz w:val="14"/>
          <w:szCs w:val="14"/>
          <w:color w:val="auto"/>
        </w:rPr>
        <w:t>(1)</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16,000,000</w:t>
      </w:r>
      <w:r>
        <w:rPr>
          <w:rFonts w:ascii="Arial" w:cs="Arial" w:eastAsia="Arial" w:hAnsi="Arial"/>
          <w:sz w:val="14"/>
          <w:szCs w:val="14"/>
          <w:color w:val="auto"/>
        </w:rPr>
        <w:t>(1)(5)</w:t>
      </w:r>
    </w:p>
    <w:p>
      <w:pPr>
        <w:spacing w:after="0" w:line="399" w:lineRule="exact"/>
        <w:rPr>
          <w:sz w:val="20"/>
          <w:szCs w:val="20"/>
          <w:color w:val="auto"/>
        </w:rPr>
      </w:pPr>
    </w:p>
    <w:p>
      <w:pPr>
        <w:jc w:val="both"/>
        <w:ind w:right="420"/>
        <w:spacing w:after="0" w:line="253" w:lineRule="auto"/>
        <w:rPr>
          <w:sz w:val="20"/>
          <w:szCs w:val="20"/>
          <w:color w:val="auto"/>
        </w:rPr>
      </w:pPr>
      <w:r>
        <w:rPr>
          <w:rFonts w:ascii="Arial" w:cs="Arial" w:eastAsia="Arial" w:hAnsi="Arial"/>
          <w:sz w:val="17"/>
          <w:szCs w:val="17"/>
          <w:color w:val="auto"/>
        </w:rPr>
        <w:t>Each whole warrant offered in this offering is exercisable to purchase one Class A ordinary share. Only whole warrants are exercisable. No fractional warrants will be issued upon separation of the units and only whole warrants will trade.</w:t>
      </w:r>
    </w:p>
    <w:p>
      <w:pPr>
        <w:spacing w:after="0" w:line="15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have structured each unit to contain one-half of one warrant, with each whole warrant exercisable for one Class A ordinary share, as compared to units issued by some other similar special purpose acquisition companies which contain whole warrants exercisable for one whole share, in order to reduce the dilutive effect of the warrants upon completion of a business combination as compared to units that each contain a warrant to purchase one whole share, thus making us, we believe, a more attractive business combination partner for target businesses.</w:t>
      </w:r>
    </w:p>
    <w:p>
      <w:pPr>
        <w:spacing w:after="0" w:line="68" w:lineRule="exact"/>
        <w:rPr>
          <w:sz w:val="20"/>
          <w:szCs w:val="20"/>
          <w:color w:val="auto"/>
        </w:rPr>
      </w:pPr>
    </w:p>
    <w:p>
      <w:pPr>
        <w:sectPr>
          <w:pgSz w:w="11900" w:h="16838" w:orient="portrait"/>
          <w:cols w:equalWidth="0" w:num="2">
            <w:col w:w="4160" w:space="160"/>
            <w:col w:w="6640"/>
          </w:cols>
          <w:pgMar w:left="320" w:top="455" w:right="619" w:bottom="1440" w:gutter="0" w:footer="0" w:header="0"/>
          <w:type w:val="continuous"/>
        </w:sectPr>
      </w:pPr>
    </w:p>
    <w:p>
      <w:pPr>
        <w:ind w:left="620" w:hanging="291"/>
        <w:spacing w:after="0"/>
        <w:tabs>
          <w:tab w:leader="none" w:pos="62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Assumes no exercise of the underwriters’ over-allotment option and 750,000 founder shares are surrendered to us for no consideration.</w:t>
      </w:r>
    </w:p>
    <w:p>
      <w:pPr>
        <w:ind w:left="620" w:right="40" w:hanging="291"/>
        <w:spacing w:after="0" w:line="182" w:lineRule="auto"/>
        <w:tabs>
          <w:tab w:leader="none" w:pos="620"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Includes up to 750,000 founder shares that will be surrendered to us for no consideration depending on the extent to which the underwriters’ over-allotment option is exercised.</w:t>
      </w:r>
    </w:p>
    <w:p>
      <w:pPr>
        <w:spacing w:after="0" w:line="1" w:lineRule="exact"/>
        <w:rPr>
          <w:rFonts w:ascii="Arial" w:cs="Arial" w:eastAsia="Arial" w:hAnsi="Arial"/>
          <w:sz w:val="23"/>
          <w:szCs w:val="23"/>
          <w:color w:val="auto"/>
          <w:vertAlign w:val="superscript"/>
        </w:rPr>
      </w:pPr>
    </w:p>
    <w:p>
      <w:pPr>
        <w:jc w:val="both"/>
        <w:ind w:left="620" w:right="380" w:hanging="291"/>
        <w:spacing w:after="0" w:line="204" w:lineRule="auto"/>
        <w:tabs>
          <w:tab w:leader="none" w:pos="62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Comprised of 20,000,000 Class A ordinary shares included in the units to be sold in this offering and 5,000,000 Class B ordinary shares (or founder shares). Founder shares are currently classified as Class B ordinary shares, which shares will automatically convert into Class A ordinary shares concurrently with or immediately following the consummation of our initial business combination on a one-for-one basis, subject to adjustment as described below adjacent to the caption “Founder shares conversion and anti-dilution rights.”</w:t>
      </w:r>
    </w:p>
    <w:p>
      <w:pPr>
        <w:spacing w:after="0" w:line="2" w:lineRule="exact"/>
        <w:rPr>
          <w:rFonts w:ascii="Arial" w:cs="Arial" w:eastAsia="Arial" w:hAnsi="Arial"/>
          <w:sz w:val="24"/>
          <w:szCs w:val="24"/>
          <w:color w:val="auto"/>
          <w:vertAlign w:val="superscript"/>
        </w:rPr>
      </w:pPr>
    </w:p>
    <w:p>
      <w:pPr>
        <w:ind w:left="620" w:right="140" w:hanging="291"/>
        <w:spacing w:after="0" w:line="182" w:lineRule="auto"/>
        <w:tabs>
          <w:tab w:leader="none" w:pos="620"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Assumes surrender of all 750,000 founder shares. Up to 750,000 founder shares will be surrendered to us for no consideration depending on the extent to which the underwriters’ over-allotment option is exercised.</w:t>
      </w:r>
    </w:p>
    <w:p>
      <w:pPr>
        <w:spacing w:after="0" w:line="1" w:lineRule="exact"/>
        <w:rPr>
          <w:rFonts w:ascii="Arial" w:cs="Arial" w:eastAsia="Arial" w:hAnsi="Arial"/>
          <w:sz w:val="23"/>
          <w:szCs w:val="23"/>
          <w:color w:val="auto"/>
          <w:vertAlign w:val="superscript"/>
        </w:rPr>
      </w:pPr>
    </w:p>
    <w:p>
      <w:pPr>
        <w:ind w:left="620" w:right="540" w:hanging="291"/>
        <w:spacing w:after="0" w:line="185" w:lineRule="auto"/>
        <w:tabs>
          <w:tab w:leader="none" w:pos="62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Comprised of 10,000,000 public warrants included in the units to be sold in this offering and 6,000,000 private placement warrants to be sold in the private placement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60"/>
          </w:cols>
          <w:pgMar w:left="320" w:top="455" w:right="61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318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531876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0"/>
        <w:spacing w:after="0"/>
        <w:tabs>
          <w:tab w:leader="none" w:pos="4300" w:val="left"/>
        </w:tabs>
        <w:rPr>
          <w:sz w:val="20"/>
          <w:szCs w:val="20"/>
          <w:color w:val="auto"/>
        </w:rPr>
      </w:pPr>
      <w:r>
        <w:rPr>
          <w:rFonts w:ascii="Arial" w:cs="Arial" w:eastAsia="Arial" w:hAnsi="Arial"/>
          <w:sz w:val="17"/>
          <w:szCs w:val="17"/>
          <w:b w:val="1"/>
          <w:bCs w:val="1"/>
          <w:color w:val="auto"/>
        </w:rPr>
        <w:t>Exercise price:</w:t>
      </w:r>
      <w:r>
        <w:rPr>
          <w:sz w:val="20"/>
          <w:szCs w:val="20"/>
          <w:color w:val="auto"/>
        </w:rPr>
        <w:tab/>
      </w:r>
      <w:r>
        <w:rPr>
          <w:rFonts w:ascii="Arial" w:cs="Arial" w:eastAsia="Arial" w:hAnsi="Arial"/>
          <w:sz w:val="17"/>
          <w:szCs w:val="17"/>
          <w:color w:val="auto"/>
        </w:rPr>
        <w:t>$11.50 per share, subject to adjustments as described herein.</w:t>
      </w:r>
    </w:p>
    <w:p>
      <w:pPr>
        <w:spacing w:after="0" w:line="212"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In addition, if (x) we issue additional Class A ordinary shares or equity-linked securities</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for capital raising purposes in connection with the closing of our initial business</w:t>
      </w:r>
    </w:p>
    <w:p>
      <w:pPr>
        <w:ind w:left="4320"/>
        <w:spacing w:after="0" w:line="232" w:lineRule="auto"/>
        <w:rPr>
          <w:sz w:val="20"/>
          <w:szCs w:val="20"/>
          <w:color w:val="auto"/>
        </w:rPr>
      </w:pPr>
      <w:r>
        <w:rPr>
          <w:rFonts w:ascii="Arial" w:cs="Arial" w:eastAsia="Arial" w:hAnsi="Arial"/>
          <w:sz w:val="17"/>
          <w:szCs w:val="17"/>
          <w:color w:val="auto"/>
        </w:rPr>
        <w:t>combination at an issue price or effective issue price of less than $9.20 per Class A</w:t>
      </w:r>
    </w:p>
    <w:p>
      <w:pPr>
        <w:ind w:left="4320"/>
        <w:spacing w:after="0" w:line="232" w:lineRule="auto"/>
        <w:rPr>
          <w:sz w:val="20"/>
          <w:szCs w:val="20"/>
          <w:color w:val="auto"/>
        </w:rPr>
      </w:pPr>
      <w:r>
        <w:rPr>
          <w:rFonts w:ascii="Arial" w:cs="Arial" w:eastAsia="Arial" w:hAnsi="Arial"/>
          <w:sz w:val="17"/>
          <w:szCs w:val="17"/>
          <w:color w:val="auto"/>
        </w:rPr>
        <w:t>ordinary share (with such issue price or effective issue price to be determined in good</w:t>
      </w:r>
    </w:p>
    <w:p>
      <w:pPr>
        <w:ind w:left="4320"/>
        <w:spacing w:after="0" w:line="232" w:lineRule="auto"/>
        <w:rPr>
          <w:sz w:val="20"/>
          <w:szCs w:val="20"/>
          <w:color w:val="auto"/>
        </w:rPr>
      </w:pPr>
      <w:r>
        <w:rPr>
          <w:rFonts w:ascii="Arial" w:cs="Arial" w:eastAsia="Arial" w:hAnsi="Arial"/>
          <w:sz w:val="17"/>
          <w:szCs w:val="17"/>
          <w:color w:val="auto"/>
        </w:rPr>
        <w:t>faith by our board of directors and, in the case of any such issuance to our initial</w:t>
      </w:r>
    </w:p>
    <w:p>
      <w:pPr>
        <w:ind w:left="4320"/>
        <w:spacing w:after="0" w:line="232" w:lineRule="auto"/>
        <w:rPr>
          <w:sz w:val="20"/>
          <w:szCs w:val="20"/>
          <w:color w:val="auto"/>
        </w:rPr>
      </w:pPr>
      <w:r>
        <w:rPr>
          <w:rFonts w:ascii="Arial" w:cs="Arial" w:eastAsia="Arial" w:hAnsi="Arial"/>
          <w:sz w:val="17"/>
          <w:szCs w:val="17"/>
          <w:color w:val="auto"/>
        </w:rPr>
        <w:t>shareholders or their affiliates, without taking into account any founder shares held by</w:t>
      </w:r>
    </w:p>
    <w:p>
      <w:pPr>
        <w:ind w:left="4320"/>
        <w:spacing w:after="0" w:line="232" w:lineRule="auto"/>
        <w:rPr>
          <w:sz w:val="20"/>
          <w:szCs w:val="20"/>
          <w:color w:val="auto"/>
        </w:rPr>
      </w:pPr>
      <w:r>
        <w:rPr>
          <w:rFonts w:ascii="Arial" w:cs="Arial" w:eastAsia="Arial" w:hAnsi="Arial"/>
          <w:sz w:val="17"/>
          <w:szCs w:val="17"/>
          <w:color w:val="auto"/>
        </w:rPr>
        <w:t>our initial shareholders or such affiliates, as applicable, prior to such issuance) (the</w:t>
      </w:r>
    </w:p>
    <w:p>
      <w:pPr>
        <w:ind w:left="4320"/>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Newly Issued Price</w:t>
      </w:r>
      <w:r>
        <w:rPr>
          <w:rFonts w:ascii="Arial" w:cs="Arial" w:eastAsia="Arial" w:hAnsi="Arial"/>
          <w:sz w:val="17"/>
          <w:szCs w:val="17"/>
          <w:color w:val="auto"/>
        </w:rPr>
        <w:t>”), (y) the aggregate gross proceeds from such issuances represent</w:t>
      </w:r>
    </w:p>
    <w:p>
      <w:pPr>
        <w:ind w:left="4320"/>
        <w:spacing w:after="0" w:line="232" w:lineRule="auto"/>
        <w:rPr>
          <w:sz w:val="20"/>
          <w:szCs w:val="20"/>
          <w:color w:val="auto"/>
        </w:rPr>
      </w:pPr>
      <w:r>
        <w:rPr>
          <w:rFonts w:ascii="Arial" w:cs="Arial" w:eastAsia="Arial" w:hAnsi="Arial"/>
          <w:sz w:val="17"/>
          <w:szCs w:val="17"/>
          <w:color w:val="auto"/>
        </w:rPr>
        <w:t>more than 60% of the total equity proceeds, and interest thereon, available for the</w:t>
      </w:r>
    </w:p>
    <w:p>
      <w:pPr>
        <w:ind w:left="4320"/>
        <w:spacing w:after="0" w:line="232" w:lineRule="auto"/>
        <w:rPr>
          <w:sz w:val="20"/>
          <w:szCs w:val="20"/>
          <w:color w:val="auto"/>
        </w:rPr>
      </w:pPr>
      <w:r>
        <w:rPr>
          <w:rFonts w:ascii="Arial" w:cs="Arial" w:eastAsia="Arial" w:hAnsi="Arial"/>
          <w:sz w:val="17"/>
          <w:szCs w:val="17"/>
          <w:color w:val="auto"/>
        </w:rPr>
        <w:t>funding of our initial business combination on the date of the consummation of our initial</w:t>
      </w:r>
    </w:p>
    <w:p>
      <w:pPr>
        <w:ind w:left="4320"/>
        <w:spacing w:after="0" w:line="232" w:lineRule="auto"/>
        <w:rPr>
          <w:sz w:val="20"/>
          <w:szCs w:val="20"/>
          <w:color w:val="auto"/>
        </w:rPr>
      </w:pPr>
      <w:r>
        <w:rPr>
          <w:rFonts w:ascii="Arial" w:cs="Arial" w:eastAsia="Arial" w:hAnsi="Arial"/>
          <w:sz w:val="17"/>
          <w:szCs w:val="17"/>
          <w:color w:val="auto"/>
        </w:rPr>
        <w:t>business combination (net of redemptions), and (z) the volume weighted average trading</w:t>
      </w:r>
    </w:p>
    <w:p>
      <w:pPr>
        <w:ind w:left="4320"/>
        <w:spacing w:after="0" w:line="232" w:lineRule="auto"/>
        <w:rPr>
          <w:sz w:val="20"/>
          <w:szCs w:val="20"/>
          <w:color w:val="auto"/>
        </w:rPr>
      </w:pPr>
      <w:r>
        <w:rPr>
          <w:rFonts w:ascii="Arial" w:cs="Arial" w:eastAsia="Arial" w:hAnsi="Arial"/>
          <w:sz w:val="17"/>
          <w:szCs w:val="17"/>
          <w:color w:val="auto"/>
        </w:rPr>
        <w:t>price of our Class A ordinary shares during the 10 trading day period starting on the</w:t>
      </w:r>
    </w:p>
    <w:p>
      <w:pPr>
        <w:ind w:left="4320"/>
        <w:spacing w:after="0" w:line="232" w:lineRule="auto"/>
        <w:rPr>
          <w:sz w:val="20"/>
          <w:szCs w:val="20"/>
          <w:color w:val="auto"/>
        </w:rPr>
      </w:pPr>
      <w:r>
        <w:rPr>
          <w:rFonts w:ascii="Arial" w:cs="Arial" w:eastAsia="Arial" w:hAnsi="Arial"/>
          <w:sz w:val="17"/>
          <w:szCs w:val="17"/>
          <w:color w:val="auto"/>
        </w:rPr>
        <w:t>trading day prior to the day on which we consummate our initial business combination</w:t>
      </w:r>
    </w:p>
    <w:p>
      <w:pPr>
        <w:ind w:left="4320"/>
        <w:spacing w:after="0" w:line="232" w:lineRule="auto"/>
        <w:rPr>
          <w:sz w:val="20"/>
          <w:szCs w:val="20"/>
          <w:color w:val="auto"/>
        </w:rPr>
      </w:pPr>
      <w:r>
        <w:rPr>
          <w:rFonts w:ascii="Arial" w:cs="Arial" w:eastAsia="Arial" w:hAnsi="Arial"/>
          <w:sz w:val="17"/>
          <w:szCs w:val="17"/>
          <w:color w:val="auto"/>
        </w:rPr>
        <w:t>(such price, the “</w:t>
      </w:r>
      <w:r>
        <w:rPr>
          <w:rFonts w:ascii="Arial" w:cs="Arial" w:eastAsia="Arial" w:hAnsi="Arial"/>
          <w:sz w:val="17"/>
          <w:szCs w:val="17"/>
          <w:b w:val="1"/>
          <w:bCs w:val="1"/>
          <w:color w:val="auto"/>
        </w:rPr>
        <w:t>Market Value</w:t>
      </w:r>
      <w:r>
        <w:rPr>
          <w:rFonts w:ascii="Arial" w:cs="Arial" w:eastAsia="Arial" w:hAnsi="Arial"/>
          <w:sz w:val="17"/>
          <w:szCs w:val="17"/>
          <w:color w:val="auto"/>
        </w:rPr>
        <w:t>”) is below $9.20 per share, then the exercise price of the</w:t>
      </w:r>
    </w:p>
    <w:p>
      <w:pPr>
        <w:ind w:left="4320"/>
        <w:spacing w:after="0" w:line="232" w:lineRule="auto"/>
        <w:rPr>
          <w:sz w:val="20"/>
          <w:szCs w:val="20"/>
          <w:color w:val="auto"/>
        </w:rPr>
      </w:pPr>
      <w:r>
        <w:rPr>
          <w:rFonts w:ascii="Arial" w:cs="Arial" w:eastAsia="Arial" w:hAnsi="Arial"/>
          <w:sz w:val="17"/>
          <w:szCs w:val="17"/>
          <w:color w:val="auto"/>
        </w:rPr>
        <w:t>warrants will be adjusted (to the nearest cent) to be equal to 115% of the higher of the</w:t>
      </w:r>
    </w:p>
    <w:p>
      <w:pPr>
        <w:ind w:left="4320"/>
        <w:spacing w:after="0" w:line="232" w:lineRule="auto"/>
        <w:rPr>
          <w:sz w:val="20"/>
          <w:szCs w:val="20"/>
          <w:color w:val="auto"/>
        </w:rPr>
      </w:pPr>
      <w:r>
        <w:rPr>
          <w:rFonts w:ascii="Arial" w:cs="Arial" w:eastAsia="Arial" w:hAnsi="Arial"/>
          <w:sz w:val="17"/>
          <w:szCs w:val="17"/>
          <w:color w:val="auto"/>
        </w:rPr>
        <w:t>Market Value and the Newly Issued Price, and the $18.00 per share redemption trigger</w:t>
      </w:r>
    </w:p>
    <w:p>
      <w:pPr>
        <w:ind w:left="4320"/>
        <w:spacing w:after="0" w:line="232" w:lineRule="auto"/>
        <w:rPr>
          <w:sz w:val="20"/>
          <w:szCs w:val="20"/>
          <w:color w:val="auto"/>
        </w:rPr>
      </w:pPr>
      <w:r>
        <w:rPr>
          <w:rFonts w:ascii="Arial" w:cs="Arial" w:eastAsia="Arial" w:hAnsi="Arial"/>
          <w:sz w:val="17"/>
          <w:szCs w:val="17"/>
          <w:color w:val="auto"/>
        </w:rPr>
        <w:t>prices described below under “Redemption of warrants when the price per Class A</w:t>
      </w:r>
    </w:p>
    <w:p>
      <w:pPr>
        <w:ind w:left="4320"/>
        <w:spacing w:after="0" w:line="232" w:lineRule="auto"/>
        <w:rPr>
          <w:sz w:val="20"/>
          <w:szCs w:val="20"/>
          <w:color w:val="auto"/>
        </w:rPr>
      </w:pPr>
      <w:r>
        <w:rPr>
          <w:rFonts w:ascii="Arial" w:cs="Arial" w:eastAsia="Arial" w:hAnsi="Arial"/>
          <w:sz w:val="17"/>
          <w:szCs w:val="17"/>
          <w:color w:val="auto"/>
        </w:rPr>
        <w:t>ordinary share equals or exceeds $18.00” and “Redemption of warrants when the price</w:t>
      </w:r>
    </w:p>
    <w:p>
      <w:pPr>
        <w:ind w:left="4320"/>
        <w:spacing w:after="0" w:line="232" w:lineRule="auto"/>
        <w:rPr>
          <w:sz w:val="20"/>
          <w:szCs w:val="20"/>
          <w:color w:val="auto"/>
        </w:rPr>
      </w:pPr>
      <w:r>
        <w:rPr>
          <w:rFonts w:ascii="Arial" w:cs="Arial" w:eastAsia="Arial" w:hAnsi="Arial"/>
          <w:sz w:val="17"/>
          <w:szCs w:val="17"/>
          <w:color w:val="auto"/>
        </w:rPr>
        <w:t>per Class A ordinary share equals or exceeds $10.00” will be adjusted (to the nearest</w:t>
      </w:r>
    </w:p>
    <w:p>
      <w:pPr>
        <w:ind w:left="4320"/>
        <w:spacing w:after="0" w:line="232" w:lineRule="auto"/>
        <w:rPr>
          <w:sz w:val="20"/>
          <w:szCs w:val="20"/>
          <w:color w:val="auto"/>
        </w:rPr>
      </w:pPr>
      <w:r>
        <w:rPr>
          <w:rFonts w:ascii="Arial" w:cs="Arial" w:eastAsia="Arial" w:hAnsi="Arial"/>
          <w:sz w:val="17"/>
          <w:szCs w:val="17"/>
          <w:color w:val="auto"/>
        </w:rPr>
        <w:t>cent) to be equal to 180% of the higher of the Market Value and the Newly Issued Price,</w:t>
      </w:r>
    </w:p>
    <w:p>
      <w:pPr>
        <w:ind w:left="4320"/>
        <w:spacing w:after="0" w:line="232" w:lineRule="auto"/>
        <w:rPr>
          <w:sz w:val="20"/>
          <w:szCs w:val="20"/>
          <w:color w:val="auto"/>
        </w:rPr>
      </w:pPr>
      <w:r>
        <w:rPr>
          <w:rFonts w:ascii="Arial" w:cs="Arial" w:eastAsia="Arial" w:hAnsi="Arial"/>
          <w:sz w:val="17"/>
          <w:szCs w:val="17"/>
          <w:color w:val="auto"/>
        </w:rPr>
        <w:t>and the $10.00 per share redemption trigger price described adjacent to the caption</w:t>
      </w:r>
    </w:p>
    <w:p>
      <w:pPr>
        <w:ind w:left="4320"/>
        <w:spacing w:after="0" w:line="233" w:lineRule="auto"/>
        <w:rPr>
          <w:sz w:val="20"/>
          <w:szCs w:val="20"/>
          <w:color w:val="auto"/>
        </w:rPr>
      </w:pPr>
      <w:r>
        <w:rPr>
          <w:rFonts w:ascii="Arial" w:cs="Arial" w:eastAsia="Arial" w:hAnsi="Arial"/>
          <w:sz w:val="17"/>
          <w:szCs w:val="17"/>
          <w:color w:val="auto"/>
        </w:rPr>
        <w:t>“Redemption of warrants when the price per Class A ordinary share equals or exceeds</w:t>
      </w:r>
    </w:p>
    <w:p>
      <w:pPr>
        <w:ind w:left="4320"/>
        <w:spacing w:after="0" w:line="232" w:lineRule="auto"/>
        <w:rPr>
          <w:sz w:val="20"/>
          <w:szCs w:val="20"/>
          <w:color w:val="auto"/>
        </w:rPr>
      </w:pPr>
      <w:r>
        <w:rPr>
          <w:rFonts w:ascii="Arial" w:cs="Arial" w:eastAsia="Arial" w:hAnsi="Arial"/>
          <w:sz w:val="17"/>
          <w:szCs w:val="17"/>
          <w:color w:val="auto"/>
        </w:rPr>
        <w:t>$10.00” will be adjusted (to the nearest cent) to be equal to the higher of the Market</w:t>
      </w:r>
    </w:p>
    <w:p>
      <w:pPr>
        <w:ind w:left="4320"/>
        <w:spacing w:after="0"/>
        <w:rPr>
          <w:sz w:val="20"/>
          <w:szCs w:val="20"/>
          <w:color w:val="auto"/>
        </w:rPr>
      </w:pPr>
      <w:r>
        <w:rPr>
          <w:rFonts w:ascii="Arial" w:cs="Arial" w:eastAsia="Arial" w:hAnsi="Arial"/>
          <w:sz w:val="17"/>
          <w:szCs w:val="17"/>
          <w:color w:val="auto"/>
        </w:rPr>
        <w:t>Value and the Newly Issued Price.</w:t>
      </w:r>
    </w:p>
    <w:p>
      <w:pPr>
        <w:spacing w:after="0" w:line="172" w:lineRule="exact"/>
        <w:rPr>
          <w:sz w:val="20"/>
          <w:szCs w:val="20"/>
          <w:color w:val="auto"/>
        </w:rPr>
      </w:pPr>
    </w:p>
    <w:p>
      <w:pPr>
        <w:ind w:left="200"/>
        <w:spacing w:after="0"/>
        <w:tabs>
          <w:tab w:leader="none" w:pos="4300" w:val="left"/>
        </w:tabs>
        <w:rPr>
          <w:sz w:val="20"/>
          <w:szCs w:val="20"/>
          <w:color w:val="auto"/>
        </w:rPr>
      </w:pPr>
      <w:r>
        <w:rPr>
          <w:rFonts w:ascii="Arial" w:cs="Arial" w:eastAsia="Arial" w:hAnsi="Arial"/>
          <w:sz w:val="17"/>
          <w:szCs w:val="17"/>
          <w:b w:val="1"/>
          <w:bCs w:val="1"/>
          <w:color w:val="auto"/>
        </w:rPr>
        <w:t>Exercise period:</w:t>
      </w:r>
      <w:r>
        <w:rPr>
          <w:sz w:val="20"/>
          <w:szCs w:val="20"/>
          <w:color w:val="auto"/>
        </w:rPr>
        <w:tab/>
      </w:r>
      <w:r>
        <w:rPr>
          <w:rFonts w:ascii="Arial" w:cs="Arial" w:eastAsia="Arial" w:hAnsi="Arial"/>
          <w:sz w:val="17"/>
          <w:szCs w:val="17"/>
          <w:color w:val="auto"/>
        </w:rPr>
        <w:t>The warrants will become exercisable on the later of:</w:t>
      </w:r>
    </w:p>
    <w:p>
      <w:pPr>
        <w:spacing w:after="0" w:line="212" w:lineRule="exact"/>
        <w:rPr>
          <w:sz w:val="20"/>
          <w:szCs w:val="20"/>
          <w:color w:val="auto"/>
        </w:rPr>
      </w:pPr>
    </w:p>
    <w:p>
      <w:pPr>
        <w:ind w:left="4960" w:hanging="325"/>
        <w:spacing w:after="0"/>
        <w:tabs>
          <w:tab w:leader="none" w:pos="496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30 days after the completion of our initial business combination, and</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12 months from the closing of this offering;</w:t>
      </w:r>
    </w:p>
    <w:p>
      <w:pPr>
        <w:spacing w:after="0" w:line="219" w:lineRule="exact"/>
        <w:rPr>
          <w:sz w:val="20"/>
          <w:szCs w:val="20"/>
          <w:color w:val="auto"/>
        </w:rPr>
      </w:pPr>
    </w:p>
    <w:p>
      <w:pPr>
        <w:ind w:left="4320"/>
        <w:spacing w:after="0" w:line="237" w:lineRule="auto"/>
        <w:rPr>
          <w:sz w:val="20"/>
          <w:szCs w:val="20"/>
          <w:color w:val="auto"/>
        </w:rPr>
      </w:pPr>
      <w:r>
        <w:rPr>
          <w:rFonts w:ascii="Arial" w:cs="Arial" w:eastAsia="Arial" w:hAnsi="Arial"/>
          <w:sz w:val="17"/>
          <w:szCs w:val="17"/>
          <w:color w:val="auto"/>
        </w:rPr>
        <w:t>provided in each case that we have an effective registration statement under the Securities Act covering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and when the warrants become redeemable by us, we may exercise our redemption right even if we are unable to register or qualify the underlying securities for sale under all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40"/>
          </w:cols>
          <w:pgMar w:left="320" w:top="455" w:right="539" w:bottom="1440" w:gutter="0" w:footer="0" w:header="0"/>
        </w:sectPr>
      </w:pPr>
    </w:p>
    <w:bookmarkStart w:id="14" w:name="page15"/>
    <w:bookmarkEnd w:id="1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473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547306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Redemption of warrants when the price per Class A ordinary share equals or exceeds $18.00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not registering the Class A ordinary shares issuable upon exercise of the warrants at this time. However, we have agreed that as soon as practicable, but in no event later than 15 business days after the closing of our initial business combination, we will use our best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w:t>
      </w:r>
      <w:r>
        <w:rPr>
          <w:rFonts w:ascii="Arial" w:cs="Arial" w:eastAsia="Arial" w:hAnsi="Arial"/>
          <w:sz w:val="14"/>
          <w:szCs w:val="14"/>
          <w:color w:val="auto"/>
        </w:rPr>
        <w:t>th</w:t>
      </w:r>
      <w:r>
        <w:rPr>
          <w:rFonts w:ascii="Arial" w:cs="Arial" w:eastAsia="Arial" w:hAnsi="Arial"/>
          <w:sz w:val="17"/>
          <w:szCs w:val="17"/>
          <w:color w:val="auto"/>
        </w:rPr>
        <w:t xml:space="preserve">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6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157"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Once the warrants become exercisable, we may redeem the outstanding warrants (except as described herein with respect to the private placement warrants):</w:t>
      </w:r>
    </w:p>
    <w:p>
      <w:pPr>
        <w:spacing w:after="0" w:line="146" w:lineRule="exact"/>
        <w:rPr>
          <w:sz w:val="20"/>
          <w:szCs w:val="20"/>
          <w:color w:val="auto"/>
        </w:rPr>
      </w:pPr>
    </w:p>
    <w:p>
      <w:pPr>
        <w:sectPr>
          <w:pgSz w:w="11900" w:h="16838" w:orient="portrait"/>
          <w:cols w:equalWidth="0" w:num="2">
            <w:col w:w="4220" w:space="100"/>
            <w:col w:w="6720"/>
          </w:cols>
          <w:pgMar w:left="320" w:top="455" w:right="539" w:bottom="1440" w:gutter="0" w:footer="0" w:header="0"/>
          <w:type w:val="continuous"/>
        </w:sectPr>
      </w:pPr>
    </w:p>
    <w:p>
      <w:pPr>
        <w:ind w:left="4960" w:hanging="325"/>
        <w:spacing w:after="0"/>
        <w:tabs>
          <w:tab w:leader="none" w:pos="49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in whole and not in part;</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at a price of $0.01 per warrant;</w:t>
      </w:r>
    </w:p>
    <w:p>
      <w:pPr>
        <w:spacing w:after="0" w:line="61" w:lineRule="exact"/>
        <w:rPr>
          <w:rFonts w:ascii="MS PGothic" w:cs="MS PGothic" w:eastAsia="MS PGothic" w:hAnsi="MS PGothic"/>
          <w:sz w:val="17"/>
          <w:szCs w:val="17"/>
          <w:color w:val="auto"/>
        </w:rPr>
      </w:pPr>
    </w:p>
    <w:p>
      <w:pPr>
        <w:ind w:left="4960" w:right="20" w:hanging="325"/>
        <w:spacing w:after="0" w:line="255" w:lineRule="auto"/>
        <w:tabs>
          <w:tab w:leader="none" w:pos="49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upon a minimum of 30 days’ prior written notice of redemption, which we refer to as the 30-day redemption period; and</w:t>
      </w:r>
    </w:p>
    <w:p>
      <w:pPr>
        <w:ind w:left="4960" w:right="40" w:hanging="325"/>
        <w:spacing w:after="0" w:line="238" w:lineRule="auto"/>
        <w:tabs>
          <w:tab w:leader="none" w:pos="49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if, and only if, the last reported sale price (the “</w:t>
      </w:r>
      <w:r>
        <w:rPr>
          <w:rFonts w:ascii="Arial" w:cs="Arial" w:eastAsia="Arial" w:hAnsi="Arial"/>
          <w:sz w:val="17"/>
          <w:szCs w:val="17"/>
          <w:b w:val="1"/>
          <w:bCs w:val="1"/>
          <w:color w:val="auto"/>
        </w:rPr>
        <w:t>closing price</w:t>
      </w:r>
      <w:r>
        <w:rPr>
          <w:rFonts w:ascii="Arial" w:cs="Arial" w:eastAsia="Arial" w:hAnsi="Arial"/>
          <w:sz w:val="17"/>
          <w:szCs w:val="17"/>
          <w:color w:val="auto"/>
        </w:rPr>
        <w:t>”) of our Class A ordinary shares equals or exceeds $18.00 per share (as adjusted for adjustments to the number of shares issuable upon exercise or the exercise price of a warrant as described under the heading “Description of Securities— Warrants—Public Warrants—Redemption Procedures—Anti-dilution Adjustments”) for any 20 trading days within a 30-trading day period ending on the third trading day prior to the date on which we send the notice of redemption to the warrant holders.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40"/>
          </w:cols>
          <w:pgMar w:left="320" w:top="455" w:right="539" w:bottom="1440" w:gutter="0" w:footer="0" w:header="0"/>
          <w:type w:val="continuous"/>
        </w:sectPr>
      </w:pPr>
    </w:p>
    <w:bookmarkStart w:id="15" w:name="page16"/>
    <w:bookmarkEnd w:id="1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2590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525907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Redemption of warrants when the price per Class A ordinary share equals or exceeds $10.00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6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None of the private placement warrants will be redeemable by us pursuant to the above provision so long as they are held by the sponsor or its permitted transferees.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Once the warrants become exercisable, we may redeem the outstanding warrants: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(except as described herein with respect to the private placement warrants):</w:t>
      </w:r>
    </w:p>
    <w:p>
      <w:pPr>
        <w:spacing w:after="0" w:line="187" w:lineRule="exact"/>
        <w:rPr>
          <w:sz w:val="20"/>
          <w:szCs w:val="20"/>
          <w:color w:val="auto"/>
        </w:rPr>
      </w:pPr>
    </w:p>
    <w:p>
      <w:pPr>
        <w:sectPr>
          <w:pgSz w:w="11900" w:h="16838" w:orient="portrait"/>
          <w:cols w:equalWidth="0" w:num="2">
            <w:col w:w="4240" w:space="80"/>
            <w:col w:w="6720"/>
          </w:cols>
          <w:pgMar w:left="320" w:top="455" w:right="539" w:bottom="1440" w:gutter="0" w:footer="0" w:header="0"/>
          <w:type w:val="continuous"/>
        </w:sectPr>
      </w:pPr>
    </w:p>
    <w:p>
      <w:pPr>
        <w:ind w:left="4960" w:hanging="325"/>
        <w:spacing w:after="0"/>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in whole and not in part;</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at a price of $0.10 per warrant;</w:t>
      </w:r>
    </w:p>
    <w:p>
      <w:pPr>
        <w:spacing w:after="0" w:line="61" w:lineRule="exact"/>
        <w:rPr>
          <w:rFonts w:ascii="MS PGothic" w:cs="MS PGothic" w:eastAsia="MS PGothic" w:hAnsi="MS PGothic"/>
          <w:sz w:val="17"/>
          <w:szCs w:val="17"/>
          <w:color w:val="auto"/>
        </w:rPr>
      </w:pPr>
    </w:p>
    <w:p>
      <w:pPr>
        <w:ind w:left="4960" w:right="220" w:hanging="325"/>
        <w:spacing w:after="0" w:line="238" w:lineRule="auto"/>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 xml:space="preserve">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 number of shares determined by reference to the table set forth under “Description of Securities—Warrants—Public Warrants” based on the redemption date and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(as defined below) except as otherwise described in “Description of Securities—Warrants—Public Warrants”;</w:t>
      </w:r>
    </w:p>
    <w:p>
      <w:pPr>
        <w:spacing w:after="0" w:line="4" w:lineRule="exact"/>
        <w:rPr>
          <w:rFonts w:ascii="MS PGothic" w:cs="MS PGothic" w:eastAsia="MS PGothic" w:hAnsi="MS PGothic"/>
          <w:sz w:val="17"/>
          <w:szCs w:val="17"/>
          <w:color w:val="auto"/>
        </w:rPr>
      </w:pPr>
    </w:p>
    <w:p>
      <w:pPr>
        <w:ind w:left="4960" w:right="20" w:hanging="325"/>
        <w:spacing w:after="0" w:line="237" w:lineRule="auto"/>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if, and only if, the closing price of our Class A ordinary shares equals or exceeds $10.00 per public share (as adjusted for adjustments to the number of shares issuable upon exercise or the exercise price of a warrant as described under the heading “Description of Securities—Warrants—Public Warrants—Redemption Procedures—Anti-dilution Adjustments”) for any 20 trading days within the</w:t>
      </w:r>
    </w:p>
    <w:p>
      <w:pPr>
        <w:ind w:left="4960" w:right="300"/>
        <w:spacing w:after="0" w:line="244" w:lineRule="auto"/>
        <w:rPr>
          <w:rFonts w:ascii="MS PGothic" w:cs="MS PGothic" w:eastAsia="MS PGothic" w:hAnsi="MS PGothic"/>
          <w:sz w:val="17"/>
          <w:szCs w:val="17"/>
          <w:color w:val="auto"/>
        </w:rPr>
      </w:pPr>
      <w:r>
        <w:rPr>
          <w:rFonts w:ascii="Arial" w:cs="Arial" w:eastAsia="Arial" w:hAnsi="Arial"/>
          <w:sz w:val="17"/>
          <w:szCs w:val="17"/>
          <w:color w:val="auto"/>
        </w:rPr>
        <w:t>30-trading day period ending three trading days before we send the notice of redemption to the warrant holders; and</w:t>
      </w:r>
    </w:p>
    <w:p>
      <w:pPr>
        <w:ind w:left="4960" w:hanging="325"/>
        <w:spacing w:after="0" w:line="237" w:lineRule="auto"/>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Securities—Warrants—Public Warrants—Antidilution Adjustments”), the private placement warrants must also be concurrently called for redemption on the same terms as the outstanding public warrants, as described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40"/>
          </w:cols>
          <w:pgMar w:left="320" w:top="455" w:right="5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2920" w:type="dxa"/>
            <w:vAlign w:val="bottom"/>
            <w:tcBorders>
              <w:top w:val="single" w:sz="8" w:color="auto"/>
              <w:left w:val="single" w:sz="8" w:color="auto"/>
            </w:tcBorders>
          </w:tcPr>
          <w:p>
            <w:pPr>
              <w:spacing w:after="0"/>
              <w:rPr>
                <w:sz w:val="24"/>
                <w:szCs w:val="24"/>
                <w:color w:val="auto"/>
              </w:rPr>
            </w:pPr>
          </w:p>
        </w:tc>
        <w:tc>
          <w:tcPr>
            <w:tcW w:w="832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for the above purpose shall mean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the volume-weighted average price of our Class A ordinary shares during the 10 trading</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days immediately following the date on which the notice of redemption is sent to the</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holders of warrants. This redemption feature differs from the typical warrant redemption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features used in other blank check company offerings. We will provide our warrant</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holders with the final fair market value no later than one business day after the 10 trading</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day period described above ends. In no event will the warrants be exercisable in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connection with this redemption feature for more than 0.361 Class A ordinary shares per</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warrant (subject to adjustment).</w:t>
            </w:r>
          </w:p>
        </w:tc>
      </w:tr>
      <w:tr>
        <w:trPr>
          <w:trHeight w:val="350"/>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No fractional Class A ordinary shares will be issued upon redemption. If, upon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redemption, a holder would be entitled to receive a fractional interest in a share, we will</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round down to the nearest whole number of Class A ordinary shares to be issued to the</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holder. Please see the section entitled “</w:t>
            </w:r>
            <w:r>
              <w:rPr>
                <w:rFonts w:ascii="Arial" w:cs="Arial" w:eastAsia="Arial" w:hAnsi="Arial"/>
                <w:sz w:val="17"/>
                <w:szCs w:val="17"/>
                <w:i w:val="1"/>
                <w:iCs w:val="1"/>
                <w:color w:val="auto"/>
              </w:rPr>
              <w:t>Description of Securities—Warrants—Public</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i w:val="1"/>
                <w:iCs w:val="1"/>
                <w:color w:val="auto"/>
              </w:rPr>
              <w:t>Warrants</w:t>
            </w:r>
            <w:r>
              <w:rPr>
                <w:rFonts w:ascii="Arial" w:cs="Arial" w:eastAsia="Arial" w:hAnsi="Arial"/>
                <w:sz w:val="17"/>
                <w:szCs w:val="17"/>
                <w:color w:val="auto"/>
              </w:rPr>
              <w:t>” for additional information.</w:t>
            </w:r>
          </w:p>
        </w:tc>
      </w:tr>
      <w:tr>
        <w:trPr>
          <w:trHeight w:val="350"/>
        </w:trPr>
        <w:tc>
          <w:tcPr>
            <w:tcW w:w="292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Founder shares:</w:t>
            </w: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On August 3, 2020, our sponsor paid $25,000, or approximately $0.004 per share, to</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cover certain of our offering and formation costs in exchange for 5,750,000 founder</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shares.</w:t>
            </w:r>
          </w:p>
        </w:tc>
      </w:tr>
      <w:tr>
        <w:trPr>
          <w:trHeight w:val="350"/>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Prior to the initial investment in the company of $25,000 by the sponsor, the company</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had no assets, tangible or intangible. The per share price of the founder shares was</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determined by dividing the amount of cash contributed to the company by the number of</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founder shares issued. The number of founder shares outstanding was determined</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based on the expectation that the total size of this offering would be a maximum of</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23,000,000 units if the underwriters’ over-allotment option is exercised in full, and</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therefore that such founder shares would represent 20% of the outstanding shares after</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this offering. Up to 750,000 of the founder shares will be surrendered for no</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consideration depending on the extent to which the underwriters’ over-allotment option is</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not exercised. If we increase or decrease the size of the offering pursuant to Rule 462(b)</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under the Securities Act, we will effect a share capitalization or a share repurchase or</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redemption or other appropriate mechanism, as applicable, with respect to our Class B</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ordinary shares immediately prior to the consummation of the offering in such amount as</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to maintain the ownership of our initial shareholders, on an as-converted basis, at 20.0%</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of our issued and outstanding ordinary shares upon the consummation of this offering</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(assuming our initial shareholders do not purchase any units in this offering). Any</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conversion of Class B ordinary shares described herein will take effect as a redemption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of Class B ordinary shares and an issuance of Class A ordinary shares as a matter of</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Cayman Islands law.</w:t>
            </w:r>
          </w:p>
        </w:tc>
      </w:tr>
      <w:tr>
        <w:trPr>
          <w:trHeight w:val="350"/>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The founder shares are identical to the Class A ordinary shares included in the units</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being sold in this offering, except that:</w:t>
            </w:r>
          </w:p>
        </w:tc>
      </w:tr>
      <w:tr>
        <w:trPr>
          <w:trHeight w:val="351"/>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7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only holders of Class B ordinary shares will have the right to appoint directors in</w:t>
            </w:r>
          </w:p>
        </w:tc>
      </w:tr>
      <w:tr>
        <w:trPr>
          <w:trHeight w:val="188"/>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2040"/>
              <w:spacing w:after="0" w:line="188" w:lineRule="exact"/>
              <w:rPr>
                <w:sz w:val="20"/>
                <w:szCs w:val="20"/>
                <w:color w:val="auto"/>
              </w:rPr>
            </w:pPr>
            <w:r>
              <w:rPr>
                <w:rFonts w:ascii="Arial" w:cs="Arial" w:eastAsia="Arial" w:hAnsi="Arial"/>
                <w:sz w:val="17"/>
                <w:szCs w:val="17"/>
                <w:color w:val="auto"/>
              </w:rPr>
              <w:t>any election held prior to or in connection with the completion of our initial</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2040"/>
              <w:spacing w:after="0"/>
              <w:rPr>
                <w:sz w:val="20"/>
                <w:szCs w:val="20"/>
                <w:color w:val="auto"/>
              </w:rPr>
            </w:pPr>
            <w:r>
              <w:rPr>
                <w:rFonts w:ascii="Arial" w:cs="Arial" w:eastAsia="Arial" w:hAnsi="Arial"/>
                <w:sz w:val="17"/>
                <w:szCs w:val="17"/>
                <w:color w:val="auto"/>
              </w:rPr>
              <w:t>business combination;</w:t>
            </w:r>
          </w:p>
        </w:tc>
      </w:tr>
      <w:tr>
        <w:trPr>
          <w:trHeight w:val="226"/>
        </w:trPr>
        <w:tc>
          <w:tcPr>
            <w:tcW w:w="2920" w:type="dxa"/>
            <w:vAlign w:val="bottom"/>
            <w:tcBorders>
              <w:left w:val="single" w:sz="8" w:color="auto"/>
              <w:bottom w:val="single" w:sz="8" w:color="auto"/>
            </w:tcBorders>
          </w:tcPr>
          <w:p>
            <w:pPr>
              <w:spacing w:after="0"/>
              <w:rPr>
                <w:sz w:val="19"/>
                <w:szCs w:val="19"/>
                <w:color w:val="auto"/>
              </w:rPr>
            </w:pPr>
          </w:p>
        </w:tc>
        <w:tc>
          <w:tcPr>
            <w:tcW w:w="8320" w:type="dxa"/>
            <w:vAlign w:val="bottom"/>
            <w:tcBorders>
              <w:bottom w:val="single" w:sz="8" w:color="auto"/>
              <w:right w:val="single" w:sz="8" w:color="auto"/>
            </w:tcBorders>
          </w:tcPr>
          <w:p>
            <w:pPr>
              <w:spacing w:after="0"/>
              <w:rPr>
                <w:sz w:val="19"/>
                <w:szCs w:val="19"/>
                <w:color w:val="auto"/>
              </w:rPr>
            </w:pPr>
          </w:p>
        </w:tc>
      </w:tr>
      <w:tr>
        <w:trPr>
          <w:trHeight w:val="589"/>
        </w:trPr>
        <w:tc>
          <w:tcPr>
            <w:tcW w:w="2920" w:type="dxa"/>
            <w:vAlign w:val="bottom"/>
          </w:tcPr>
          <w:p>
            <w:pPr>
              <w:spacing w:after="0"/>
              <w:rPr>
                <w:sz w:val="24"/>
                <w:szCs w:val="24"/>
                <w:color w:val="auto"/>
              </w:rPr>
            </w:pPr>
          </w:p>
        </w:tc>
        <w:tc>
          <w:tcPr>
            <w:tcW w:w="8320" w:type="dxa"/>
            <w:vAlign w:val="bottom"/>
          </w:tcPr>
          <w:p>
            <w:pPr>
              <w:ind w:left="2620"/>
              <w:spacing w:after="0"/>
              <w:rPr>
                <w:sz w:val="20"/>
                <w:szCs w:val="20"/>
                <w:color w:val="auto"/>
              </w:rPr>
            </w:pPr>
            <w:r>
              <w:rPr>
                <w:rFonts w:ascii="Arial" w:cs="Arial" w:eastAsia="Arial" w:hAnsi="Arial"/>
                <w:sz w:val="16"/>
                <w:szCs w:val="16"/>
                <w:color w:val="auto"/>
              </w:rPr>
              <w:t>14</w:t>
            </w:r>
          </w:p>
        </w:tc>
      </w:tr>
    </w:tbl>
    <w:p>
      <w:pPr>
        <w:sectPr>
          <w:pgSz w:w="11900" w:h="16838" w:orient="portrait"/>
          <w:cols w:equalWidth="0" w:num="1">
            <w:col w:w="11240"/>
          </w:cols>
          <w:pgMar w:left="320" w:top="455" w:right="339" w:bottom="1440" w:gutter="0" w:footer="0" w:header="0"/>
        </w:sectPr>
      </w:pPr>
    </w:p>
    <w:bookmarkStart w:id="17" w:name="page18"/>
    <w:bookmarkEnd w:id="1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5505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555053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Transfer restrictions on founder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640" w:right="280" w:hanging="325"/>
        <w:spacing w:after="0" w:line="257" w:lineRule="auto"/>
        <w:tabs>
          <w:tab w:leader="none" w:pos="64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the founder shares are subject to certain transfer restrictions, as described in more detail below;</w:t>
      </w:r>
    </w:p>
    <w:p>
      <w:pPr>
        <w:spacing w:after="0" w:line="1" w:lineRule="exact"/>
        <w:rPr>
          <w:rFonts w:ascii="MS PGothic" w:cs="MS PGothic" w:eastAsia="MS PGothic" w:hAnsi="MS PGothic"/>
          <w:sz w:val="17"/>
          <w:szCs w:val="17"/>
          <w:color w:val="auto"/>
        </w:rPr>
      </w:pPr>
    </w:p>
    <w:p>
      <w:pPr>
        <w:ind w:left="640" w:hanging="325"/>
        <w:spacing w:after="0"/>
        <w:tabs>
          <w:tab w:leader="none" w:pos="64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the founder shares are entitled to registration rights;</w:t>
      </w:r>
    </w:p>
    <w:p>
      <w:pPr>
        <w:spacing w:after="0" w:line="63" w:lineRule="exact"/>
        <w:rPr>
          <w:rFonts w:ascii="MS PGothic" w:cs="MS PGothic" w:eastAsia="MS PGothic" w:hAnsi="MS PGothic"/>
          <w:sz w:val="17"/>
          <w:szCs w:val="17"/>
          <w:color w:val="auto"/>
        </w:rPr>
      </w:pPr>
    </w:p>
    <w:p>
      <w:pPr>
        <w:ind w:left="640" w:hanging="325"/>
        <w:spacing w:after="0" w:line="233" w:lineRule="auto"/>
        <w:tabs>
          <w:tab w:leader="none" w:pos="64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our sponsor, officers and directors have entered into a letter agreement with us, pursuant to which they have agreed to (i) waive their redemption rights with respect to their founder shares and public shares in connection with the completion of our initial business combination; (ii) waive their redemption rights with respect to their founder shares and public shares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(iii) waive their rights to liquidating distributions from the trust account with respect to their founder shares if we fail to complete our initial business combination within</w:t>
      </w:r>
    </w:p>
    <w:p>
      <w:pPr>
        <w:spacing w:after="0" w:line="7" w:lineRule="exact"/>
        <w:rPr>
          <w:rFonts w:ascii="MS PGothic" w:cs="MS PGothic" w:eastAsia="MS PGothic" w:hAnsi="MS PGothic"/>
          <w:sz w:val="17"/>
          <w:szCs w:val="17"/>
          <w:color w:val="auto"/>
        </w:rPr>
      </w:pPr>
    </w:p>
    <w:p>
      <w:pPr>
        <w:ind w:left="640" w:right="20"/>
        <w:spacing w:after="0" w:line="233" w:lineRule="auto"/>
        <w:rPr>
          <w:rFonts w:ascii="MS PGothic" w:cs="MS PGothic" w:eastAsia="MS PGothic" w:hAnsi="MS PGothic"/>
          <w:sz w:val="17"/>
          <w:szCs w:val="17"/>
          <w:color w:val="auto"/>
        </w:rPr>
      </w:pPr>
      <w:r>
        <w:rPr>
          <w:rFonts w:ascii="Arial" w:cs="Arial" w:eastAsia="Arial" w:hAnsi="Arial"/>
          <w:sz w:val="17"/>
          <w:szCs w:val="17"/>
          <w:color w:val="auto"/>
        </w:rPr>
        <w:t>24 months from the closing of this offering, although they will be entitled to liquidating distributions from the trust account with respect to any public shares they hold if we fail to complete our initial business combination within the prescribed time frame; and (iv) vote any founder shares held by them and any public shares purchased during or after this offering (including in open market and privately-negotiated transactions) in favor of our initial business combination. If we submit our initial business combination to our public shareholders for a vote, we will complete our initial business combination only if we receive an ordinary resolution under Cayman Islands law, which requires the affirmative vote of a majority of the shareholders who attend and vote at a general meeting of the company.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 and</w:t>
      </w:r>
    </w:p>
    <w:p>
      <w:pPr>
        <w:spacing w:after="0" w:line="7" w:lineRule="exact"/>
        <w:rPr>
          <w:rFonts w:ascii="MS PGothic" w:cs="MS PGothic" w:eastAsia="MS PGothic" w:hAnsi="MS PGothic"/>
          <w:sz w:val="17"/>
          <w:szCs w:val="17"/>
          <w:color w:val="auto"/>
        </w:rPr>
      </w:pPr>
    </w:p>
    <w:p>
      <w:pPr>
        <w:ind w:left="640" w:hanging="325"/>
        <w:spacing w:after="0" w:line="242" w:lineRule="auto"/>
        <w:tabs>
          <w:tab w:leader="none" w:pos="64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the founder shares are automatically convertible into our Class A ordinary shares concurrently with or immediately following the consummation of our initial business combination on a one-for-one basis, subject to adjustment pursuant to certain anti-dilution rights, as described below adjacent to the caption “Founder shares conversion and anti-dilution rights.”</w:t>
      </w:r>
    </w:p>
    <w:p>
      <w:pPr>
        <w:spacing w:after="0" w:line="16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Our initial shareholders have agreed not to transfer, assign or sell any of their founder shares and any Class A ordinary shares issuable upon conversion thereof until the earlier to occur of: (i) one year after the completion of our initial business combination or (ii) the date on</w:t>
      </w:r>
    </w:p>
    <w:p>
      <w:pPr>
        <w:spacing w:after="0" w:line="200" w:lineRule="exact"/>
        <w:rPr>
          <w:sz w:val="20"/>
          <w:szCs w:val="20"/>
          <w:color w:val="auto"/>
        </w:rPr>
      </w:pPr>
    </w:p>
    <w:p>
      <w:pPr>
        <w:sectPr>
          <w:pgSz w:w="11900" w:h="16838" w:orient="portrait"/>
          <w:cols w:equalWidth="0" w:num="2">
            <w:col w:w="3600" w:space="720"/>
            <w:col w:w="6720"/>
          </w:cols>
          <w:pgMar w:left="320" w:top="455" w:right="5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40"/>
          </w:cols>
          <w:pgMar w:left="320" w:top="455" w:right="539" w:bottom="1440" w:gutter="0" w:footer="0" w:header="0"/>
          <w:type w:val="continuous"/>
        </w:sectPr>
      </w:pPr>
    </w:p>
    <w:bookmarkStart w:id="18" w:name="page19"/>
    <w:bookmarkEnd w:id="1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4993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499300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Founder shares conversion and anti-dilution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which we complete a liquidation, merger, share exchange or other similar transaction after our initial business combination that results in all of our shareholders having the right to exchange their Class A ordinary shares for cash, securities or other property; except to certain permitted transferees and under certain circumstances as described herein under “Principal Shareholders—Transfers of Founder Shares and Private Placement Warrants”. Any permitted transferees will be subject to the same restrictions and other agreements of our initial shareholders with respect to any founder shares. We refer to such transfer restrictions throughout this prospectus as the lock-up. Notwithstanding the foregoing, if (1)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(2) if we consummate a transaction after our initial business combination which results in our shareholders having the right to exchange their shares for cash, securities or other property, the founder shares will be released from the lock-up.</w:t>
      </w:r>
    </w:p>
    <w:p>
      <w:pPr>
        <w:spacing w:after="0" w:line="180" w:lineRule="exact"/>
        <w:rPr>
          <w:sz w:val="20"/>
          <w:szCs w:val="20"/>
          <w:color w:val="auto"/>
        </w:rPr>
      </w:pPr>
    </w:p>
    <w:p>
      <w:pPr>
        <w:ind w:right="220"/>
        <w:spacing w:after="0" w:line="234" w:lineRule="auto"/>
        <w:rPr>
          <w:sz w:val="20"/>
          <w:szCs w:val="20"/>
          <w:color w:val="auto"/>
        </w:rPr>
      </w:pPr>
      <w:r>
        <w:rPr>
          <w:rFonts w:ascii="Arial" w:cs="Arial" w:eastAsia="Arial" w:hAnsi="Arial"/>
          <w:sz w:val="17"/>
          <w:szCs w:val="17"/>
          <w:color w:val="auto"/>
        </w:rPr>
        <w:t xml:space="preserve">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officers or directors upon conversion of working capital loans;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conversion of founder shares will never occur on a less than one-for-one basis.</w:t>
      </w:r>
    </w:p>
    <w:p>
      <w:pPr>
        <w:spacing w:after="0" w:line="167" w:lineRule="exact"/>
        <w:rPr>
          <w:sz w:val="20"/>
          <w:szCs w:val="20"/>
          <w:color w:val="auto"/>
        </w:rPr>
      </w:pPr>
    </w:p>
    <w:p>
      <w:pPr>
        <w:sectPr>
          <w:pgSz w:w="11900" w:h="16838" w:orient="portrait"/>
          <w:cols w:equalWidth="0" w:num="2">
            <w:col w:w="3820" w:space="500"/>
            <w:col w:w="6920"/>
          </w:cols>
          <w:pgMar w:left="320" w:top="455"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3620" w:type="dxa"/>
            <w:vAlign w:val="bottom"/>
          </w:tcPr>
          <w:p>
            <w:pPr>
              <w:ind w:left="200"/>
              <w:spacing w:after="0"/>
              <w:rPr>
                <w:sz w:val="20"/>
                <w:szCs w:val="20"/>
                <w:color w:val="auto"/>
              </w:rPr>
            </w:pPr>
            <w:r>
              <w:rPr>
                <w:rFonts w:ascii="Arial" w:cs="Arial" w:eastAsia="Arial" w:hAnsi="Arial"/>
                <w:sz w:val="17"/>
                <w:szCs w:val="17"/>
                <w:b w:val="1"/>
                <w:bCs w:val="1"/>
                <w:color w:val="auto"/>
              </w:rPr>
              <w:t>Appointment of directors; voting:</w:t>
            </w:r>
          </w:p>
        </w:tc>
        <w:tc>
          <w:tcPr>
            <w:tcW w:w="7620" w:type="dxa"/>
            <w:vAlign w:val="bottom"/>
          </w:tcPr>
          <w:p>
            <w:pPr>
              <w:ind w:left="700"/>
              <w:spacing w:after="0"/>
              <w:rPr>
                <w:sz w:val="20"/>
                <w:szCs w:val="20"/>
                <w:color w:val="auto"/>
              </w:rPr>
            </w:pPr>
            <w:r>
              <w:rPr>
                <w:rFonts w:ascii="Arial" w:cs="Arial" w:eastAsia="Arial" w:hAnsi="Arial"/>
                <w:sz w:val="17"/>
                <w:szCs w:val="17"/>
                <w:color w:val="auto"/>
              </w:rPr>
              <w:t>Holders of record of our Class A ordinary shares and Class B ordinary shares are entitled</w:t>
            </w:r>
          </w:p>
        </w:tc>
      </w:tr>
      <w:tr>
        <w:trPr>
          <w:trHeight w:val="189"/>
        </w:trPr>
        <w:tc>
          <w:tcPr>
            <w:tcW w:w="3620" w:type="dxa"/>
            <w:vAlign w:val="bottom"/>
          </w:tcPr>
          <w:p>
            <w:pPr>
              <w:spacing w:after="0"/>
              <w:rPr>
                <w:sz w:val="16"/>
                <w:szCs w:val="16"/>
                <w:color w:val="auto"/>
              </w:rPr>
            </w:pPr>
          </w:p>
        </w:tc>
        <w:tc>
          <w:tcPr>
            <w:tcW w:w="7620" w:type="dxa"/>
            <w:vAlign w:val="bottom"/>
          </w:tcPr>
          <w:p>
            <w:pPr>
              <w:ind w:left="700"/>
              <w:spacing w:after="0" w:line="189" w:lineRule="exact"/>
              <w:rPr>
                <w:sz w:val="20"/>
                <w:szCs w:val="20"/>
                <w:color w:val="auto"/>
              </w:rPr>
            </w:pPr>
            <w:r>
              <w:rPr>
                <w:rFonts w:ascii="Arial" w:cs="Arial" w:eastAsia="Arial" w:hAnsi="Arial"/>
                <w:sz w:val="17"/>
                <w:szCs w:val="17"/>
                <w:color w:val="auto"/>
              </w:rPr>
              <w:t>to one vote for each share held on all matters to be voted on by shareholders. Unless</w:t>
            </w:r>
          </w:p>
        </w:tc>
      </w:tr>
      <w:tr>
        <w:trPr>
          <w:trHeight w:val="189"/>
        </w:trPr>
        <w:tc>
          <w:tcPr>
            <w:tcW w:w="3620" w:type="dxa"/>
            <w:vAlign w:val="bottom"/>
          </w:tcPr>
          <w:p>
            <w:pPr>
              <w:spacing w:after="0"/>
              <w:rPr>
                <w:sz w:val="16"/>
                <w:szCs w:val="16"/>
                <w:color w:val="auto"/>
              </w:rPr>
            </w:pPr>
          </w:p>
        </w:tc>
        <w:tc>
          <w:tcPr>
            <w:tcW w:w="7620" w:type="dxa"/>
            <w:vAlign w:val="bottom"/>
          </w:tcPr>
          <w:p>
            <w:pPr>
              <w:ind w:left="700"/>
              <w:spacing w:after="0" w:line="189" w:lineRule="exact"/>
              <w:rPr>
                <w:sz w:val="20"/>
                <w:szCs w:val="20"/>
                <w:color w:val="auto"/>
              </w:rPr>
            </w:pPr>
            <w:r>
              <w:rPr>
                <w:rFonts w:ascii="Arial" w:cs="Arial" w:eastAsia="Arial" w:hAnsi="Arial"/>
                <w:sz w:val="17"/>
                <w:szCs w:val="17"/>
                <w:color w:val="auto"/>
              </w:rPr>
              <w:t>specified in our amended and restated memorandum and articles of association or as</w:t>
            </w:r>
          </w:p>
        </w:tc>
      </w:tr>
      <w:tr>
        <w:trPr>
          <w:trHeight w:val="231"/>
        </w:trPr>
        <w:tc>
          <w:tcPr>
            <w:tcW w:w="3620" w:type="dxa"/>
            <w:vAlign w:val="bottom"/>
          </w:tcPr>
          <w:p>
            <w:pPr>
              <w:spacing w:after="0"/>
              <w:rPr>
                <w:sz w:val="20"/>
                <w:szCs w:val="20"/>
                <w:color w:val="auto"/>
              </w:rPr>
            </w:pPr>
          </w:p>
        </w:tc>
        <w:tc>
          <w:tcPr>
            <w:tcW w:w="7620" w:type="dxa"/>
            <w:vAlign w:val="bottom"/>
          </w:tcPr>
          <w:p>
            <w:pPr>
              <w:ind w:left="700"/>
              <w:spacing w:after="0"/>
              <w:rPr>
                <w:sz w:val="20"/>
                <w:szCs w:val="20"/>
                <w:color w:val="auto"/>
              </w:rPr>
            </w:pPr>
            <w:r>
              <w:rPr>
                <w:rFonts w:ascii="Arial" w:cs="Arial" w:eastAsia="Arial" w:hAnsi="Arial"/>
                <w:sz w:val="17"/>
                <w:szCs w:val="17"/>
                <w:color w:val="auto"/>
              </w:rPr>
              <w:t>required by</w:t>
            </w:r>
          </w:p>
        </w:tc>
      </w:tr>
      <w:tr>
        <w:trPr>
          <w:trHeight w:val="226"/>
        </w:trPr>
        <w:tc>
          <w:tcPr>
            <w:tcW w:w="3620" w:type="dxa"/>
            <w:vAlign w:val="bottom"/>
            <w:tcBorders>
              <w:bottom w:val="single" w:sz="8" w:color="auto"/>
            </w:tcBorders>
          </w:tcPr>
          <w:p>
            <w:pPr>
              <w:spacing w:after="0"/>
              <w:rPr>
                <w:sz w:val="19"/>
                <w:szCs w:val="19"/>
                <w:color w:val="auto"/>
              </w:rPr>
            </w:pPr>
          </w:p>
        </w:tc>
        <w:tc>
          <w:tcPr>
            <w:tcW w:w="7620" w:type="dxa"/>
            <w:vAlign w:val="bottom"/>
            <w:tcBorders>
              <w:bottom w:val="single" w:sz="8" w:color="auto"/>
            </w:tcBorders>
          </w:tcPr>
          <w:p>
            <w:pPr>
              <w:spacing w:after="0"/>
              <w:rPr>
                <w:sz w:val="19"/>
                <w:szCs w:val="19"/>
                <w:color w:val="auto"/>
              </w:rPr>
            </w:pPr>
          </w:p>
        </w:tc>
      </w:tr>
      <w:tr>
        <w:trPr>
          <w:trHeight w:val="589"/>
        </w:trPr>
        <w:tc>
          <w:tcPr>
            <w:tcW w:w="3620" w:type="dxa"/>
            <w:vAlign w:val="bottom"/>
          </w:tcPr>
          <w:p>
            <w:pPr>
              <w:spacing w:after="0"/>
              <w:rPr>
                <w:sz w:val="24"/>
                <w:szCs w:val="24"/>
                <w:color w:val="auto"/>
              </w:rPr>
            </w:pPr>
          </w:p>
        </w:tc>
        <w:tc>
          <w:tcPr>
            <w:tcW w:w="7620" w:type="dxa"/>
            <w:vAlign w:val="bottom"/>
          </w:tcPr>
          <w:p>
            <w:pPr>
              <w:ind w:left="1920"/>
              <w:spacing w:after="0"/>
              <w:rPr>
                <w:sz w:val="20"/>
                <w:szCs w:val="20"/>
                <w:color w:val="auto"/>
              </w:rPr>
            </w:pPr>
            <w:r>
              <w:rPr>
                <w:rFonts w:ascii="Arial" w:cs="Arial" w:eastAsia="Arial" w:hAnsi="Arial"/>
                <w:sz w:val="16"/>
                <w:szCs w:val="16"/>
                <w:color w:val="auto"/>
              </w:rPr>
              <w:t>16</w:t>
            </w:r>
          </w:p>
        </w:tc>
      </w:tr>
    </w:tbl>
    <w:p>
      <w:pPr>
        <w:sectPr>
          <w:pgSz w:w="11900" w:h="16838" w:orient="portrait"/>
          <w:cols w:equalWidth="0" w:num="1">
            <w:col w:w="11240"/>
          </w:cols>
          <w:pgMar w:left="320" w:top="455" w:right="3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3400" w:type="dxa"/>
            <w:vAlign w:val="bottom"/>
            <w:tcBorders>
              <w:top w:val="single" w:sz="8" w:color="auto"/>
              <w:left w:val="single" w:sz="8" w:color="auto"/>
            </w:tcBorders>
          </w:tcPr>
          <w:p>
            <w:pPr>
              <w:spacing w:after="0"/>
              <w:rPr>
                <w:sz w:val="24"/>
                <w:szCs w:val="24"/>
                <w:color w:val="auto"/>
              </w:rPr>
            </w:pPr>
          </w:p>
        </w:tc>
        <w:tc>
          <w:tcPr>
            <w:tcW w:w="78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7"/>
                <w:szCs w:val="17"/>
                <w:color w:val="auto"/>
              </w:rPr>
              <w:t>the Companies Law or stock exchange rules, an ordinary resolution under Cayman</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Islands law, which requires the affirmative vote of a majority of the shareholders who</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attend and vote at a general meeting of the company is generally required to approve</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any matter voted on by our shareholders. Approval of certain actions require a special</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resolution under Cayman Islands law, which requires the affirmative vote of a majority of</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at least two-thirds of the shareholders who attend and vote at a general meeting of the</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company, and pursuant to our amended and restated memorandum and articles of</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association, such actions include amending our amended and restated memorandum</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and articles of association and approving a statutory merger or consolidation with</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another company. There is no cumulative voting with respect to the appointment of</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directors, meaning, following our initial business combination, the holders of more than</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50% of our ordinary shares voted for the appointment of directors can elect all of the</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directors. Only holders of Class B ordinary shares will have the right to appoint directors</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in any election held prior to or in connection with the completion of our initial business</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combination. Holders of our public shares will not be entitled to vote on the appointment</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of directors during such time. These provisions of our amended and restated</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memorandum and articles of association relating to the rights of holders of Class B</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ordinary shares to appoint directors may be amended by a special resolution passed by</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a majority of at least 90% of our shares voting in a general meeting. With respect to any</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other matter submitted to a vote of our shareholders, including any vote in connection</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with our initial business combination, except as required by law, holders of the founder</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shares and holders of our public shares will vote together as a single class, with each</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share entitling the holder to one vote. If we seek shareholder approval of our initial</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business combination, we will complete our initial business combination only if we</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receive an ordinary resolution under Cayman Islands law, which requires the affirmative</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vote of a majority of the shareholders who attend and vote at a general meeting of the</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company. In such case, our sponsor, officers and directors have agreed to vote their</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founder shares and any public shares purchased during or after this offering (including in</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open market and privately-negotiated transactions) in favor of our initial business</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combination. As a result, in addition to our initial shareholders’ founder shares, we would</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need 7,500,001, or 37.5%, of the 20,000,000 public shares sold in this offering to be</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voted in favor of an initial business combination in order to have our initial business</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combination approved (assuming all outstanding shares are voted and the over-allotment</w:t>
            </w:r>
          </w:p>
        </w:tc>
      </w:tr>
      <w:tr>
        <w:trPr>
          <w:trHeight w:val="231"/>
        </w:trPr>
        <w:tc>
          <w:tcPr>
            <w:tcW w:w="340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920"/>
              <w:spacing w:after="0"/>
              <w:rPr>
                <w:sz w:val="20"/>
                <w:szCs w:val="20"/>
                <w:color w:val="auto"/>
              </w:rPr>
            </w:pPr>
            <w:r>
              <w:rPr>
                <w:rFonts w:ascii="Arial" w:cs="Arial" w:eastAsia="Arial" w:hAnsi="Arial"/>
                <w:sz w:val="17"/>
                <w:szCs w:val="17"/>
                <w:color w:val="auto"/>
              </w:rPr>
              <w:t>option is not exercised).</w:t>
            </w:r>
          </w:p>
        </w:tc>
      </w:tr>
      <w:tr>
        <w:trPr>
          <w:trHeight w:val="363"/>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Private placement warrants:</w:t>
            </w:r>
          </w:p>
        </w:tc>
        <w:tc>
          <w:tcPr>
            <w:tcW w:w="7840" w:type="dxa"/>
            <w:vAlign w:val="bottom"/>
            <w:tcBorders>
              <w:right w:val="single" w:sz="8" w:color="auto"/>
            </w:tcBorders>
          </w:tcPr>
          <w:p>
            <w:pPr>
              <w:ind w:left="920"/>
              <w:spacing w:after="0"/>
              <w:rPr>
                <w:sz w:val="20"/>
                <w:szCs w:val="20"/>
                <w:color w:val="auto"/>
              </w:rPr>
            </w:pPr>
            <w:r>
              <w:rPr>
                <w:rFonts w:ascii="Arial" w:cs="Arial" w:eastAsia="Arial" w:hAnsi="Arial"/>
                <w:sz w:val="17"/>
                <w:szCs w:val="17"/>
                <w:color w:val="auto"/>
              </w:rPr>
              <w:t>Our sponsor has committed, pursuant to a written agreement, to purchase an aggregate</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of 6,000,000 private placement warrants (or 6,600,000 warrants if the underwriters’ over-</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allotment option is exercised in full), each exercisable to purchase one Class A ordinary</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share at $11.50 per share, at a price of $1.00 per warrant, or $6,000,000 in the</w:t>
            </w:r>
          </w:p>
        </w:tc>
      </w:tr>
      <w:tr>
        <w:trPr>
          <w:trHeight w:val="189"/>
        </w:trPr>
        <w:tc>
          <w:tcPr>
            <w:tcW w:w="3400" w:type="dxa"/>
            <w:vAlign w:val="bottom"/>
            <w:tcBorders>
              <w:left w:val="single" w:sz="8" w:color="auto"/>
            </w:tcBorders>
          </w:tcPr>
          <w:p>
            <w:pPr>
              <w:spacing w:after="0"/>
              <w:rPr>
                <w:sz w:val="16"/>
                <w:szCs w:val="16"/>
                <w:color w:val="auto"/>
              </w:rPr>
            </w:pPr>
          </w:p>
        </w:tc>
        <w:tc>
          <w:tcPr>
            <w:tcW w:w="7840" w:type="dxa"/>
            <w:vAlign w:val="bottom"/>
            <w:tcBorders>
              <w:right w:val="single" w:sz="8" w:color="auto"/>
            </w:tcBorders>
          </w:tcPr>
          <w:p>
            <w:pPr>
              <w:ind w:left="920"/>
              <w:spacing w:after="0" w:line="189" w:lineRule="exact"/>
              <w:rPr>
                <w:sz w:val="20"/>
                <w:szCs w:val="20"/>
                <w:color w:val="auto"/>
              </w:rPr>
            </w:pPr>
            <w:r>
              <w:rPr>
                <w:rFonts w:ascii="Arial" w:cs="Arial" w:eastAsia="Arial" w:hAnsi="Arial"/>
                <w:sz w:val="17"/>
                <w:szCs w:val="17"/>
                <w:color w:val="auto"/>
              </w:rPr>
              <w:t>aggregate (or $6,600,000 if the underwriters’ over-allotment option is exercised in full), in</w:t>
            </w:r>
          </w:p>
        </w:tc>
      </w:tr>
      <w:tr>
        <w:trPr>
          <w:trHeight w:val="231"/>
        </w:trPr>
        <w:tc>
          <w:tcPr>
            <w:tcW w:w="340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920"/>
              <w:spacing w:after="0"/>
              <w:rPr>
                <w:sz w:val="20"/>
                <w:szCs w:val="20"/>
                <w:color w:val="auto"/>
              </w:rPr>
            </w:pPr>
            <w:r>
              <w:rPr>
                <w:rFonts w:ascii="Arial" w:cs="Arial" w:eastAsia="Arial" w:hAnsi="Arial"/>
                <w:sz w:val="17"/>
                <w:szCs w:val="17"/>
                <w:color w:val="auto"/>
              </w:rPr>
              <w:t>a private placement that</w:t>
            </w:r>
          </w:p>
        </w:tc>
      </w:tr>
      <w:tr>
        <w:trPr>
          <w:trHeight w:val="226"/>
        </w:trPr>
        <w:tc>
          <w:tcPr>
            <w:tcW w:w="3400" w:type="dxa"/>
            <w:vAlign w:val="bottom"/>
            <w:tcBorders>
              <w:left w:val="single" w:sz="8" w:color="auto"/>
              <w:bottom w:val="single" w:sz="8" w:color="auto"/>
            </w:tcBorders>
          </w:tcPr>
          <w:p>
            <w:pPr>
              <w:spacing w:after="0"/>
              <w:rPr>
                <w:sz w:val="19"/>
                <w:szCs w:val="19"/>
                <w:color w:val="auto"/>
              </w:rPr>
            </w:pPr>
          </w:p>
        </w:tc>
        <w:tc>
          <w:tcPr>
            <w:tcW w:w="7840" w:type="dxa"/>
            <w:vAlign w:val="bottom"/>
            <w:tcBorders>
              <w:bottom w:val="single" w:sz="8" w:color="auto"/>
              <w:right w:val="single" w:sz="8" w:color="auto"/>
            </w:tcBorders>
          </w:tcPr>
          <w:p>
            <w:pPr>
              <w:spacing w:after="0"/>
              <w:rPr>
                <w:sz w:val="19"/>
                <w:szCs w:val="19"/>
                <w:color w:val="auto"/>
              </w:rPr>
            </w:pPr>
          </w:p>
        </w:tc>
      </w:tr>
      <w:tr>
        <w:trPr>
          <w:trHeight w:val="589"/>
        </w:trPr>
        <w:tc>
          <w:tcPr>
            <w:tcW w:w="3400" w:type="dxa"/>
            <w:vAlign w:val="bottom"/>
          </w:tcPr>
          <w:p>
            <w:pPr>
              <w:spacing w:after="0"/>
              <w:rPr>
                <w:sz w:val="24"/>
                <w:szCs w:val="24"/>
                <w:color w:val="auto"/>
              </w:rPr>
            </w:pPr>
          </w:p>
        </w:tc>
        <w:tc>
          <w:tcPr>
            <w:tcW w:w="7840" w:type="dxa"/>
            <w:vAlign w:val="bottom"/>
          </w:tcPr>
          <w:p>
            <w:pPr>
              <w:ind w:left="2140"/>
              <w:spacing w:after="0"/>
              <w:rPr>
                <w:sz w:val="20"/>
                <w:szCs w:val="20"/>
                <w:color w:val="auto"/>
              </w:rPr>
            </w:pPr>
            <w:r>
              <w:rPr>
                <w:rFonts w:ascii="Arial" w:cs="Arial" w:eastAsia="Arial" w:hAnsi="Arial"/>
                <w:sz w:val="16"/>
                <w:szCs w:val="16"/>
                <w:color w:val="auto"/>
              </w:rPr>
              <w:t>17</w:t>
            </w:r>
          </w:p>
        </w:tc>
      </w:tr>
    </w:tbl>
    <w:p>
      <w:pPr>
        <w:sectPr>
          <w:pgSz w:w="11900" w:h="16838" w:orient="portrait"/>
          <w:cols w:equalWidth="0" w:num="1">
            <w:col w:w="11240"/>
          </w:cols>
          <w:pgMar w:left="320" w:top="455" w:right="339" w:bottom="1440" w:gutter="0" w:footer="0" w:header="0"/>
        </w:sectPr>
      </w:pPr>
    </w:p>
    <w:bookmarkStart w:id="20" w:name="page21"/>
    <w:bookmarkEnd w:id="2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4993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499300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Cashless exercise of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0" w:right="600" w:hanging="80"/>
        <w:spacing w:after="0" w:line="290" w:lineRule="auto"/>
        <w:rPr>
          <w:sz w:val="20"/>
          <w:szCs w:val="20"/>
          <w:color w:val="auto"/>
        </w:rPr>
      </w:pPr>
      <w:r>
        <w:rPr>
          <w:rFonts w:ascii="Arial" w:cs="Arial" w:eastAsia="Arial" w:hAnsi="Arial"/>
          <w:sz w:val="17"/>
          <w:szCs w:val="17"/>
          <w:b w:val="1"/>
          <w:bCs w:val="1"/>
          <w:color w:val="auto"/>
        </w:rPr>
        <w:t>Transfer restrictions on private placement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will close simultaneously with the closing of this offering. A portion of the purchase price of the private placement warrants will be added to the proceeds from this offering to be held in the trust account such that at the time of closing of this offering $200 million (or $230 million if the underwriters exercise its over-allotment option in full) will be held in the trust account. The private placement warrants will be identical to the warrants sold in this offering except that, so long as they are held by our sponsor or its permitted transferees, the private placement warrants (i) will not be redeemable by us, except as described under “</w:t>
      </w:r>
      <w:r>
        <w:rPr>
          <w:rFonts w:ascii="Arial" w:cs="Arial" w:eastAsia="Arial" w:hAnsi="Arial"/>
          <w:sz w:val="17"/>
          <w:szCs w:val="17"/>
          <w:i w:val="1"/>
          <w:iCs w:val="1"/>
          <w:color w:val="auto"/>
        </w:rPr>
        <w:t>—Redemption of warrants when the price per Class A ordinary share equals or</w:t>
      </w:r>
      <w:r>
        <w:rPr>
          <w:rFonts w:ascii="Arial" w:cs="Arial" w:eastAsia="Arial" w:hAnsi="Arial"/>
          <w:sz w:val="17"/>
          <w:szCs w:val="17"/>
          <w:color w:val="auto"/>
        </w:rPr>
        <w:t xml:space="preserve"> </w:t>
      </w:r>
      <w:r>
        <w:rPr>
          <w:rFonts w:ascii="Arial" w:cs="Arial" w:eastAsia="Arial" w:hAnsi="Arial"/>
          <w:sz w:val="17"/>
          <w:szCs w:val="17"/>
          <w:i w:val="1"/>
          <w:iCs w:val="1"/>
          <w:color w:val="auto"/>
        </w:rPr>
        <w:t>exceeds $10.00,</w:t>
      </w:r>
      <w:r>
        <w:rPr>
          <w:rFonts w:ascii="Arial" w:cs="Arial" w:eastAsia="Arial" w:hAnsi="Arial"/>
          <w:sz w:val="17"/>
          <w:szCs w:val="17"/>
          <w:color w:val="auto"/>
        </w:rPr>
        <w:t>” (ii) may not (including the Class A ordinary shares issuable upon</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of these warrants), subject to certain limited exceptions, be transferred, assigned or sold by the holders until 30 days after the completion of our initial business combination, (iii) may be exercised by the holders on a cashless basis and (iv) will be entitled to registration rights. If the private placement warrants are held by holders other than our sponsor or its permitted transferees, the private placement warrants will be redeemable by us and exercisable by the holders on the same basis as the warrants included in the units being sold in this offering. If we do not complete our initial business combination within 24 months from the closing of this offering, the private placement warrants will expire worthless.</w:t>
      </w:r>
    </w:p>
    <w:p>
      <w:pPr>
        <w:spacing w:after="0" w:line="18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holders of private placement warrants elect to exercise them on a cashless basis, they would pay the exercise price by surrendering their warrants for that number of Class A ordinary shares equal to the quotient obtained by dividing (x) the product of the number of Class A ordinary shares underlying the warrants, multiplied by the excess of the “</w:t>
      </w:r>
      <w:r>
        <w:rPr>
          <w:rFonts w:ascii="Arial" w:cs="Arial" w:eastAsia="Arial" w:hAnsi="Arial"/>
          <w:sz w:val="17"/>
          <w:szCs w:val="17"/>
          <w:b w:val="1"/>
          <w:bCs w:val="1"/>
          <w:color w:val="auto"/>
        </w:rPr>
        <w:t>fair</w:t>
      </w:r>
      <w:r>
        <w:rPr>
          <w:rFonts w:ascii="Arial" w:cs="Arial" w:eastAsia="Arial" w:hAnsi="Arial"/>
          <w:sz w:val="17"/>
          <w:szCs w:val="17"/>
          <w:color w:val="auto"/>
        </w:rPr>
        <w:t xml:space="preserve"> </w:t>
      </w:r>
      <w:r>
        <w:rPr>
          <w:rFonts w:ascii="Arial" w:cs="Arial" w:eastAsia="Arial" w:hAnsi="Arial"/>
          <w:sz w:val="17"/>
          <w:szCs w:val="17"/>
          <w:b w:val="1"/>
          <w:bCs w:val="1"/>
          <w:color w:val="auto"/>
        </w:rPr>
        <w:t>market value</w:t>
      </w:r>
      <w:r>
        <w:rPr>
          <w:rFonts w:ascii="Arial" w:cs="Arial" w:eastAsia="Arial" w:hAnsi="Arial"/>
          <w:sz w:val="17"/>
          <w:szCs w:val="17"/>
          <w:color w:val="auto"/>
        </w:rPr>
        <w:t>” (defined below) over the exercise price of the warrants by (y)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market value. The “</w:t>
      </w:r>
      <w:r>
        <w:rPr>
          <w:rFonts w:ascii="Arial" w:cs="Arial" w:eastAsia="Arial" w:hAnsi="Arial"/>
          <w:sz w:val="17"/>
          <w:szCs w:val="17"/>
          <w:b w:val="1"/>
          <w:bCs w:val="1"/>
          <w:color w:val="auto"/>
        </w:rPr>
        <w:t>fair market value</w:t>
      </w:r>
      <w:r>
        <w:rPr>
          <w:rFonts w:ascii="Arial" w:cs="Arial" w:eastAsia="Arial" w:hAnsi="Arial"/>
          <w:sz w:val="17"/>
          <w:szCs w:val="17"/>
          <w:color w:val="auto"/>
        </w:rPr>
        <w:t>” will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the sponsor or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private placement warrants (including the Class A ordinary shares issuable upon exercise of the private placement warrants) will not be transferable, assignable or salable until 30 days after the completion of our initial business combination, except as described herein under “Principal Shareholders—Transfers of Founder Shares and Private Placement Warrants.”</w:t>
      </w:r>
    </w:p>
    <w:p>
      <w:pPr>
        <w:spacing w:after="0" w:line="200" w:lineRule="exact"/>
        <w:rPr>
          <w:sz w:val="20"/>
          <w:szCs w:val="20"/>
          <w:color w:val="auto"/>
        </w:rPr>
      </w:pPr>
    </w:p>
    <w:p>
      <w:pPr>
        <w:sectPr>
          <w:pgSz w:w="11900" w:h="16838" w:orient="portrait"/>
          <w:cols w:equalWidth="0" w:num="2">
            <w:col w:w="4200" w:space="120"/>
            <w:col w:w="6720"/>
          </w:cols>
          <w:pgMar w:left="320" w:top="455" w:right="5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40"/>
          </w:cols>
          <w:pgMar w:left="320" w:top="455" w:right="539" w:bottom="1440" w:gutter="0" w:footer="0" w:header="0"/>
          <w:type w:val="continuous"/>
        </w:sectPr>
      </w:pPr>
    </w:p>
    <w:bookmarkStart w:id="21" w:name="page22"/>
    <w:bookmarkEnd w:id="2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10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Proceeds to be held in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Anticipated expenses and funding 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9"/>
        <w:spacing w:after="0" w:line="237" w:lineRule="auto"/>
        <w:rPr>
          <w:sz w:val="20"/>
          <w:szCs w:val="20"/>
          <w:color w:val="auto"/>
        </w:rPr>
      </w:pPr>
      <w:r>
        <w:rPr>
          <w:rFonts w:ascii="Arial" w:cs="Arial" w:eastAsia="Arial" w:hAnsi="Arial"/>
          <w:sz w:val="17"/>
          <w:szCs w:val="17"/>
          <w:color w:val="auto"/>
        </w:rPr>
        <w:t>Nasdaq rules provide that at least 90% of the gross proceeds from this offering and the sale of the private placement warrants be deposited in a trust account. Of the net proceeds we will receive from this offering and the sale of the private placement warrants described in this prospectus, $200 million, or $230 million if the underwriters’ over-allotment option is exercised in full ($10.00 per unit in either case), will be deposited into</w:t>
      </w:r>
    </w:p>
    <w:p>
      <w:pPr>
        <w:spacing w:after="0" w:line="2" w:lineRule="exact"/>
        <w:rPr>
          <w:sz w:val="20"/>
          <w:szCs w:val="20"/>
          <w:color w:val="auto"/>
        </w:rPr>
      </w:pPr>
    </w:p>
    <w:p>
      <w:pPr>
        <w:ind w:left="9" w:right="20"/>
        <w:spacing w:after="0" w:line="235" w:lineRule="auto"/>
        <w:rPr>
          <w:sz w:val="20"/>
          <w:szCs w:val="20"/>
          <w:color w:val="auto"/>
        </w:rPr>
      </w:pPr>
      <w:r>
        <w:rPr>
          <w:rFonts w:ascii="Arial" w:cs="Arial" w:eastAsia="Arial" w:hAnsi="Arial"/>
          <w:sz w:val="17"/>
          <w:szCs w:val="17"/>
          <w:color w:val="auto"/>
        </w:rPr>
        <w:t>a segregated trust account located in the United States at [ ] with Continental Stock Transfer &amp; Trust Company acting as trustee, after deducting $4,000,000 in underwriting discounts and commissions payable upon the closing of this offering (or $4,600,000 if the underwriters’ over-allotment option is exercised in full) and an aggregate of $2 million to pay fees and expenses in connection with the closing of this offering and for working capital following the closing of this offering. The proceeds to be placed in the trust account include $7,000,000 (or up to $8,050,000 if the underwriters’ over-allotment option is exercised in full) in deferred underwriting commissions.</w:t>
      </w:r>
    </w:p>
    <w:p>
      <w:pPr>
        <w:spacing w:after="0" w:line="161" w:lineRule="exact"/>
        <w:rPr>
          <w:sz w:val="20"/>
          <w:szCs w:val="20"/>
          <w:color w:val="auto"/>
        </w:rPr>
      </w:pPr>
    </w:p>
    <w:p>
      <w:pPr>
        <w:jc w:val="both"/>
        <w:ind w:left="9" w:right="40"/>
        <w:spacing w:after="0" w:line="241" w:lineRule="auto"/>
        <w:rPr>
          <w:sz w:val="20"/>
          <w:szCs w:val="20"/>
          <w:color w:val="auto"/>
        </w:rPr>
      </w:pPr>
      <w:r>
        <w:rPr>
          <w:rFonts w:ascii="Arial" w:cs="Arial" w:eastAsia="Arial" w:hAnsi="Arial"/>
          <w:sz w:val="17"/>
          <w:szCs w:val="17"/>
          <w:color w:val="auto"/>
        </w:rPr>
        <w:t>Except with respect to interest earned on the funds held in the trust account that may be released to us to pay our taxes, if any, the proceeds from this offering and the sale of the private placement warrants will not be released from the trust account until the earliest of</w:t>
      </w:r>
    </w:p>
    <w:p>
      <w:pPr>
        <w:ind w:left="9" w:right="200" w:hanging="9"/>
        <w:spacing w:after="0" w:line="234" w:lineRule="auto"/>
        <w:tabs>
          <w:tab w:leader="none" w:pos="20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completion of our initial business combination, (ii) the redemption of our public shares if we are unable to complete our initial business combination within 24 months from the closing of this offering, subject to applicable law, or (iii) the redemption of our public shares properly submitted in connection with a shareholder vote to amend our amended and restated memorandum and articles of association to (A)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The proceeds deposited in the trust account could become subject to the claims of our creditors, if any, which could have priority over the claims of our public shareholders.</w:t>
      </w:r>
    </w:p>
    <w:p>
      <w:pPr>
        <w:spacing w:after="0" w:line="161" w:lineRule="exact"/>
        <w:rPr>
          <w:sz w:val="20"/>
          <w:szCs w:val="20"/>
          <w:color w:val="auto"/>
        </w:rPr>
      </w:pPr>
    </w:p>
    <w:p>
      <w:pPr>
        <w:ind w:left="9"/>
        <w:spacing w:after="0" w:line="237" w:lineRule="auto"/>
        <w:rPr>
          <w:sz w:val="20"/>
          <w:szCs w:val="20"/>
          <w:color w:val="auto"/>
        </w:rPr>
      </w:pPr>
      <w:r>
        <w:rPr>
          <w:rFonts w:ascii="Arial" w:cs="Arial" w:eastAsia="Arial" w:hAnsi="Arial"/>
          <w:sz w:val="17"/>
          <w:szCs w:val="17"/>
          <w:color w:val="auto"/>
        </w:rPr>
        <w:t>Unless and until we complete our initial business combination, no proceeds held in the trust account will be available for our use, except the withdrawal of interest to pay our taxes and/or to redeem our public shares in connection with an amendment to our amended and restated memorandum and articles of association, as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$1,000,000 per year, assuming an interest rate of 0.5% per year; however we can</w:t>
      </w:r>
    </w:p>
    <w:p>
      <w:pPr>
        <w:spacing w:after="0" w:line="200" w:lineRule="exact"/>
        <w:rPr>
          <w:sz w:val="20"/>
          <w:szCs w:val="20"/>
          <w:color w:val="auto"/>
        </w:rPr>
      </w:pPr>
    </w:p>
    <w:p>
      <w:pPr>
        <w:sectPr>
          <w:pgSz w:w="11900" w:h="16838" w:orient="portrait"/>
          <w:cols w:equalWidth="0" w:num="2">
            <w:col w:w="3740" w:space="571"/>
            <w:col w:w="6729"/>
          </w:cols>
          <w:pgMar w:left="320" w:top="455" w:right="5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40"/>
          </w:cols>
          <w:pgMar w:left="320" w:top="455" w:right="539" w:bottom="1440" w:gutter="0" w:footer="0" w:header="0"/>
          <w:type w:val="continuous"/>
        </w:sectPr>
      </w:pPr>
    </w:p>
    <w:bookmarkStart w:id="22" w:name="page23"/>
    <w:bookmarkEnd w:id="2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2590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525907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provide no assurances regarding this amount. Unless and until we complete our initial business combination, we may pay our expenses only from such interest withdrawn from the trust account and:</w:t>
      </w:r>
    </w:p>
    <w:p>
      <w:pPr>
        <w:spacing w:after="0" w:line="165" w:lineRule="exact"/>
        <w:rPr>
          <w:sz w:val="20"/>
          <w:szCs w:val="20"/>
          <w:color w:val="auto"/>
        </w:rPr>
      </w:pPr>
    </w:p>
    <w:p>
      <w:pPr>
        <w:ind w:left="640" w:right="140" w:hanging="325"/>
        <w:spacing w:after="0" w:line="244" w:lineRule="auto"/>
        <w:tabs>
          <w:tab w:leader="none" w:pos="640" w:val="left"/>
        </w:tabs>
        <w:numPr>
          <w:ilvl w:val="0"/>
          <w:numId w:val="12"/>
        </w:numPr>
        <w:rPr>
          <w:rFonts w:ascii="MS PGothic" w:cs="MS PGothic" w:eastAsia="MS PGothic" w:hAnsi="MS PGothic"/>
          <w:sz w:val="17"/>
          <w:szCs w:val="17"/>
          <w:color w:val="auto"/>
        </w:rPr>
      </w:pPr>
      <w:r>
        <w:rPr>
          <w:rFonts w:ascii="Arial" w:cs="Arial" w:eastAsia="Arial" w:hAnsi="Arial"/>
          <w:sz w:val="17"/>
          <w:szCs w:val="17"/>
          <w:color w:val="auto"/>
        </w:rPr>
        <w:t>the net proceeds of this offering and the sale of the private placement warrants not held in the trust account, which initially will be approximately $1,000,000 in working capital after the payment of approximately $1,000,000 in expenses relating to this offering; and</w:t>
      </w:r>
    </w:p>
    <w:p>
      <w:pPr>
        <w:spacing w:after="0" w:line="2" w:lineRule="exact"/>
        <w:rPr>
          <w:rFonts w:ascii="MS PGothic" w:cs="MS PGothic" w:eastAsia="MS PGothic" w:hAnsi="MS PGothic"/>
          <w:sz w:val="17"/>
          <w:szCs w:val="17"/>
          <w:color w:val="auto"/>
        </w:rPr>
      </w:pPr>
    </w:p>
    <w:p>
      <w:pPr>
        <w:ind w:left="640" w:right="140" w:hanging="325"/>
        <w:spacing w:after="0" w:line="239" w:lineRule="auto"/>
        <w:tabs>
          <w:tab w:leader="none" w:pos="640" w:val="left"/>
        </w:tabs>
        <w:numPr>
          <w:ilvl w:val="0"/>
          <w:numId w:val="12"/>
        </w:numPr>
        <w:rPr>
          <w:rFonts w:ascii="MS PGothic" w:cs="MS PGothic" w:eastAsia="MS PGothic" w:hAnsi="MS PGothic"/>
          <w:sz w:val="17"/>
          <w:szCs w:val="17"/>
          <w:color w:val="auto"/>
        </w:rPr>
      </w:pPr>
      <w:r>
        <w:rPr>
          <w:rFonts w:ascii="Arial" w:cs="Arial" w:eastAsia="Arial" w:hAnsi="Arial"/>
          <w:sz w:val="17"/>
          <w:szCs w:val="17"/>
          <w:color w:val="auto"/>
        </w:rPr>
        <w:t xml:space="preserve">any loans or additional investments from our sponsor, members of our management team or their affiliates or other third parties, although they are under no obligation to advance funds or invest in us;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any such loans will not have any claim on the proceeds held in the trust account unless such proceeds are released to us upon completion of our initial business combination. Up to $1,500,000 of such loans may be convertible into private placement warrants, at a price of $1.00 per warrant, at the option of the lender.</w:t>
      </w:r>
    </w:p>
    <w:p>
      <w:pPr>
        <w:spacing w:after="0" w:line="16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We will complete our initial business combination only if the post-transaction company in which our public shareholders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w:t>
      </w:r>
    </w:p>
    <w:p>
      <w:pPr>
        <w:spacing w:after="0" w:line="200" w:lineRule="exact"/>
        <w:rPr>
          <w:sz w:val="20"/>
          <w:szCs w:val="20"/>
          <w:color w:val="auto"/>
        </w:rPr>
      </w:pPr>
    </w:p>
    <w:p>
      <w:pPr>
        <w:sectPr>
          <w:pgSz w:w="11900" w:h="16838" w:orient="portrait"/>
          <w:cols w:equalWidth="0" w:num="2">
            <w:col w:w="3860" w:space="460"/>
            <w:col w:w="6720"/>
          </w:cols>
          <w:pgMar w:left="320" w:top="455" w:right="5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40"/>
          </w:cols>
          <w:pgMar w:left="320" w:top="455" w:right="539" w:bottom="1440" w:gutter="0" w:footer="0" w:header="0"/>
          <w:type w:val="continuous"/>
        </w:sectPr>
      </w:pPr>
    </w:p>
    <w:bookmarkStart w:id="23" w:name="page24"/>
    <w:bookmarkEnd w:id="2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11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511302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340"/>
        <w:spacing w:after="0" w:line="245" w:lineRule="auto"/>
        <w:rPr>
          <w:sz w:val="20"/>
          <w:szCs w:val="20"/>
          <w:color w:val="auto"/>
        </w:rPr>
      </w:pPr>
      <w:r>
        <w:rPr>
          <w:rFonts w:ascii="Arial" w:cs="Arial" w:eastAsia="Arial" w:hAnsi="Arial"/>
          <w:sz w:val="17"/>
          <w:szCs w:val="17"/>
          <w:color w:val="auto"/>
        </w:rPr>
        <w:t>controlling interest in the target. However, as a result of the issuance of a substantial number of new shares, our shareholders immediately prior to our initial</w:t>
      </w:r>
    </w:p>
    <w:p>
      <w:pPr>
        <w:spacing w:after="0" w:line="1" w:lineRule="exact"/>
        <w:rPr>
          <w:sz w:val="20"/>
          <w:szCs w:val="20"/>
          <w:color w:val="auto"/>
        </w:rPr>
      </w:pPr>
    </w:p>
    <w:p>
      <w:pPr>
        <w:ind w:right="440"/>
        <w:spacing w:after="0" w:line="248" w:lineRule="auto"/>
        <w:rPr>
          <w:sz w:val="20"/>
          <w:szCs w:val="20"/>
          <w:color w:val="auto"/>
        </w:rPr>
      </w:pPr>
      <w:r>
        <w:rPr>
          <w:rFonts w:ascii="Arial" w:cs="Arial" w:eastAsia="Arial" w:hAnsi="Arial"/>
          <w:sz w:val="17"/>
          <w:szCs w:val="17"/>
          <w:color w:val="auto"/>
        </w:rPr>
        <w:t>business combination could own less than a majority of our issued and outstanding shares subsequent to our initial business combination.</w:t>
      </w:r>
    </w:p>
    <w:p>
      <w:pPr>
        <w:spacing w:after="0" w:line="16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 xml:space="preserve">If less than 100% of the equity interests or assets of a target business or businesses are owned or acquired by the post-transaction company, the portion of such business or businesses that is owned or acquired is what will be taken into account for purposes of the 80% of assets test described above,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in the event that the business combination involves more than one target business, the 80% of assets test will be based on the aggregate value of all of the target businesses and we will treat the transactions together as our initial business combination for purposes of seeking shareholder approval or conducting a tender offer, as applicable.</w:t>
      </w:r>
    </w:p>
    <w:p>
      <w:pPr>
        <w:spacing w:after="0" w:line="16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shareholders,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held in the trust account will be used to purchase shares or public warrants in such transactions. If they engage in such transactions, they will not make any such purchases when they are in possession of any material nonpublic information not disclosed to the seller or if such purchases are prohibited by Regulation M under the Securities Exchange Act of 1934, as amended, or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See “</w:t>
      </w:r>
      <w:r>
        <w:rPr>
          <w:rFonts w:ascii="Arial" w:cs="Arial" w:eastAsia="Arial" w:hAnsi="Arial"/>
          <w:sz w:val="17"/>
          <w:szCs w:val="17"/>
          <w:i w:val="1"/>
          <w:iCs w:val="1"/>
          <w:color w:val="auto"/>
        </w:rPr>
        <w:t>Proposed Business—Effecting Our Initial 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Permitted Purchases of Our Securities</w:t>
      </w:r>
      <w:r>
        <w:rPr>
          <w:rFonts w:ascii="Arial" w:cs="Arial" w:eastAsia="Arial" w:hAnsi="Arial"/>
          <w:sz w:val="17"/>
          <w:szCs w:val="17"/>
          <w:color w:val="auto"/>
        </w:rPr>
        <w:t>.” for a description of how our sponsor,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directors, officers, advisors or any of their affiliates will select which shareholders to purchase securities from in any private transaction. Our sponsor, directors, officers, advisors or any of their affiliates will</w:t>
      </w:r>
    </w:p>
    <w:p>
      <w:pPr>
        <w:spacing w:after="0" w:line="200" w:lineRule="exact"/>
        <w:rPr>
          <w:sz w:val="20"/>
          <w:szCs w:val="20"/>
          <w:color w:val="auto"/>
        </w:rPr>
      </w:pPr>
    </w:p>
    <w:p>
      <w:pPr>
        <w:sectPr>
          <w:pgSz w:w="11900" w:h="16838" w:orient="portrait"/>
          <w:cols w:equalWidth="0" w:num="2">
            <w:col w:w="4140" w:space="180"/>
            <w:col w:w="6700"/>
          </w:cols>
          <w:pgMar w:left="320" w:top="455" w:right="55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20"/>
          </w:cols>
          <w:pgMar w:left="320" w:top="455" w:right="559" w:bottom="1440" w:gutter="0" w:footer="0" w:header="0"/>
          <w:type w:val="continuous"/>
        </w:sectPr>
      </w:pPr>
    </w:p>
    <w:bookmarkStart w:id="24" w:name="page25"/>
    <w:bookmarkEnd w:id="2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12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ectPr>
          <w:pgSz w:w="11900" w:h="16838" w:orient="portrait"/>
          <w:cols w:equalWidth="0" w:num="1">
            <w:col w:w="11000"/>
          </w:cols>
          <w:pgMar w:left="320" w:top="455"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left="200"/>
        <w:spacing w:after="0" w:line="290" w:lineRule="auto"/>
        <w:rPr>
          <w:sz w:val="20"/>
          <w:szCs w:val="20"/>
          <w:color w:val="auto"/>
        </w:rPr>
      </w:pPr>
      <w:r>
        <w:rPr>
          <w:rFonts w:ascii="Arial" w:cs="Arial" w:eastAsia="Arial" w:hAnsi="Arial"/>
          <w:sz w:val="17"/>
          <w:szCs w:val="17"/>
          <w:b w:val="1"/>
          <w:bCs w:val="1"/>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not make any purchases if the purchases would violate Section 9(a)(2) or Rule 10b-5 of the Exchange Act.</w:t>
      </w:r>
    </w:p>
    <w:p>
      <w:pPr>
        <w:spacing w:after="0" w:line="14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purpose of any such purchases of shares could be to vote such shares in favor of the initial business combination and thereby increase the likelihood of obtaining shareholder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16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their founder shares and any public shares they may acquire during or after this offering in connection with the completion of our initial business combination.</w:t>
      </w:r>
    </w:p>
    <w:p>
      <w:pPr>
        <w:spacing w:after="0" w:line="162" w:lineRule="exact"/>
        <w:rPr>
          <w:sz w:val="20"/>
          <w:szCs w:val="20"/>
          <w:color w:val="auto"/>
        </w:rPr>
      </w:pPr>
    </w:p>
    <w:p>
      <w:pPr>
        <w:sectPr>
          <w:pgSz w:w="11900" w:h="16838" w:orient="portrait"/>
          <w:cols w:equalWidth="0" w:num="2">
            <w:col w:w="4120" w:space="200"/>
            <w:col w:w="6680"/>
          </w:cols>
          <w:pgMar w:left="320" w:top="455" w:right="579" w:bottom="1440" w:gutter="0" w:footer="0" w:header="0"/>
          <w:type w:val="continuous"/>
        </w:sectPr>
      </w:pPr>
    </w:p>
    <w:p>
      <w:pPr>
        <w:ind w:left="4320" w:right="60" w:hanging="4115"/>
        <w:spacing w:after="0" w:line="241" w:lineRule="auto"/>
        <w:tabs>
          <w:tab w:leader="none" w:pos="4300" w:val="left"/>
        </w:tabs>
        <w:rPr>
          <w:sz w:val="20"/>
          <w:szCs w:val="20"/>
          <w:color w:val="auto"/>
        </w:rPr>
      </w:pPr>
      <w:r>
        <w:rPr>
          <w:rFonts w:ascii="Arial" w:cs="Arial" w:eastAsia="Arial" w:hAnsi="Arial"/>
          <w:sz w:val="17"/>
          <w:szCs w:val="17"/>
          <w:b w:val="1"/>
          <w:bCs w:val="1"/>
          <w:color w:val="auto"/>
        </w:rPr>
        <w:t>Manner of conducting redemptions:</w:t>
      </w:r>
      <w:r>
        <w:rPr>
          <w:sz w:val="20"/>
          <w:szCs w:val="20"/>
          <w:color w:val="auto"/>
        </w:rPr>
        <w:tab/>
      </w: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either (i) in connection with a general meeting called to approve the initial business combination or</w:t>
      </w:r>
    </w:p>
    <w:p>
      <w:pPr>
        <w:spacing w:after="0" w:line="2" w:lineRule="exact"/>
        <w:rPr>
          <w:sz w:val="20"/>
          <w:szCs w:val="20"/>
          <w:color w:val="auto"/>
        </w:rPr>
      </w:pPr>
    </w:p>
    <w:p>
      <w:pPr>
        <w:ind w:left="4320" w:right="20" w:hanging="9"/>
        <w:spacing w:after="0" w:line="248" w:lineRule="auto"/>
        <w:tabs>
          <w:tab w:leader="none" w:pos="4557"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without a shareholder vote by means of a tender offer. The decision as to whether we will seek shareholder approval of 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00"/>
          </w:cols>
          <w:pgMar w:left="320" w:top="455" w:right="57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333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55333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spacing w:after="0" w:line="236" w:lineRule="auto"/>
        <w:rPr>
          <w:sz w:val="20"/>
          <w:szCs w:val="20"/>
          <w:color w:val="auto"/>
        </w:rPr>
      </w:pPr>
      <w:r>
        <w:rPr>
          <w:rFonts w:ascii="Arial" w:cs="Arial" w:eastAsia="Arial" w:hAnsi="Arial"/>
          <w:sz w:val="17"/>
          <w:szCs w:val="17"/>
          <w:color w:val="auto"/>
        </w:rPr>
        <w:t>proposed initial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requirements. Asset acquisitions and share purchases would not typically require shareholder approval while direct mergers with our company where we do not survive and any transactions where we issue more than 20% of our issued and outstanding Class A ordinary shares or seek to amend our amended and restated memorandum and articles of association would require shareholder approval. So long as we obtain and maintain a listing for our securities on Nasdaq, we will be required to comply with Nasdaq’s shareholder approval rules.</w:t>
      </w:r>
    </w:p>
    <w:p>
      <w:pPr>
        <w:spacing w:after="0" w:line="181" w:lineRule="exact"/>
        <w:rPr>
          <w:sz w:val="20"/>
          <w:szCs w:val="20"/>
          <w:color w:val="auto"/>
        </w:rPr>
      </w:pPr>
    </w:p>
    <w:p>
      <w:pPr>
        <w:ind w:left="4320" w:right="20"/>
        <w:spacing w:after="0" w:line="238" w:lineRule="auto"/>
        <w:rPr>
          <w:sz w:val="20"/>
          <w:szCs w:val="20"/>
          <w:color w:val="auto"/>
        </w:rPr>
      </w:pPr>
      <w:r>
        <w:rPr>
          <w:rFonts w:ascii="Arial" w:cs="Arial" w:eastAsia="Arial" w:hAnsi="Arial"/>
          <w:sz w:val="17"/>
          <w:szCs w:val="17"/>
          <w:color w:val="auto"/>
        </w:rPr>
        <w:t>The requirement that we provide our public shareholders with the opportunity to redeem their public shares by one of the two methods listed above will be contained in provisions of our amended and restated memorandum and articles of association and will apply whether or not we maintain our registration under the Exchange Act or our listing on Nasdaq. Such provisions may be amended if approved by a special resolution of our shareholders as a matter of Cayman Islands law, being the affirmative vote of a majority of at least two-thirds of the shareholders who attend and vote at a general meeting of the company.</w:t>
      </w:r>
    </w:p>
    <w:p>
      <w:pPr>
        <w:spacing w:after="0" w:line="164" w:lineRule="exact"/>
        <w:rPr>
          <w:sz w:val="20"/>
          <w:szCs w:val="20"/>
          <w:color w:val="auto"/>
        </w:rPr>
      </w:pPr>
    </w:p>
    <w:p>
      <w:pPr>
        <w:ind w:left="4320" w:right="160"/>
        <w:spacing w:after="0" w:line="275" w:lineRule="auto"/>
        <w:rPr>
          <w:sz w:val="20"/>
          <w:szCs w:val="20"/>
          <w:color w:val="auto"/>
        </w:rPr>
      </w:pPr>
      <w:r>
        <w:rPr>
          <w:rFonts w:ascii="Arial" w:cs="Arial" w:eastAsia="Arial" w:hAnsi="Arial"/>
          <w:sz w:val="17"/>
          <w:szCs w:val="17"/>
          <w:color w:val="auto"/>
        </w:rPr>
        <w:t>If we provide our public shareholders with the opportunity to redeem their public shares in connection with a general meeting, we will:</w:t>
      </w:r>
    </w:p>
    <w:p>
      <w:pPr>
        <w:spacing w:after="0" w:line="133" w:lineRule="exact"/>
        <w:rPr>
          <w:sz w:val="20"/>
          <w:szCs w:val="20"/>
          <w:color w:val="auto"/>
        </w:rPr>
      </w:pPr>
    </w:p>
    <w:p>
      <w:pPr>
        <w:ind w:left="4960" w:right="80" w:hanging="325"/>
        <w:spacing w:after="0" w:line="249" w:lineRule="auto"/>
        <w:tabs>
          <w:tab w:leader="none" w:pos="4960" w:val="left"/>
        </w:tabs>
        <w:numPr>
          <w:ilvl w:val="0"/>
          <w:numId w:val="14"/>
        </w:numPr>
        <w:rPr>
          <w:rFonts w:ascii="MS PGothic" w:cs="MS PGothic" w:eastAsia="MS PGothic" w:hAnsi="MS PGothic"/>
          <w:sz w:val="17"/>
          <w:szCs w:val="17"/>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ind w:left="4960" w:hanging="325"/>
        <w:spacing w:after="0"/>
        <w:tabs>
          <w:tab w:leader="none" w:pos="4960" w:val="left"/>
        </w:tabs>
        <w:numPr>
          <w:ilvl w:val="0"/>
          <w:numId w:val="14"/>
        </w:numPr>
        <w:rPr>
          <w:rFonts w:ascii="MS PGothic" w:cs="MS PGothic" w:eastAsia="MS PGothic" w:hAnsi="MS PGothic"/>
          <w:sz w:val="17"/>
          <w:szCs w:val="17"/>
          <w:color w:val="auto"/>
        </w:rPr>
      </w:pPr>
      <w:r>
        <w:rPr>
          <w:rFonts w:ascii="Arial" w:cs="Arial" w:eastAsia="Arial" w:hAnsi="Arial"/>
          <w:sz w:val="17"/>
          <w:szCs w:val="17"/>
          <w:color w:val="auto"/>
        </w:rPr>
        <w:t>file proxy materials with the SEC.</w:t>
      </w:r>
    </w:p>
    <w:p>
      <w:pPr>
        <w:spacing w:after="0" w:line="222" w:lineRule="exact"/>
        <w:rPr>
          <w:sz w:val="20"/>
          <w:szCs w:val="20"/>
          <w:color w:val="auto"/>
        </w:rPr>
      </w:pPr>
    </w:p>
    <w:p>
      <w:pPr>
        <w:ind w:left="4320"/>
        <w:spacing w:after="0" w:line="235"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being the affirmative vote of a majority of the ordinary shares represented in person or by proxy and entitled to vote thereon and who vote in favour of the business combination. A quorum for such meeting will be present if the holders of a majority of issued and outstanding shares entitled to vote at the meeting are represented in person or by proxy. Our initial shareholders will count toward this quorum and, pursuant to the letter agreement, our sponsor, officers and directors have agreed to vote their founder shares and any public shares purchased during or after this offering (including in open market and privately-negotiated transactions) in favor of our initial business combination. For purposes of seeking approval of an ordinary resolution, non-votes will have no effect on the approval of our initial business combination once a quorum is obtained. As a result, in addition to our initial shareholders’ founder shares, we would need 7,500,001, or 37.5%, of the 20,000,000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040"/>
          </w:cols>
          <w:pgMar w:left="320" w:top="455" w:right="5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387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53873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spacing w:after="0" w:line="238" w:lineRule="auto"/>
        <w:rPr>
          <w:sz w:val="20"/>
          <w:szCs w:val="20"/>
          <w:color w:val="auto"/>
        </w:rPr>
      </w:pPr>
      <w:r>
        <w:rPr>
          <w:rFonts w:ascii="Arial" w:cs="Arial" w:eastAsia="Arial" w:hAnsi="Arial"/>
          <w:sz w:val="17"/>
          <w:szCs w:val="17"/>
          <w:color w:val="auto"/>
        </w:rPr>
        <w:t>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agreements of our initial shareholders, may make it more likely that we will consummate our initial business combination. Each public shareholder may elect to redeem their public shares irrespective of whether they vote for or against the proposed transaction or whether they were a public shareholder on the record date for the general meeting held to approve the proposed transaction.</w:t>
      </w:r>
    </w:p>
    <w:p>
      <w:pPr>
        <w:spacing w:after="0" w:line="177" w:lineRule="exact"/>
        <w:rPr>
          <w:sz w:val="20"/>
          <w:szCs w:val="20"/>
          <w:color w:val="auto"/>
        </w:rPr>
      </w:pPr>
    </w:p>
    <w:p>
      <w:pPr>
        <w:ind w:left="4320" w:right="100"/>
        <w:spacing w:after="0" w:line="275" w:lineRule="auto"/>
        <w:rPr>
          <w:sz w:val="20"/>
          <w:szCs w:val="20"/>
          <w:color w:val="auto"/>
        </w:rPr>
      </w:pPr>
      <w:r>
        <w:rPr>
          <w:rFonts w:ascii="Arial" w:cs="Arial" w:eastAsia="Arial" w:hAnsi="Arial"/>
          <w:sz w:val="17"/>
          <w:szCs w:val="17"/>
          <w:color w:val="auto"/>
        </w:rPr>
        <w:t>If a shareholder vote is not required and we do not decide to hold a shareholder vote for business or other legal reasons, we will:</w:t>
      </w:r>
    </w:p>
    <w:p>
      <w:pPr>
        <w:spacing w:after="0" w:line="133" w:lineRule="exact"/>
        <w:rPr>
          <w:sz w:val="20"/>
          <w:szCs w:val="20"/>
          <w:color w:val="auto"/>
        </w:rPr>
      </w:pPr>
    </w:p>
    <w:p>
      <w:pPr>
        <w:ind w:left="4960" w:right="400" w:hanging="325"/>
        <w:spacing w:after="0" w:line="275" w:lineRule="auto"/>
        <w:tabs>
          <w:tab w:leader="none" w:pos="4960" w:val="left"/>
        </w:tabs>
        <w:numPr>
          <w:ilvl w:val="0"/>
          <w:numId w:val="15"/>
        </w:numPr>
        <w:rPr>
          <w:rFonts w:ascii="MS PGothic" w:cs="MS PGothic" w:eastAsia="MS PGothic" w:hAnsi="MS PGothic"/>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132" w:lineRule="exact"/>
        <w:rPr>
          <w:rFonts w:ascii="MS PGothic" w:cs="MS PGothic" w:eastAsia="MS PGothic" w:hAnsi="MS PGothic"/>
          <w:sz w:val="17"/>
          <w:szCs w:val="17"/>
          <w:color w:val="auto"/>
        </w:rPr>
      </w:pPr>
    </w:p>
    <w:p>
      <w:pPr>
        <w:ind w:left="4960" w:hanging="325"/>
        <w:spacing w:after="0" w:line="242" w:lineRule="auto"/>
        <w:tabs>
          <w:tab w:leader="none" w:pos="4960" w:val="left"/>
        </w:tabs>
        <w:numPr>
          <w:ilvl w:val="0"/>
          <w:numId w:val="15"/>
        </w:numPr>
        <w:rPr>
          <w:rFonts w:ascii="MS PGothic" w:cs="MS PGothic" w:eastAsia="MS PGothic" w:hAnsi="MS PGothic"/>
          <w:sz w:val="17"/>
          <w:szCs w:val="17"/>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which regulates the solicitation of proxies.</w:t>
      </w:r>
    </w:p>
    <w:p>
      <w:pPr>
        <w:spacing w:after="0" w:line="162" w:lineRule="exact"/>
        <w:rPr>
          <w:sz w:val="20"/>
          <w:szCs w:val="20"/>
          <w:color w:val="auto"/>
        </w:rPr>
      </w:pPr>
    </w:p>
    <w:p>
      <w:pPr>
        <w:ind w:left="4320" w:right="20"/>
        <w:spacing w:after="0" w:line="238"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shares we are permitted to redeem. If public shareholders tender more shares than we have offered to purchase, we will withdraw the tender offer and not complete such initial business combination.</w:t>
      </w:r>
    </w:p>
    <w:p>
      <w:pPr>
        <w:spacing w:after="0" w:line="164" w:lineRule="exact"/>
        <w:rPr>
          <w:sz w:val="20"/>
          <w:szCs w:val="20"/>
          <w:color w:val="auto"/>
        </w:rPr>
      </w:pPr>
    </w:p>
    <w:p>
      <w:pPr>
        <w:ind w:left="4320" w:right="60"/>
        <w:spacing w:after="0" w:line="246" w:lineRule="auto"/>
        <w:rPr>
          <w:sz w:val="20"/>
          <w:szCs w:val="20"/>
          <w:color w:val="auto"/>
        </w:rPr>
      </w:pPr>
      <w:r>
        <w:rPr>
          <w:rFonts w:ascii="Arial" w:cs="Arial" w:eastAsia="Arial" w:hAnsi="Arial"/>
          <w:sz w:val="17"/>
          <w:szCs w:val="17"/>
          <w:color w:val="auto"/>
        </w:rPr>
        <w:t>Upon the public announcement of our initial business combination, if we elect to conduct redemptions pursuant to the tender offer rules, we or our sponsor will terminate any plan established in accordance with Rule 10b5-1 to purchase our Class A ordinary shares in the open market, in order to comply with Rule 14e-5 under the Exchange Act.</w:t>
      </w:r>
    </w:p>
    <w:p>
      <w:pPr>
        <w:spacing w:after="0" w:line="157" w:lineRule="exact"/>
        <w:rPr>
          <w:sz w:val="20"/>
          <w:szCs w:val="20"/>
          <w:color w:val="auto"/>
        </w:rPr>
      </w:pPr>
    </w:p>
    <w:p>
      <w:pPr>
        <w:ind w:left="4320"/>
        <w:spacing w:after="0" w:line="239" w:lineRule="auto"/>
        <w:rPr>
          <w:sz w:val="20"/>
          <w:szCs w:val="20"/>
          <w:color w:val="auto"/>
        </w:rPr>
      </w:pPr>
      <w:r>
        <w:rPr>
          <w:rFonts w:ascii="Arial" w:cs="Arial" w:eastAsia="Arial" w:hAnsi="Arial"/>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040"/>
          </w:cols>
          <w:pgMar w:left="320" w:top="455" w:right="539" w:bottom="1440" w:gutter="0" w:footer="0" w:header="0"/>
        </w:sectPr>
      </w:pPr>
    </w:p>
    <w:bookmarkStart w:id="27" w:name="page28"/>
    <w:bookmarkEnd w:id="2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4872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48729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280" w:hanging="80"/>
        <w:spacing w:after="0" w:line="261" w:lineRule="auto"/>
        <w:rPr>
          <w:sz w:val="20"/>
          <w:szCs w:val="20"/>
          <w:color w:val="auto"/>
        </w:rPr>
      </w:pPr>
      <w:r>
        <w:rPr>
          <w:rFonts w:ascii="Arial" w:cs="Arial" w:eastAsia="Arial" w:hAnsi="Arial"/>
          <w:sz w:val="17"/>
          <w:szCs w:val="17"/>
          <w:b w:val="1"/>
          <w:bCs w:val="1"/>
          <w:color w:val="auto"/>
        </w:rPr>
        <w:t>Limitation on redemption rights of shareholders holding 15% or more of the shares sold in this offering if we hold shareholder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9" w:right="120"/>
        <w:spacing w:after="0" w:line="235" w:lineRule="auto"/>
        <w:rPr>
          <w:sz w:val="20"/>
          <w:szCs w:val="20"/>
          <w:color w:val="auto"/>
        </w:rPr>
      </w:pPr>
      <w:r>
        <w:rPr>
          <w:rFonts w:ascii="Arial" w:cs="Arial" w:eastAsia="Arial" w:hAnsi="Arial"/>
          <w:sz w:val="17"/>
          <w:szCs w:val="17"/>
          <w:color w:val="auto"/>
        </w:rPr>
        <w:t>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w:t>
      </w:r>
    </w:p>
    <w:p>
      <w:pPr>
        <w:spacing w:after="0" w:line="182" w:lineRule="exact"/>
        <w:rPr>
          <w:sz w:val="20"/>
          <w:szCs w:val="20"/>
          <w:color w:val="auto"/>
        </w:rPr>
      </w:pPr>
    </w:p>
    <w:p>
      <w:pPr>
        <w:ind w:left="9" w:right="40"/>
        <w:spacing w:after="0" w:line="237"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spacing w:after="0" w:line="2" w:lineRule="exact"/>
        <w:rPr>
          <w:sz w:val="20"/>
          <w:szCs w:val="20"/>
          <w:color w:val="auto"/>
        </w:rPr>
      </w:pPr>
    </w:p>
    <w:p>
      <w:pPr>
        <w:ind w:left="9" w:hanging="9"/>
        <w:spacing w:after="0" w:line="234" w:lineRule="auto"/>
        <w:tabs>
          <w:tab w:leader="none" w:pos="284"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retention of cash to satisfy other conditions.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63" w:lineRule="exact"/>
        <w:rPr>
          <w:sz w:val="20"/>
          <w:szCs w:val="20"/>
          <w:color w:val="auto"/>
        </w:rPr>
      </w:pPr>
    </w:p>
    <w:p>
      <w:pPr>
        <w:ind w:left="9"/>
        <w:spacing w:after="0"/>
        <w:rPr>
          <w:sz w:val="20"/>
          <w:szCs w:val="20"/>
          <w:color w:val="auto"/>
        </w:rPr>
      </w:pPr>
      <w:r>
        <w:rPr>
          <w:rFonts w:ascii="Arial" w:cs="Arial" w:eastAsia="Arial" w:hAnsi="Arial"/>
          <w:sz w:val="17"/>
          <w:szCs w:val="17"/>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w:t>
      </w:r>
    </w:p>
    <w:p>
      <w:pPr>
        <w:spacing w:after="0" w:line="200" w:lineRule="exact"/>
        <w:rPr>
          <w:sz w:val="20"/>
          <w:szCs w:val="20"/>
          <w:color w:val="auto"/>
        </w:rPr>
      </w:pPr>
    </w:p>
    <w:p>
      <w:pPr>
        <w:sectPr>
          <w:pgSz w:w="11900" w:h="16838" w:orient="portrait"/>
          <w:cols w:equalWidth="0" w:num="2">
            <w:col w:w="4100" w:space="211"/>
            <w:col w:w="6709"/>
          </w:cols>
          <w:pgMar w:left="320" w:top="455" w:right="55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20"/>
          </w:cols>
          <w:pgMar w:left="320" w:top="455" w:right="559" w:bottom="1440" w:gutter="0" w:footer="0" w:header="0"/>
          <w:type w:val="continuous"/>
        </w:sectPr>
      </w:pPr>
    </w:p>
    <w:bookmarkStart w:id="28" w:name="page29"/>
    <w:bookmarkEnd w:id="2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4993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499300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18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shareholders who exercise their redemption rights as described above under “Redemption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use the balance of the cash released to us from the trust account following the closing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67" w:lineRule="exact"/>
        <w:rPr>
          <w:sz w:val="20"/>
          <w:szCs w:val="20"/>
          <w:color w:val="auto"/>
        </w:rPr>
      </w:pPr>
    </w:p>
    <w:p>
      <w:pPr>
        <w:sectPr>
          <w:pgSz w:w="11900" w:h="16838" w:orient="portrait"/>
          <w:cols w:equalWidth="0" w:num="2">
            <w:col w:w="4040" w:space="280"/>
            <w:col w:w="6700"/>
          </w:cols>
          <w:pgMar w:left="320" w:top="455" w:right="559" w:bottom="1440" w:gutter="0" w:footer="0" w:header="0"/>
          <w:type w:val="continuous"/>
        </w:sectPr>
      </w:pPr>
    </w:p>
    <w:p>
      <w:pPr>
        <w:ind w:left="280" w:hanging="80"/>
        <w:spacing w:after="0" w:line="290" w:lineRule="auto"/>
        <w:rPr>
          <w:sz w:val="20"/>
          <w:szCs w:val="20"/>
          <w:color w:val="auto"/>
        </w:rPr>
      </w:pPr>
      <w:r>
        <w:rPr>
          <w:rFonts w:ascii="Arial" w:cs="Arial" w:eastAsia="Arial" w:hAnsi="Arial"/>
          <w:sz w:val="17"/>
          <w:szCs w:val="17"/>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ind w:right="60"/>
        <w:spacing w:after="0" w:line="246" w:lineRule="auto"/>
        <w:rPr>
          <w:sz w:val="20"/>
          <w:szCs w:val="20"/>
          <w:color w:val="auto"/>
        </w:rPr>
      </w:pPr>
      <w:r>
        <w:rPr>
          <w:rFonts w:ascii="Arial" w:cs="Arial" w:eastAsia="Arial" w:hAnsi="Arial"/>
          <w:sz w:val="17"/>
          <w:szCs w:val="17"/>
          <w:color w:val="auto"/>
        </w:rPr>
        <w:t>Our amended and restated memorandum and articles of association provide that we will have only 24 months from the closing of this offering to complete our initial business combination. If we are unable to complete our initial business combination within such 24-month</w:t>
      </w:r>
    </w:p>
    <w:p>
      <w:pPr>
        <w:spacing w:after="0" w:line="200" w:lineRule="exact"/>
        <w:rPr>
          <w:sz w:val="20"/>
          <w:szCs w:val="20"/>
          <w:color w:val="auto"/>
        </w:rPr>
      </w:pPr>
    </w:p>
    <w:p>
      <w:pPr>
        <w:sectPr>
          <w:pgSz w:w="11900" w:h="16838" w:orient="portrait"/>
          <w:cols w:equalWidth="0" w:num="2">
            <w:col w:w="4240" w:space="80"/>
            <w:col w:w="6700"/>
          </w:cols>
          <w:pgMar w:left="320" w:top="455" w:right="55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20"/>
          </w:cols>
          <w:pgMar w:left="320" w:top="455" w:right="55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601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560197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spacing w:after="0" w:line="235" w:lineRule="auto"/>
        <w:rPr>
          <w:sz w:val="20"/>
          <w:szCs w:val="20"/>
          <w:color w:val="auto"/>
        </w:rPr>
      </w:pPr>
      <w:r>
        <w:rPr>
          <w:rFonts w:ascii="Arial" w:cs="Arial" w:eastAsia="Arial" w:hAnsi="Arial"/>
          <w:sz w:val="17"/>
          <w:szCs w:val="17"/>
          <w:color w:val="auto"/>
        </w:rPr>
        <w:t>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complete our initial business combination within the 24-month time period.</w:t>
      </w:r>
    </w:p>
    <w:p>
      <w:pPr>
        <w:spacing w:after="0" w:line="180" w:lineRule="exact"/>
        <w:rPr>
          <w:sz w:val="20"/>
          <w:szCs w:val="20"/>
          <w:color w:val="auto"/>
        </w:rPr>
      </w:pPr>
    </w:p>
    <w:p>
      <w:pPr>
        <w:ind w:left="4320" w:right="60"/>
        <w:spacing w:after="0" w:line="238" w:lineRule="auto"/>
        <w:rPr>
          <w:sz w:val="20"/>
          <w:szCs w:val="20"/>
          <w:color w:val="auto"/>
        </w:rPr>
      </w:pPr>
      <w:r>
        <w:rPr>
          <w:rFonts w:ascii="Arial" w:cs="Arial" w:eastAsia="Arial" w:hAnsi="Arial"/>
          <w:sz w:val="17"/>
          <w:szCs w:val="17"/>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24 months from the closing of this offering. However, if our initial shareholders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64" w:lineRule="exact"/>
        <w:rPr>
          <w:sz w:val="20"/>
          <w:szCs w:val="20"/>
          <w:color w:val="auto"/>
        </w:rPr>
      </w:pPr>
    </w:p>
    <w:p>
      <w:pPr>
        <w:ind w:left="4320" w:right="60"/>
        <w:spacing w:after="0" w:line="242" w:lineRule="auto"/>
        <w:rPr>
          <w:sz w:val="20"/>
          <w:szCs w:val="20"/>
          <w:color w:val="auto"/>
        </w:rPr>
      </w:pPr>
      <w:r>
        <w:rPr>
          <w:rFonts w:ascii="Arial" w:cs="Arial" w:eastAsia="Arial" w:hAnsi="Arial"/>
          <w:sz w:val="17"/>
          <w:szCs w:val="17"/>
          <w:color w:val="auto"/>
        </w:rPr>
        <w:t>The underwriters have agreed to waive their rights to their deferred underwriting commission held in the trust account in the event we do not complete our initial business combination within 24 months from the closing of this offering and, in such event, such amounts will be included with the funds held in the trust account that will be available to fund the redemption of our public shares.</w:t>
      </w:r>
    </w:p>
    <w:p>
      <w:pPr>
        <w:spacing w:after="0" w:line="162" w:lineRule="exact"/>
        <w:rPr>
          <w:sz w:val="20"/>
          <w:szCs w:val="20"/>
          <w:color w:val="auto"/>
        </w:rPr>
      </w:pPr>
    </w:p>
    <w:p>
      <w:pPr>
        <w:ind w:left="4320" w:right="60"/>
        <w:spacing w:after="0" w:line="235" w:lineRule="auto"/>
        <w:rPr>
          <w:sz w:val="20"/>
          <w:szCs w:val="20"/>
          <w:color w:val="auto"/>
        </w:rPr>
      </w:pPr>
      <w:r>
        <w:rPr>
          <w:rFonts w:ascii="Arial" w:cs="Arial" w:eastAsia="Arial" w:hAnsi="Arial"/>
          <w:sz w:val="17"/>
          <w:szCs w:val="17"/>
          <w:color w:val="auto"/>
        </w:rPr>
        <w:t>Our sponsor, officers and directors have agreed, pursuant to a letter agreement,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and on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40"/>
          </w:cols>
          <w:pgMar w:left="320" w:top="455" w:right="5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346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7"/>
                <w:szCs w:val="17"/>
                <w:color w:val="auto"/>
              </w:rPr>
              <w:t>conditions described above under “Limitations on redemptions.” For example, our board</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of directors may propose such an amendment if it determines that additional time is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necessary to complete our initial business combination. In such event, we will conduct a</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proxy solicitation and distribute proxy materials pursuant to Regulation 14A of the</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Exchange Act seeking shareholder approval of such proposal, and in connection</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therewith, provide our public shareholders with the redemption rights described above</w:t>
            </w:r>
          </w:p>
        </w:tc>
      </w:tr>
      <w:tr>
        <w:trPr>
          <w:trHeight w:val="231"/>
        </w:trPr>
        <w:tc>
          <w:tcPr>
            <w:tcW w:w="34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860"/>
              <w:spacing w:after="0"/>
              <w:rPr>
                <w:sz w:val="20"/>
                <w:szCs w:val="20"/>
                <w:color w:val="auto"/>
              </w:rPr>
            </w:pPr>
            <w:r>
              <w:rPr>
                <w:rFonts w:ascii="Arial" w:cs="Arial" w:eastAsia="Arial" w:hAnsi="Arial"/>
                <w:sz w:val="17"/>
                <w:szCs w:val="17"/>
                <w:color w:val="auto"/>
              </w:rPr>
              <w:t>upon shareholder approval of such amendment.</w:t>
            </w:r>
          </w:p>
        </w:tc>
      </w:tr>
      <w:tr>
        <w:trPr>
          <w:trHeight w:val="363"/>
        </w:trPr>
        <w:tc>
          <w:tcPr>
            <w:tcW w:w="346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Limited payments to insiders:</w:t>
            </w:r>
          </w:p>
        </w:tc>
        <w:tc>
          <w:tcPr>
            <w:tcW w:w="7780" w:type="dxa"/>
            <w:vAlign w:val="bottom"/>
            <w:tcBorders>
              <w:right w:val="single" w:sz="8" w:color="auto"/>
            </w:tcBorders>
          </w:tcPr>
          <w:p>
            <w:pPr>
              <w:ind w:left="860"/>
              <w:spacing w:after="0"/>
              <w:rPr>
                <w:sz w:val="20"/>
                <w:szCs w:val="20"/>
                <w:color w:val="auto"/>
              </w:rPr>
            </w:pPr>
            <w:r>
              <w:rPr>
                <w:rFonts w:ascii="Arial" w:cs="Arial" w:eastAsia="Arial" w:hAnsi="Arial"/>
                <w:sz w:val="17"/>
                <w:szCs w:val="17"/>
                <w:color w:val="auto"/>
              </w:rPr>
              <w:t>There will be no finder’s fees, reimbursement, consulting fee, monies in respect of any</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payment of a loan or other compensation paid by us to our sponsor, officers or directors,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or any affiliate of our sponsor or officers prior to, or in connection with any services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rendered in order to effectuate, the consummation of our initial business combination</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(regardless of the type of transaction that it is). However, the following payments will be</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made to our sponsor, officers or directors, or our or their affiliates, and, if made prior to</w:t>
            </w:r>
          </w:p>
        </w:tc>
      </w:tr>
      <w:tr>
        <w:trPr>
          <w:trHeight w:val="231"/>
        </w:trPr>
        <w:tc>
          <w:tcPr>
            <w:tcW w:w="34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860"/>
              <w:spacing w:after="0"/>
              <w:rPr>
                <w:sz w:val="20"/>
                <w:szCs w:val="20"/>
                <w:color w:val="auto"/>
              </w:rPr>
            </w:pPr>
            <w:r>
              <w:rPr>
                <w:rFonts w:ascii="Arial" w:cs="Arial" w:eastAsia="Arial" w:hAnsi="Arial"/>
                <w:sz w:val="17"/>
                <w:szCs w:val="17"/>
                <w:color w:val="auto"/>
              </w:rPr>
              <w:t>our initial business combination will be made from funds held outside the trust account:</w:t>
            </w:r>
          </w:p>
        </w:tc>
      </w:tr>
      <w:tr>
        <w:trPr>
          <w:trHeight w:val="351"/>
        </w:trPr>
        <w:tc>
          <w:tcPr>
            <w:tcW w:w="346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Repayment of up to an aggregate of $300,000 in loans made to us by our</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sponsor to cover offering-related and organizational expenses;</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Payment to our sponsor of $10,000 per month for office space, utilities,</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secretarial and administrative support services provided to us;</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Payment of customary fees we may elect to make to members of our board of</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directors for director service;</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Reimbursement for any out-of-pocket expenses related to identifying,</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investigating, negotiating and completing an initial business combination; and</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Repayment of loans which may be made by our sponsor or an affiliate of our</w:t>
            </w:r>
          </w:p>
        </w:tc>
      </w:tr>
      <w:tr>
        <w:trPr>
          <w:trHeight w:val="188"/>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8" w:lineRule="exact"/>
              <w:rPr>
                <w:sz w:val="20"/>
                <w:szCs w:val="20"/>
                <w:color w:val="auto"/>
              </w:rPr>
            </w:pPr>
            <w:r>
              <w:rPr>
                <w:rFonts w:ascii="Arial" w:cs="Arial" w:eastAsia="Arial" w:hAnsi="Arial"/>
                <w:sz w:val="17"/>
                <w:szCs w:val="17"/>
                <w:color w:val="auto"/>
              </w:rPr>
              <w:t>sponsor or certain of our officers and directors to finance transaction costs in</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9" w:lineRule="exact"/>
              <w:rPr>
                <w:sz w:val="20"/>
                <w:szCs w:val="20"/>
                <w:color w:val="auto"/>
              </w:rPr>
            </w:pPr>
            <w:r>
              <w:rPr>
                <w:rFonts w:ascii="Arial" w:cs="Arial" w:eastAsia="Arial" w:hAnsi="Arial"/>
                <w:sz w:val="17"/>
                <w:szCs w:val="17"/>
                <w:color w:val="auto"/>
              </w:rPr>
              <w:t>connection with an intended initial business combination. Up to $1,500,000 of</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9" w:lineRule="exact"/>
              <w:rPr>
                <w:sz w:val="20"/>
                <w:szCs w:val="20"/>
                <w:color w:val="auto"/>
              </w:rPr>
            </w:pPr>
            <w:r>
              <w:rPr>
                <w:rFonts w:ascii="Arial" w:cs="Arial" w:eastAsia="Arial" w:hAnsi="Arial"/>
                <w:sz w:val="17"/>
                <w:szCs w:val="17"/>
                <w:color w:val="auto"/>
              </w:rPr>
              <w:t>such loans may be convertible into private placement warrants of the post-</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9" w:lineRule="exact"/>
              <w:rPr>
                <w:sz w:val="20"/>
                <w:szCs w:val="20"/>
                <w:color w:val="auto"/>
              </w:rPr>
            </w:pPr>
            <w:r>
              <w:rPr>
                <w:rFonts w:ascii="Arial" w:cs="Arial" w:eastAsia="Arial" w:hAnsi="Arial"/>
                <w:sz w:val="17"/>
                <w:szCs w:val="17"/>
                <w:color w:val="auto"/>
              </w:rPr>
              <w:t>business combination entity at a price of $1.00 per warrant at the option of the</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9" w:lineRule="exact"/>
              <w:rPr>
                <w:sz w:val="20"/>
                <w:szCs w:val="20"/>
                <w:color w:val="auto"/>
              </w:rPr>
            </w:pPr>
            <w:r>
              <w:rPr>
                <w:rFonts w:ascii="Arial" w:cs="Arial" w:eastAsia="Arial" w:hAnsi="Arial"/>
                <w:sz w:val="17"/>
                <w:szCs w:val="17"/>
                <w:color w:val="auto"/>
              </w:rPr>
              <w:t>lender. Such warrants would be identical to the private placement warrants.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9" w:lineRule="exact"/>
              <w:rPr>
                <w:sz w:val="20"/>
                <w:szCs w:val="20"/>
                <w:color w:val="auto"/>
              </w:rPr>
            </w:pPr>
            <w:r>
              <w:rPr>
                <w:rFonts w:ascii="Arial" w:cs="Arial" w:eastAsia="Arial" w:hAnsi="Arial"/>
                <w:sz w:val="17"/>
                <w:szCs w:val="17"/>
                <w:color w:val="auto"/>
              </w:rPr>
              <w:t>Except for the foregoing, the terms of such loans, if any, have not been</w:t>
            </w:r>
          </w:p>
        </w:tc>
      </w:tr>
      <w:tr>
        <w:trPr>
          <w:trHeight w:val="231"/>
        </w:trPr>
        <w:tc>
          <w:tcPr>
            <w:tcW w:w="34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determined and no written agreements exist with respect to such loans.</w:t>
            </w:r>
          </w:p>
        </w:tc>
      </w:tr>
      <w:tr>
        <w:trPr>
          <w:trHeight w:val="350"/>
        </w:trPr>
        <w:tc>
          <w:tcPr>
            <w:tcW w:w="346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Audit committee:</w:t>
            </w:r>
          </w:p>
        </w:tc>
        <w:tc>
          <w:tcPr>
            <w:tcW w:w="7780" w:type="dxa"/>
            <w:vAlign w:val="bottom"/>
            <w:tcBorders>
              <w:right w:val="single" w:sz="8" w:color="auto"/>
            </w:tcBorders>
          </w:tcPr>
          <w:p>
            <w:pPr>
              <w:ind w:left="860"/>
              <w:spacing w:after="0"/>
              <w:rPr>
                <w:sz w:val="20"/>
                <w:szCs w:val="20"/>
                <w:color w:val="auto"/>
              </w:rPr>
            </w:pPr>
            <w:r>
              <w:rPr>
                <w:rFonts w:ascii="Arial" w:cs="Arial" w:eastAsia="Arial" w:hAnsi="Arial"/>
                <w:sz w:val="17"/>
                <w:szCs w:val="17"/>
                <w:color w:val="auto"/>
              </w:rPr>
              <w:t>We will establish and maintain an audit committee. Among its responsibilities, the audit</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committee will review on a quarterly basis all payments that were made to our sponsor,</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officers or directors, or our or their affiliates and monitor compliance with the other terms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relating to this offering. If any noncompliance is identified, then the audit committee will</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be charged with the responsibility to promptly take all action necessary to rectify such</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noncompliance or otherwise to cause compliance with the terms of this offering. For</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more information, see the section entitled “</w:t>
            </w:r>
            <w:r>
              <w:rPr>
                <w:rFonts w:ascii="Arial" w:cs="Arial" w:eastAsia="Arial" w:hAnsi="Arial"/>
                <w:sz w:val="17"/>
                <w:szCs w:val="17"/>
                <w:i w:val="1"/>
                <w:iCs w:val="1"/>
                <w:color w:val="auto"/>
              </w:rPr>
              <w:t>Management—Committees of the Board of</w:t>
            </w:r>
          </w:p>
        </w:tc>
      </w:tr>
      <w:tr>
        <w:trPr>
          <w:trHeight w:val="231"/>
        </w:trPr>
        <w:tc>
          <w:tcPr>
            <w:tcW w:w="34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860"/>
              <w:spacing w:after="0"/>
              <w:rPr>
                <w:sz w:val="20"/>
                <w:szCs w:val="20"/>
                <w:color w:val="auto"/>
              </w:rPr>
            </w:pPr>
            <w:r>
              <w:rPr>
                <w:rFonts w:ascii="Arial" w:cs="Arial" w:eastAsia="Arial" w:hAnsi="Arial"/>
                <w:sz w:val="17"/>
                <w:szCs w:val="17"/>
                <w:i w:val="1"/>
                <w:iCs w:val="1"/>
                <w:color w:val="auto"/>
              </w:rPr>
              <w:t>Directors—Audit Committee</w:t>
            </w:r>
            <w:r>
              <w:rPr>
                <w:rFonts w:ascii="Arial" w:cs="Arial" w:eastAsia="Arial" w:hAnsi="Arial"/>
                <w:sz w:val="17"/>
                <w:szCs w:val="17"/>
                <w:color w:val="auto"/>
              </w:rPr>
              <w:t>.”</w:t>
            </w:r>
          </w:p>
        </w:tc>
      </w:tr>
      <w:tr>
        <w:trPr>
          <w:trHeight w:val="226"/>
        </w:trPr>
        <w:tc>
          <w:tcPr>
            <w:tcW w:w="3460" w:type="dxa"/>
            <w:vAlign w:val="bottom"/>
            <w:tcBorders>
              <w:left w:val="single" w:sz="8" w:color="auto"/>
              <w:bottom w:val="single" w:sz="8" w:color="auto"/>
            </w:tcBorders>
          </w:tcPr>
          <w:p>
            <w:pPr>
              <w:spacing w:after="0"/>
              <w:rPr>
                <w:sz w:val="19"/>
                <w:szCs w:val="19"/>
                <w:color w:val="auto"/>
              </w:rPr>
            </w:pPr>
          </w:p>
        </w:tc>
        <w:tc>
          <w:tcPr>
            <w:tcW w:w="7780" w:type="dxa"/>
            <w:vAlign w:val="bottom"/>
            <w:tcBorders>
              <w:bottom w:val="single" w:sz="8" w:color="auto"/>
              <w:right w:val="single" w:sz="8" w:color="auto"/>
            </w:tcBorders>
          </w:tcPr>
          <w:p>
            <w:pPr>
              <w:spacing w:after="0"/>
              <w:rPr>
                <w:sz w:val="19"/>
                <w:szCs w:val="19"/>
                <w:color w:val="auto"/>
              </w:rPr>
            </w:pPr>
          </w:p>
        </w:tc>
      </w:tr>
      <w:tr>
        <w:trPr>
          <w:trHeight w:val="589"/>
        </w:trPr>
        <w:tc>
          <w:tcPr>
            <w:tcW w:w="3460" w:type="dxa"/>
            <w:vAlign w:val="bottom"/>
          </w:tcPr>
          <w:p>
            <w:pPr>
              <w:spacing w:after="0"/>
              <w:rPr>
                <w:sz w:val="24"/>
                <w:szCs w:val="24"/>
                <w:color w:val="auto"/>
              </w:rPr>
            </w:pPr>
          </w:p>
        </w:tc>
        <w:tc>
          <w:tcPr>
            <w:tcW w:w="7780" w:type="dxa"/>
            <w:vAlign w:val="bottom"/>
          </w:tcPr>
          <w:p>
            <w:pPr>
              <w:ind w:left="2080"/>
              <w:spacing w:after="0"/>
              <w:rPr>
                <w:sz w:val="20"/>
                <w:szCs w:val="20"/>
                <w:color w:val="auto"/>
              </w:rPr>
            </w:pPr>
            <w:r>
              <w:rPr>
                <w:rFonts w:ascii="Arial" w:cs="Arial" w:eastAsia="Arial" w:hAnsi="Arial"/>
                <w:sz w:val="16"/>
                <w:szCs w:val="16"/>
                <w:color w:val="auto"/>
              </w:rPr>
              <w:t>28</w:t>
            </w:r>
          </w:p>
        </w:tc>
      </w:tr>
    </w:tbl>
    <w:p>
      <w:pPr>
        <w:sectPr>
          <w:pgSz w:w="11900" w:h="16838" w:orient="portrait"/>
          <w:cols w:equalWidth="0" w:num="1">
            <w:col w:w="11240"/>
          </w:cols>
          <w:pgMar w:left="320" w:top="455"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w:t>
      </w:r>
    </w:p>
    <w:p>
      <w:pPr>
        <w:spacing w:after="0" w:line="31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w:t>
      </w:r>
      <w:r>
        <w:rPr>
          <w:rFonts w:ascii="Arial" w:cs="Arial" w:eastAsia="Arial" w:hAnsi="Arial"/>
          <w:sz w:val="17"/>
          <w:szCs w:val="17"/>
          <w:i w:val="1"/>
          <w:iCs w:val="1"/>
          <w:color w:val="auto"/>
        </w:rPr>
        <w:t>Proposed Business—Comparison of This Offering to Those of Blank Check Companies Subject to Rule 419</w:t>
      </w:r>
      <w:r>
        <w:rPr>
          <w:rFonts w:ascii="Arial" w:cs="Arial" w:eastAsia="Arial" w:hAnsi="Arial"/>
          <w:sz w:val="17"/>
          <w:szCs w:val="17"/>
          <w:color w:val="auto"/>
        </w:rPr>
        <w:t>.” You should carefully consider these and the other risks set forth in the section entitled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Data</w:t>
      </w:r>
    </w:p>
    <w:p>
      <w:pPr>
        <w:spacing w:after="0" w:line="7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AUGUST 3,</w:t>
            </w:r>
          </w:p>
        </w:tc>
      </w:tr>
      <w:tr>
        <w:trPr>
          <w:trHeight w:val="177"/>
        </w:trPr>
        <w:tc>
          <w:tcPr>
            <w:tcW w:w="3820" w:type="dxa"/>
            <w:vAlign w:val="bottom"/>
            <w:tcBorders>
              <w:bottom w:val="single" w:sz="8" w:color="CCEEFF"/>
            </w:tcBorders>
          </w:tcPr>
          <w:p>
            <w:pPr>
              <w:spacing w:after="0"/>
              <w:rPr>
                <w:sz w:val="15"/>
                <w:szCs w:val="15"/>
                <w:color w:val="auto"/>
              </w:rPr>
            </w:pPr>
          </w:p>
        </w:tc>
        <w:tc>
          <w:tcPr>
            <w:tcW w:w="6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169"/>
        </w:trPr>
        <w:tc>
          <w:tcPr>
            <w:tcW w:w="382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Balance Sheet Data:</w:t>
            </w:r>
          </w:p>
        </w:tc>
        <w:tc>
          <w:tcPr>
            <w:tcW w:w="6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7"/>
                <w:szCs w:val="17"/>
                <w:color w:val="auto"/>
              </w:rPr>
              <w:t>Working capital (deficiency)</w:t>
            </w:r>
          </w:p>
        </w:tc>
        <w:tc>
          <w:tcPr>
            <w:tcW w:w="6680" w:type="dxa"/>
            <w:vAlign w:val="bottom"/>
            <w:gridSpan w:val="2"/>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assets</w:t>
            </w:r>
          </w:p>
        </w:tc>
        <w:tc>
          <w:tcPr>
            <w:tcW w:w="6680" w:type="dxa"/>
            <w:vAlign w:val="bottom"/>
            <w:gridSpan w:val="2"/>
            <w:shd w:val="clear" w:color="auto" w:fill="CCEEFF"/>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78,394</w:t>
            </w: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7"/>
                <w:szCs w:val="17"/>
                <w:color w:val="auto"/>
              </w:rPr>
              <w:t>Total liabilities</w:t>
            </w:r>
          </w:p>
        </w:tc>
        <w:tc>
          <w:tcPr>
            <w:tcW w:w="6680" w:type="dxa"/>
            <w:vAlign w:val="bottom"/>
            <w:gridSpan w:val="2"/>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w:t>
            </w:r>
          </w:p>
        </w:tc>
        <w:tc>
          <w:tcPr>
            <w:tcW w:w="6680" w:type="dxa"/>
            <w:vAlign w:val="bottom"/>
            <w:gridSpan w:val="2"/>
            <w:shd w:val="clear" w:color="auto" w:fill="CCEEFF"/>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18,394</w:t>
            </w:r>
          </w:p>
        </w:tc>
      </w:tr>
      <w:tr>
        <w:trPr>
          <w:trHeight w:val="349"/>
        </w:trPr>
        <w:tc>
          <w:tcPr>
            <w:tcW w:w="3820" w:type="dxa"/>
            <w:vAlign w:val="bottom"/>
          </w:tcPr>
          <w:p>
            <w:pPr>
              <w:spacing w:after="0"/>
              <w:rPr>
                <w:sz w:val="24"/>
                <w:szCs w:val="24"/>
                <w:color w:val="auto"/>
              </w:rPr>
            </w:pPr>
          </w:p>
        </w:tc>
        <w:tc>
          <w:tcPr>
            <w:tcW w:w="6540" w:type="dxa"/>
            <w:vAlign w:val="bottom"/>
          </w:tcPr>
          <w:p>
            <w:pPr>
              <w:jc w:val="right"/>
              <w:ind w:right="4555"/>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39" w:lineRule="exact"/>
        <w:rPr>
          <w:sz w:val="20"/>
          <w:szCs w:val="20"/>
          <w:color w:val="auto"/>
        </w:rPr>
      </w:pPr>
    </w:p>
    <w:p>
      <w:pPr>
        <w:ind w:right="460"/>
        <w:spacing w:after="0" w:line="260" w:lineRule="auto"/>
        <w:rPr>
          <w:sz w:val="20"/>
          <w:szCs w:val="20"/>
          <w:color w:val="auto"/>
        </w:rPr>
      </w:pPr>
      <w:r>
        <w:rPr>
          <w:rFonts w:ascii="Arial" w:cs="Arial" w:eastAsia="Arial" w:hAnsi="Arial"/>
          <w:sz w:val="17"/>
          <w:szCs w:val="17"/>
          <w:b w:val="1"/>
          <w:bCs w:val="1"/>
          <w:i w:val="1"/>
          <w:iCs w:val="1"/>
          <w:color w:val="auto"/>
        </w:rPr>
        <w:t>We are a blank check company with no operating history and no revenues, and you have no basis on which to evaluate our ability to achieve our business objective.</w:t>
      </w:r>
    </w:p>
    <w:p>
      <w:pPr>
        <w:spacing w:after="0" w:line="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are a blank check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45"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b w:val="1"/>
          <w:bCs w:val="1"/>
          <w:i w:val="1"/>
          <w:iCs w:val="1"/>
          <w:color w:val="auto"/>
        </w:rPr>
        <w:t>Our public shareholders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shareholders do not support such a combination.</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may choose not to hold a shareholder vote to approve our initial business combination unless the business combination would require shareholder approval under applicable law or stock exchange listing requirements. In such case,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Even if we seek shareholder approval, the holders of our founder shares will participate in the vote on such approval. Accordingly, we may complete our initial business combination even if holders of a majority of our ordinary shares do not approve of the business combination we complete. Please see the section entitled “</w:t>
      </w:r>
      <w:r>
        <w:rPr>
          <w:rFonts w:ascii="Arial" w:cs="Arial" w:eastAsia="Arial" w:hAnsi="Arial"/>
          <w:sz w:val="17"/>
          <w:szCs w:val="17"/>
          <w:i w:val="1"/>
          <w:iCs w:val="1"/>
          <w:color w:val="auto"/>
        </w:rPr>
        <w:t>Proposed Business—Shareholders May Not Have the Ability to Approve Our</w:t>
      </w:r>
      <w:r>
        <w:rPr>
          <w:rFonts w:ascii="Arial" w:cs="Arial" w:eastAsia="Arial" w:hAnsi="Arial"/>
          <w:sz w:val="17"/>
          <w:szCs w:val="17"/>
          <w:color w:val="auto"/>
        </w:rPr>
        <w:t xml:space="preserve"> </w:t>
      </w:r>
      <w:r>
        <w:rPr>
          <w:rFonts w:ascii="Arial" w:cs="Arial" w:eastAsia="Arial" w:hAnsi="Arial"/>
          <w:sz w:val="17"/>
          <w:szCs w:val="17"/>
          <w:i w:val="1"/>
          <w:iCs w:val="1"/>
          <w:color w:val="auto"/>
        </w:rPr>
        <w:t>Initial Business Combination</w:t>
      </w:r>
      <w:r>
        <w:rPr>
          <w:rFonts w:ascii="Arial" w:cs="Arial" w:eastAsia="Arial" w:hAnsi="Arial"/>
          <w:sz w:val="17"/>
          <w:szCs w:val="17"/>
          <w:color w:val="auto"/>
        </w:rPr>
        <w:t>” for additional information.</w:t>
      </w:r>
    </w:p>
    <w:p>
      <w:pPr>
        <w:spacing w:after="0" w:line="42"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b w:val="1"/>
          <w:bCs w:val="1"/>
          <w:i w:val="1"/>
          <w:iCs w:val="1"/>
          <w:color w:val="auto"/>
        </w:rPr>
        <w:t>Your only opportunity to effect your investment decision regarding a potential business combination may be limited to the exercise of your right to redeem your shares from us for cash.</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effect your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42"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If we seek shareholder approval of our initial business combination, our initial shareholders and management team have agreed to vote in favor of such initial business combination, regardless of how our public shareholders vote.</w:t>
      </w:r>
    </w:p>
    <w:p>
      <w:pPr>
        <w:spacing w:after="0" w:line="1"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Our initial shareholders will own 20% of our issued and outstanding ordinary shares immediately following the completion of this offering (assuming our initial shareholders do not purchase any units in this offering).</w:t>
      </w:r>
    </w:p>
    <w:p>
      <w:pPr>
        <w:spacing w:after="0" w:line="11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Our initial shareholders and management team also may from time to time purchase Class A ordinary shares prior to our initial business combination. Our amended and restated memorandum and articles of association provides that, if we seek shareholder approval of an initial business combination, such initial business combination will be approved if we receive an ordinary resolution under Cayman Islands law, which requires the affirmative vote of a majority of the shareholders who attend and vote at a general meeting of the company, including the founder shares.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20"/>
          </w:cols>
          <w:pgMar w:left="320" w:top="455" w:right="3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option is not exercised). Accordingly, if we seek shareholder approval of our initial business combination, the agreement by our initial shareholders and management team to vote in favor of our initial business combination will increase the likelihood that we will receive an ordinary resolution, being the requisite shareholder approval for such initial business combination.</w:t>
      </w:r>
    </w:p>
    <w:p>
      <w:pPr>
        <w:spacing w:after="0" w:line="3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may seek to enter into a business combination transaction agreement with a minimum cash requirement for (i) cash consideration to be paid to the target or its owners, (ii) cash for working capital or other general corporate purposes or (iii) the retention of cash to satisfy other conditions.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42" w:lineRule="exact"/>
        <w:rPr>
          <w:sz w:val="20"/>
          <w:szCs w:val="20"/>
          <w:color w:val="auto"/>
        </w:rPr>
      </w:pPr>
    </w:p>
    <w:p>
      <w:pPr>
        <w:ind w:right="460"/>
        <w:spacing w:after="0" w:line="260" w:lineRule="auto"/>
        <w:rPr>
          <w:sz w:val="20"/>
          <w:szCs w:val="20"/>
          <w:color w:val="auto"/>
        </w:rPr>
      </w:pPr>
      <w:r>
        <w:rPr>
          <w:rFonts w:ascii="Arial" w:cs="Arial" w:eastAsia="Arial" w:hAnsi="Arial"/>
          <w:sz w:val="17"/>
          <w:szCs w:val="17"/>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5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 xml:space="preserve">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trust account until we liquidate the trust account. If you are in need of immediate liquidity, you could attempt to sell your shares in the open market; however, at such time our shares may trade at a discount to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455"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 as well as protectionist legislation in our target markets.</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This outbreak of COVID-19 has resulted in a widespread health crisis that has and may continue to adversely affect the economies and financial markets worldwide, and the business of any potential target business with which we may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In addition, countries or supranational organizations in our target markets may develop and implement legislation that makes it more difficult or impossible for entities outside such countries or target markets to acquire or otherwise invest in companies or businesses deemed essential or otherwise vital. The extent to which COVID-19 impacts our search for and ability to consummate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and result in protectionist sentiments and legislation in our target markets,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w:t>
      </w:r>
    </w:p>
    <w:p>
      <w:pPr>
        <w:spacing w:after="0" w:line="30"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b w:val="1"/>
          <w:bCs w:val="1"/>
          <w:i w:val="1"/>
          <w:iCs w:val="1"/>
          <w:color w:val="auto"/>
        </w:rPr>
        <w:t>The requirement that we complete our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29"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b w:val="1"/>
          <w:bCs w:val="1"/>
          <w:i w:val="1"/>
          <w:iCs w:val="1"/>
          <w:color w:val="auto"/>
        </w:rPr>
        <w:t>We may not be able to complete our initial business combination within 24 months after the closing of this offering, in which case we would cease all operations except for the purpose of winding up and we would redeem our public shares and liquidate.</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not be able to find a suitable target business and complete our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Additionally, the outbreak of COVID-19 may negatively impact businesses we may seek to acquire. If we have not completed our initial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455"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44"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b w:val="1"/>
          <w:bCs w:val="1"/>
          <w:i w:val="1"/>
          <w:iCs w:val="1"/>
          <w:color w:val="auto"/>
        </w:rPr>
        <w:t>If we seek shareholder approval of our initial business combination, our sponsor, initial shareholders, directors, officers, advisors and their affiliates may elect to purchase shares or public warrants from public shareholders, which may influence a vote on a proposed business combination and reduce the public “float” of our Class A ordinary shares.</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officers, advisors or their affiliates may purchase shares or public warrants in privately negotiated transactions or in the open market either prior to or following the completion of our initial business combination, although they are under no obligation to do so. There is no limit on the number of shares our initial shareholders,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in the trust account will be used to purchase shares or public warrants in such transactions. Such purchases may include a contractual acknowledgment that such shareholder, although still the record holder of our shares, is no longer the beneficial owner thereof and therefore agrees not to exercise its redemption rights.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See “</w:t>
      </w:r>
      <w:r>
        <w:rPr>
          <w:rFonts w:ascii="Arial" w:cs="Arial" w:eastAsia="Arial" w:hAnsi="Arial"/>
          <w:sz w:val="17"/>
          <w:szCs w:val="17"/>
          <w:i w:val="1"/>
          <w:iCs w:val="1"/>
          <w:color w:val="auto"/>
        </w:rPr>
        <w:t>Proposed Business—Effecting Our Initial Business Combination—Permitted Purchases of Our</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w:t>
      </w:r>
      <w:r>
        <w:rPr>
          <w:rFonts w:ascii="Arial" w:cs="Arial" w:eastAsia="Arial" w:hAnsi="Arial"/>
          <w:sz w:val="17"/>
          <w:szCs w:val="17"/>
          <w:color w:val="auto"/>
        </w:rPr>
        <w:t>” for a description of how our sponsor, directors, officers, advisors or any of their affiliates will select which shareholders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from in any private transaction.</w:t>
      </w:r>
    </w:p>
    <w:p>
      <w:pPr>
        <w:spacing w:after="0" w:line="12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In addition, if such purchases are made, the public “float” of our Class A ordinary shares or public warrants and the number of beneficial holders of our securities may be reduced, possibly making it difficult to obtain or maintain the quotation, listing or trading of our securities on a national securities exchange.</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If a shareholder fails to receive notice of our offer to redeem our public shares in connection with our initial business combination, or fails to comply with the procedures for submitting or tendering its shares, such shares may not be redeemed.</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Despite our compliance with these rules, if a shareholder fails to receive our proxy materials or tender offer documents, as applicable, such shareholder may not become aware of the opportunity to redeem its shares. In addition, proxy materials or tender offer documents, as applicable, that we will furnish to holders of our public shares in connection with our initial business combination will describe the various procedures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20"/>
          </w:cols>
          <w:pgMar w:left="320" w:top="455" w:right="3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that must be complied with in order to validly tender or submit public shares for redemption. For example, we intend to require our public shareholders seeking to exercise their redemption rights, whether they are record holders or hold their shares in “street name,” to, at the holder’s option, either deliver their share certificates to our transfer agent, or to deliver their shares to our transfer agent electronically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In the event that a shareholder fails to comply with these or any other procedures disclosed in the proxy or tender offer materials, as applicable, its shares may not be redeemed. See the section of this prospectus entitled “</w:t>
      </w:r>
      <w:r>
        <w:rPr>
          <w:rFonts w:ascii="Arial" w:cs="Arial" w:eastAsia="Arial" w:hAnsi="Arial"/>
          <w:sz w:val="17"/>
          <w:szCs w:val="17"/>
          <w:i w:val="1"/>
          <w:iCs w:val="1"/>
          <w:color w:val="auto"/>
        </w:rPr>
        <w:t>Proposed Business—Delivering Share Certificates in Connection with the Exercise of</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 Rights</w:t>
      </w:r>
      <w:r>
        <w:rPr>
          <w:rFonts w:ascii="Arial" w:cs="Arial" w:eastAsia="Arial" w:hAnsi="Arial"/>
          <w:sz w:val="17"/>
          <w:szCs w:val="17"/>
          <w:color w:val="auto"/>
        </w:rPr>
        <w:t>.”</w:t>
      </w:r>
    </w:p>
    <w:p>
      <w:pPr>
        <w:spacing w:after="0" w:line="43" w:lineRule="exact"/>
        <w:rPr>
          <w:sz w:val="20"/>
          <w:szCs w:val="20"/>
          <w:color w:val="auto"/>
        </w:rPr>
      </w:pPr>
    </w:p>
    <w:p>
      <w:pPr>
        <w:ind w:right="680"/>
        <w:spacing w:after="0" w:line="260" w:lineRule="auto"/>
        <w:rPr>
          <w:sz w:val="20"/>
          <w:szCs w:val="20"/>
          <w:color w:val="auto"/>
        </w:rPr>
      </w:pPr>
      <w:r>
        <w:rPr>
          <w:rFonts w:ascii="Arial" w:cs="Arial" w:eastAsia="Arial" w:hAnsi="Arial"/>
          <w:sz w:val="17"/>
          <w:szCs w:val="17"/>
          <w:b w:val="1"/>
          <w:bCs w:val="1"/>
          <w:i w:val="1"/>
          <w:i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Our public shareholders will be entitled to receive funds from the trust account only upon the earliest to occur of: (i) our completion of an initial business combination, and then only in connection with those Class A ordinary shares that such shareholder properly elected to redeem, subject to the limitations and on the conditions described herein,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and (iii) the redemption of our public shares if we are unable to complete an initial business combination within 24 months from the closing of this offering, subject to applicable law and as further described herein.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44"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 xml:space="preserve">We intend to apply to have our units listed on Nasdaq. We expect that our units will be listed on Nasdaq on or promptly after the date of this prospectus. Following the date that the Class A ordinary shares and warrants are eligible to trade separately, we anticipate that the Class A ordinary shares and warrants will be separately listed on Nasdaq. We cannot guarantee that our securities will be approved for listing on Nasdaq. Although after giving effect to this offering we expect to meet,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following our initial public offering, we must maintain a minimum amount in Shareholders’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share price would generally be required to be at least $4.00 per share and our Shareholders’ equity would generally be required to be at least $5.0 million. We cannot assure you that we will be able to meet those initial listing requirements at that time.</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51" w:lineRule="exact"/>
        <w:rPr>
          <w:sz w:val="20"/>
          <w:szCs w:val="20"/>
          <w:color w:val="auto"/>
        </w:rPr>
      </w:pPr>
    </w:p>
    <w:p>
      <w:pPr>
        <w:ind w:left="880" w:hanging="427"/>
        <w:spacing w:after="0"/>
        <w:tabs>
          <w:tab w:leader="none" w:pos="8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a limited availability of market quotations for our securities;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reduced liquidity for our securities;</w:t>
      </w:r>
    </w:p>
    <w:p>
      <w:pPr>
        <w:spacing w:after="0" w:line="34" w:lineRule="exact"/>
        <w:rPr>
          <w:rFonts w:ascii="MS PGothic" w:cs="MS PGothic" w:eastAsia="MS PGothic" w:hAnsi="MS PGothic"/>
          <w:sz w:val="13"/>
          <w:szCs w:val="13"/>
          <w:color w:val="auto"/>
        </w:rPr>
      </w:pPr>
    </w:p>
    <w:p>
      <w:pPr>
        <w:jc w:val="both"/>
        <w:ind w:left="880" w:right="100" w:hanging="427"/>
        <w:spacing w:after="0" w:line="273" w:lineRule="auto"/>
        <w:tabs>
          <w:tab w:leader="none" w:pos="8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455"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tabs>
          <w:tab w:leader="none" w:pos="8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a limited amount of news and analyst coverage; and</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a decreased ability to issue additional securities or obtain additional financing in the future.</w:t>
      </w:r>
    </w:p>
    <w:p>
      <w:pPr>
        <w:spacing w:after="0" w:line="15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Nasdaq, our units, Class A ordinary shares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many other blank check companies.</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w:t>
      </w:r>
      <w:r>
        <w:rPr>
          <w:rFonts w:ascii="Arial" w:cs="Arial" w:eastAsia="Arial" w:hAnsi="Arial"/>
          <w:sz w:val="17"/>
          <w:szCs w:val="17"/>
          <w:i w:val="1"/>
          <w:iCs w:val="1"/>
          <w:color w:val="auto"/>
        </w:rPr>
        <w:t>Proposed Business—Comparison of This Offering to Those of Blank Check Companies Subject to Rule 419.</w:t>
      </w:r>
      <w:r>
        <w:rPr>
          <w:rFonts w:ascii="Arial" w:cs="Arial" w:eastAsia="Arial" w:hAnsi="Arial"/>
          <w:sz w:val="17"/>
          <w:szCs w:val="17"/>
          <w:color w:val="auto"/>
        </w:rPr>
        <w:t>”</w:t>
      </w:r>
    </w:p>
    <w:p>
      <w:pPr>
        <w:spacing w:after="0" w:line="45"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without our prior consent, which we refer to as the “</w:t>
      </w:r>
      <w:r>
        <w:rPr>
          <w:rFonts w:ascii="Arial" w:cs="Arial" w:eastAsia="Arial" w:hAnsi="Arial"/>
          <w:sz w:val="17"/>
          <w:szCs w:val="17"/>
          <w:b w:val="1"/>
          <w:bCs w:val="1"/>
          <w:color w:val="auto"/>
        </w:rPr>
        <w:t>Excess Shares</w:t>
      </w:r>
      <w:r>
        <w:rPr>
          <w:rFonts w:ascii="Arial" w:cs="Arial" w:eastAsia="Arial" w:hAnsi="Arial"/>
          <w:sz w:val="17"/>
          <w:szCs w:val="17"/>
          <w:color w:val="auto"/>
        </w:rPr>
        <w: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455" w:right="3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line="247" w:lineRule="auto"/>
        <w:rPr>
          <w:sz w:val="20"/>
          <w:szCs w:val="20"/>
          <w:color w:val="auto"/>
        </w:rPr>
      </w:pPr>
      <w:r>
        <w:rPr>
          <w:rFonts w:ascii="Arial" w:cs="Arial" w:eastAsia="Arial" w:hAnsi="Arial"/>
          <w:sz w:val="17"/>
          <w:szCs w:val="17"/>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 xml:space="preserve">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36"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b w:val="1"/>
          <w:bCs w:val="1"/>
          <w:i w:val="1"/>
          <w:iCs w:val="1"/>
          <w:color w:val="auto"/>
        </w:rPr>
        <w:t>If the net proceeds of this offering and the sale of the private placement warrants not being held in the trust account are insufficient to allow us to operate for at least the next 24 months,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Of the net proceeds of this offering, only $1,000,000 will be available to us initially outside the trust account to fund our working capital requirements. We believe that, upon closing of this offering, the funds available to us outside of the trust account will be sufficient to allow us to operate for at least the next 24 months;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2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private placement warrants of the post-business combination entity at a price of $1.00 per warrant at the option of the lender. Such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455"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32"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Even if we conduct due diligence on a target business with which we combine, we cannot assure you that this diligence will identify all material issues that may be present within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50" w:lineRule="exact"/>
        <w:rPr>
          <w:sz w:val="20"/>
          <w:szCs w:val="20"/>
          <w:color w:val="auto"/>
        </w:rPr>
      </w:pPr>
    </w:p>
    <w:p>
      <w:pPr>
        <w:ind w:right="360"/>
        <w:spacing w:after="0" w:line="260" w:lineRule="auto"/>
        <w:rPr>
          <w:sz w:val="20"/>
          <w:szCs w:val="20"/>
          <w:color w:val="auto"/>
        </w:rPr>
      </w:pPr>
      <w:r>
        <w:rPr>
          <w:rFonts w:ascii="Arial" w:cs="Arial" w:eastAsia="Arial" w:hAnsi="Arial"/>
          <w:sz w:val="17"/>
          <w:szCs w:val="17"/>
          <w:b w:val="1"/>
          <w:bCs w:val="1"/>
          <w:i w:val="1"/>
          <w:iCs w:val="1"/>
          <w:color w:val="auto"/>
        </w:rPr>
        <w:t>If third parties bring claims against us, the proceeds held in the trust account could be reduced and the per-share redemption amount received by shareholders may be less than $10.00 per share.</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WithumSmith+Brown, PC, our independent registered public accounting firm, and the underwriters of this offering will not execute agreements with us waiving such claims to the monies held in the trust account.</w:t>
      </w:r>
    </w:p>
    <w:p>
      <w:pPr>
        <w:spacing w:after="0" w:line="12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20"/>
          </w:cols>
          <w:pgMar w:left="320" w:top="455" w:right="3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5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In the event that the proceeds in the trust account are reduced below the lesser of (i) $10.00 per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his obligations or that he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shareholders may be reduced below $10.00 per share.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have sufficient funds to satisfy indemnification claims of our directors and officers.</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455" w:right="3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480"/>
        <w:spacing w:after="0" w:line="247" w:lineRule="auto"/>
        <w:rPr>
          <w:sz w:val="20"/>
          <w:szCs w:val="20"/>
          <w:color w:val="auto"/>
        </w:rPr>
      </w:pPr>
      <w:r>
        <w:rPr>
          <w:rFonts w:ascii="Arial" w:cs="Arial" w:eastAsia="Arial" w:hAnsi="Arial"/>
          <w:sz w:val="17"/>
          <w:szCs w:val="17"/>
          <w:b w:val="1"/>
          <w:bCs w:val="1"/>
          <w:i w:val="1"/>
          <w:iCs w:val="1"/>
          <w:color w:val="auto"/>
        </w:rPr>
        <w:t>If, after we distribute the proceeds in the trust account to our public shareholders, we file a bankruptcy or insolvency petition or an involuntary bankruptcy or insolvency petition is filed against us that is not dismissed, a bankruptcy or insolvency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If, after we distribute the proceeds in the trust account to our public shareholders, we file a bankruptcy or insolvency petition or an involuntary bankruptcy or insolvency petition is filed against us that is not dismissed, any distributions received by shareholders could be viewed under applicable debtor/creditor and/or bankruptcy laws as either a “preferential transfer” or a “fraudulent conveyance.” As a result, a bankruptcy or insolvency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29" w:lineRule="exact"/>
        <w:rPr>
          <w:sz w:val="20"/>
          <w:szCs w:val="20"/>
          <w:color w:val="auto"/>
        </w:rPr>
      </w:pPr>
    </w:p>
    <w:p>
      <w:pPr>
        <w:ind w:right="360"/>
        <w:spacing w:after="0" w:line="247" w:lineRule="auto"/>
        <w:rPr>
          <w:sz w:val="20"/>
          <w:szCs w:val="20"/>
          <w:color w:val="auto"/>
        </w:rPr>
      </w:pPr>
      <w:r>
        <w:rPr>
          <w:rFonts w:ascii="Arial" w:cs="Arial" w:eastAsia="Arial" w:hAnsi="Arial"/>
          <w:sz w:val="17"/>
          <w:szCs w:val="17"/>
          <w:b w:val="1"/>
          <w:bCs w:val="1"/>
          <w:i w:val="1"/>
          <w:iCs w:val="1"/>
          <w:color w:val="auto"/>
        </w:rPr>
        <w:t>If, before distributing the proceeds in the trust account to our public shareholders, we file a bankruptcy or insolvency petition or an involuntary bankruptcy or insolvency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 w:lineRule="exact"/>
        <w:rPr>
          <w:sz w:val="20"/>
          <w:szCs w:val="20"/>
          <w:color w:val="auto"/>
        </w:rPr>
      </w:pPr>
    </w:p>
    <w:p>
      <w:pPr>
        <w:ind w:right="540"/>
        <w:spacing w:after="0" w:line="239" w:lineRule="auto"/>
        <w:rPr>
          <w:sz w:val="20"/>
          <w:szCs w:val="20"/>
          <w:color w:val="auto"/>
        </w:rPr>
      </w:pPr>
      <w:r>
        <w:rPr>
          <w:rFonts w:ascii="Arial" w:cs="Arial" w:eastAsia="Arial" w:hAnsi="Arial"/>
          <w:sz w:val="17"/>
          <w:szCs w:val="17"/>
          <w:color w:val="auto"/>
        </w:rPr>
        <w:t>If, before distributing the proceeds in the trust account to our public shareholders, we file a bankruptcy or insolvency petition or an involuntary bankruptcy or insolvency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30" w:lineRule="exact"/>
        <w:rPr>
          <w:sz w:val="20"/>
          <w:szCs w:val="20"/>
          <w:color w:val="auto"/>
        </w:rPr>
      </w:pPr>
    </w:p>
    <w:p>
      <w:pPr>
        <w:jc w:val="both"/>
        <w:ind w:right="780"/>
        <w:spacing w:after="0" w:line="252" w:lineRule="auto"/>
        <w:rPr>
          <w:sz w:val="20"/>
          <w:szCs w:val="20"/>
          <w:color w:val="auto"/>
        </w:rPr>
      </w:pPr>
      <w:r>
        <w:rPr>
          <w:rFonts w:ascii="Arial" w:cs="Arial" w:eastAsia="Arial" w:hAnsi="Arial"/>
          <w:sz w:val="17"/>
          <w:szCs w:val="17"/>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If we are deemed to be an investment company under the Investment Company Act, our activities may be restricted, including:</w:t>
      </w:r>
    </w:p>
    <w:p>
      <w:pPr>
        <w:spacing w:after="0" w:line="185" w:lineRule="exact"/>
        <w:rPr>
          <w:sz w:val="20"/>
          <w:szCs w:val="20"/>
          <w:color w:val="auto"/>
        </w:rPr>
      </w:pPr>
    </w:p>
    <w:p>
      <w:pPr>
        <w:ind w:left="880" w:hanging="427"/>
        <w:spacing w:after="0"/>
        <w:tabs>
          <w:tab w:leader="none" w:pos="8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restrictions on the nature of our investments; and</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restrictions on the issuance of securities,</w:t>
      </w:r>
    </w:p>
    <w:p>
      <w:pPr>
        <w:spacing w:after="0" w:line="154"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each of which may make it difficult for us to complete our initial business combination. In addition, we may have imposed upon us burdensome requirements, including:</w:t>
      </w:r>
    </w:p>
    <w:p>
      <w:pPr>
        <w:spacing w:after="0" w:line="133" w:lineRule="exact"/>
        <w:rPr>
          <w:sz w:val="20"/>
          <w:szCs w:val="20"/>
          <w:color w:val="auto"/>
        </w:rPr>
      </w:pPr>
    </w:p>
    <w:p>
      <w:pPr>
        <w:ind w:left="880" w:hanging="427"/>
        <w:spacing w:after="0"/>
        <w:tabs>
          <w:tab w:leader="none" w:pos="8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registration as an investment company;</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adoption of a specific form of corporate structure;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reporting, record keeping, voting, proxy and disclosure requirements and other rules and regulations.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23"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20"/>
          </w:cols>
          <w:pgMar w:left="320" w:top="455" w:right="3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or (iii) absent an initial business combination within 24 months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52"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42" w:lineRule="exact"/>
        <w:rPr>
          <w:sz w:val="20"/>
          <w:szCs w:val="20"/>
          <w:color w:val="auto"/>
        </w:rPr>
      </w:pPr>
    </w:p>
    <w:p>
      <w:pPr>
        <w:ind w:right="980"/>
        <w:spacing w:after="0" w:line="260" w:lineRule="auto"/>
        <w:rPr>
          <w:sz w:val="20"/>
          <w:szCs w:val="20"/>
          <w:color w:val="auto"/>
        </w:rPr>
      </w:pPr>
      <w:r>
        <w:rPr>
          <w:rFonts w:ascii="Arial" w:cs="Arial" w:eastAsia="Arial" w:hAnsi="Arial"/>
          <w:sz w:val="17"/>
          <w:szCs w:val="17"/>
          <w:b w:val="1"/>
          <w:bCs w:val="1"/>
          <w:i w:val="1"/>
          <w:iCs w:val="1"/>
          <w:color w:val="auto"/>
        </w:rPr>
        <w:t>If we are unable to consummate our initial business combination within 24 months from the closing of this offering, our public shareholders may be forced to wait beyond such to 24 months before redemption from our trust account.</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 xml:space="preserve">If we are unable to consummate our initial business combination within 24 months from the closing of this offering, the proceeds then on deposit in the trust account, including interest earned on the funds held in the trust account (less taxes payable and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our public shareholders, as part of any liquidation process, such winding up, liquidation and distribution must comply with the applicable provisions of the Companies Law. In that case, investors may be forced to wait beyond 24 months from the closing of this offering before the redemption proceeds of our trust account become available to them, and they receive the return of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proceeds from our trust account. We have no obligation to return funds to investors prior to the date of our redemption or liquidation unless we consummate our initial business combination prior thereto and only then in cases where investors have sought to redeem their Class A ordinary shares. Only upon our redemption or any liquidation will public shareholders be entitled to distributions if we are unable to complete our initial business combination.</w:t>
      </w:r>
    </w:p>
    <w:p>
      <w:pPr>
        <w:spacing w:after="0" w:line="44"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Our shareholders may be held liable for claims by third parties against us to the extent of distributions received by them upon redemption of their shares.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320" w:top="455" w:right="3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premium account while we were unable to pay our debts as they fall due in the ordinary course of business would be guilty of an offence and may be liable to a fine of $18,293 and to imprisonment for five years in the Cayman Islands.</w:t>
      </w:r>
    </w:p>
    <w:p>
      <w:pPr>
        <w:spacing w:after="0" w:line="13" w:lineRule="exact"/>
        <w:rPr>
          <w:sz w:val="20"/>
          <w:szCs w:val="20"/>
          <w:color w:val="auto"/>
        </w:rPr>
      </w:pPr>
    </w:p>
    <w:p>
      <w:pPr>
        <w:ind w:right="520"/>
        <w:spacing w:after="0" w:line="260" w:lineRule="auto"/>
        <w:rPr>
          <w:sz w:val="20"/>
          <w:szCs w:val="20"/>
          <w:color w:val="auto"/>
        </w:rPr>
      </w:pPr>
      <w:r>
        <w:rPr>
          <w:rFonts w:ascii="Arial" w:cs="Arial" w:eastAsia="Arial" w:hAnsi="Arial"/>
          <w:sz w:val="17"/>
          <w:szCs w:val="17"/>
          <w:b w:val="1"/>
          <w:bCs w:val="1"/>
          <w:i w:val="1"/>
          <w:iCs w:val="1"/>
          <w:color w:val="auto"/>
        </w:rPr>
        <w:t>We may not hold an annual general meeting until after the consummation of our initial business combination, which could delay the opportunity for our shareholders to appoint directors.</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accordance with Nasdaq corporate governance requirements, we are not required to hold an annual general meeting until no later than one year after our first fiscal year end following our listing on Nasdaq. There is no requirement under the Companies Law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annual general meeting) serving a three-year term. In addition, as holders of our Class A ordinary shares, our public shareholders will not have the right to vote on the appointment of directors until after the consummation of our initial business combination.</w:t>
      </w:r>
    </w:p>
    <w:p>
      <w:pPr>
        <w:spacing w:after="0" w:line="44" w:lineRule="exact"/>
        <w:rPr>
          <w:sz w:val="20"/>
          <w:szCs w:val="20"/>
          <w:color w:val="auto"/>
        </w:rPr>
      </w:pPr>
    </w:p>
    <w:p>
      <w:pPr>
        <w:ind w:right="560"/>
        <w:spacing w:after="0" w:line="260" w:lineRule="auto"/>
        <w:rPr>
          <w:sz w:val="20"/>
          <w:szCs w:val="20"/>
          <w:color w:val="auto"/>
        </w:rPr>
      </w:pPr>
      <w:r>
        <w:rPr>
          <w:rFonts w:ascii="Arial" w:cs="Arial" w:eastAsia="Arial" w:hAnsi="Arial"/>
          <w:sz w:val="17"/>
          <w:szCs w:val="17"/>
          <w:b w:val="1"/>
          <w:bCs w:val="1"/>
          <w:i w:val="1"/>
          <w:iCs w:val="1"/>
          <w:color w:val="auto"/>
        </w:rPr>
        <w:t>You will not be permitted to exercise your warrants unless we register and qualify the underlying Class A ordinary shares or certain exemptions are available.</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If the issuance of the Class A ordinary shares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ordinary shares included in the units.</w:t>
      </w:r>
    </w:p>
    <w:p>
      <w:pPr>
        <w:spacing w:after="0" w:line="12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We are not registering the Class A ordinary shares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ordinary shares issuable upon exercise of the warrants and thereafter will use our best efforts to cause the same to become effective within 60 business days following our initial business combination and to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If the Class A ordinary shares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11"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1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If our Class A ordinary shares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455" w:right="3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32" w:lineRule="exact"/>
        <w:rPr>
          <w:sz w:val="20"/>
          <w:szCs w:val="20"/>
          <w:color w:val="auto"/>
        </w:rPr>
      </w:pPr>
    </w:p>
    <w:p>
      <w:pPr>
        <w:ind w:right="500"/>
        <w:spacing w:after="0" w:line="260" w:lineRule="auto"/>
        <w:rPr>
          <w:sz w:val="20"/>
          <w:szCs w:val="20"/>
          <w:color w:val="auto"/>
        </w:rPr>
      </w:pPr>
      <w:r>
        <w:rPr>
          <w:rFonts w:ascii="Arial" w:cs="Arial" w:eastAsia="Arial" w:hAnsi="Arial"/>
          <w:sz w:val="17"/>
          <w:szCs w:val="17"/>
          <w:b w:val="1"/>
          <w:bCs w:val="1"/>
          <w:i w:val="1"/>
          <w:iCs w:val="1"/>
          <w:color w:val="auto"/>
        </w:rPr>
        <w:t>You may only be able to exercise your public warrants on a “cashless basis” under certain circumstances, and if you do so, you will receive fewer Class A ordinary shares from such exercise than if you were to exercise such warrants for cash.</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Class A ordinary shares issuable upon exercise of the warrants are not registered under the Securities Act in accordance with the terms of the warrant agreement; (ii) if we have so elected and the Class A ordinary shares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Class A ordinary shares equal to the quotient obtained by dividing (x) the product of the number of Class A ordinary shares underlying the warrants, multiplied by the excess of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(as defined in the next sentence) over the exercise price of the warrants by (y) the fair market value. The “</w:t>
      </w:r>
      <w:r>
        <w:rPr>
          <w:rFonts w:ascii="Arial" w:cs="Arial" w:eastAsia="Arial" w:hAnsi="Arial"/>
          <w:sz w:val="17"/>
          <w:szCs w:val="17"/>
          <w:b w:val="1"/>
          <w:bCs w:val="1"/>
          <w:color w:val="auto"/>
        </w:rPr>
        <w:t>fair market value</w:t>
      </w:r>
      <w:r>
        <w:rPr>
          <w:rFonts w:ascii="Arial" w:cs="Arial" w:eastAsia="Arial" w:hAnsi="Arial"/>
          <w:sz w:val="17"/>
          <w:szCs w:val="17"/>
          <w:color w:val="auto"/>
        </w:rPr>
        <w:t>”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 As a result, you would receive fewer Class A ordinary shares from such exercise than if you were to exercise such warrants for cash.</w:t>
      </w:r>
    </w:p>
    <w:p>
      <w:pPr>
        <w:spacing w:after="0" w:line="42" w:lineRule="exact"/>
        <w:rPr>
          <w:sz w:val="20"/>
          <w:szCs w:val="20"/>
          <w:color w:val="auto"/>
        </w:rPr>
      </w:pPr>
    </w:p>
    <w:p>
      <w:pPr>
        <w:jc w:val="both"/>
        <w:ind w:right="380"/>
        <w:spacing w:after="0" w:line="251" w:lineRule="auto"/>
        <w:rPr>
          <w:sz w:val="20"/>
          <w:szCs w:val="20"/>
          <w:color w:val="auto"/>
        </w:rPr>
      </w:pPr>
      <w:r>
        <w:rPr>
          <w:rFonts w:ascii="Arial" w:cs="Arial" w:eastAsia="Arial" w:hAnsi="Arial"/>
          <w:sz w:val="17"/>
          <w:szCs w:val="17"/>
          <w:b w:val="1"/>
          <w:bCs w:val="1"/>
          <w:i w:val="1"/>
          <w:iCs w:val="1"/>
          <w:color w:val="auto"/>
        </w:rPr>
        <w:t>The grant of registration rights to our initial shareholders and holders of our private placement warrants may make it more difficult to complete our initial business combination, and the future exercise of such rights may adversely affect the market price of our Class A ordinary shares.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Pursuant to an agreement to be entered into concurrently with the issuance and sale of the securities in this offering, our initial shareholders and their permitted transferees can demand that we register the Class A ordinary shares into which founder shares are convertible, holders of our private placement warrants and their permitted transferees can demand that we register the private placement warrants and the Class A ordinary shares issuable upon exercise of the private placement warrants, and holders of securities that may be issued upon conversion of working capital loans may demand that we register such units, shares, warrants or the Class A ordinary shares issuable upon exercise of such warrants.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ordinary shares owned by our initial shareholders, holders of our private placement warrants or holders of our working capital loans or their respective permitted transferees are registered.</w:t>
      </w:r>
    </w:p>
    <w:p>
      <w:pPr>
        <w:spacing w:after="0" w:line="44"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b w:val="1"/>
          <w:bCs w:val="1"/>
          <w:i w:val="1"/>
          <w:iCs w:val="1"/>
          <w:color w:val="auto"/>
        </w:rPr>
        <w:t>Because we are neither limited to evaluating a target business in a particular industry sector nor have we selected any target businesses with which to pursue our initial business combination, you will be unable to ascertain the merits or risks of any particular target business’s operations.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efforts to identify a prospective initial business combination target will not be limited to a particular industry, sector or geographic region. While we may pursue an initial business combination opportunity in any industry or sector, we intend to capitalize on the ability of our management team to identify and acquire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including consumer brands sectors. Our amended and restated memorandum and articles of association prohibits us from effectuating a business combination with another blank check company or similar company with nominal operations. 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455"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48"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b w:val="1"/>
          <w:bCs w:val="1"/>
          <w:i w:val="1"/>
          <w:iCs w:val="1"/>
          <w:color w:val="auto"/>
        </w:rPr>
        <w:t>Past performance by our management team and their affiliates, including investments and transactions in which they have participated and businesses with which they have been associated, may not be indicative of future performance of an investment in the Company.</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Information regarding our management team and their affiliates, including investments and transactions in which they have participated and businesses with which they have been associated, is presented for informational purposes only. Any past experience and performance by our management team and their affiliates and the businesses with which they have been associated, is not a guarantee that we will be able to successfully identify a suitable candidate for our initial business combination, that we will be able to provide positive returns to our shareholders, or of any results with respect to any initial business combination we may consummate. You should not rely on the historical experiences of our management team and their affiliates, including investments and transactions in which they have participated and businesses with which they have been associated, as indicative of the future performance of an investment in us or as indicative of every prior investment by each of the members of our management team or their affiliates. The market price of our securities may be influenced by numerous factors, many of which are beyond our control, and our shareholders may experience losses on their investment in our securities.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seek business combination opportunities in industries or sectors that may be outside of our management’s areas of expertise.</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will consider a business combination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ascertain or assess adequately all of the relevant risk factors. Accordingly, any shareholders who choose to remain shareholders following our initial business combination could suffer a reduction in the value of their shares. Such shareholders are unlikely to have a remedy for such reduction in value.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00"/>
          </w:cols>
          <w:pgMar w:left="320" w:top="455" w:right="3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34" w:lineRule="exact"/>
        <w:rPr>
          <w:sz w:val="20"/>
          <w:szCs w:val="20"/>
          <w:color w:val="auto"/>
        </w:rPr>
      </w:pPr>
    </w:p>
    <w:p>
      <w:pPr>
        <w:ind w:right="720"/>
        <w:spacing w:after="0" w:line="252" w:lineRule="auto"/>
        <w:rPr>
          <w:sz w:val="20"/>
          <w:szCs w:val="20"/>
          <w:color w:val="auto"/>
        </w:rPr>
      </w:pPr>
      <w:r>
        <w:rPr>
          <w:rFonts w:ascii="Arial" w:cs="Arial" w:eastAsia="Arial" w:hAnsi="Arial"/>
          <w:sz w:val="17"/>
          <w:szCs w:val="17"/>
          <w:b w:val="1"/>
          <w:bCs w:val="1"/>
          <w:i w:val="1"/>
          <w:i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shareholders from a financial point of view.</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29"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b w:val="1"/>
          <w:bCs w:val="1"/>
          <w:i w:val="1"/>
          <w:i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therein. Any such issuances would dilute the interest of our shareholders and likely present other risks.</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amended and restated memorandum and articles of association authorizes the issuance of up to 200,000,000 Class A ordinary shares, par value $0.0001 per share, 20,000,000 Class B ordinary shares, par value $0.0001 per share, and 1,000,000 preferred shares, par value $0.0001 per share. Immediately after this offering, there will be 180,000,000 and 15,000,000 (assuming in each case that the underwriters have not exercised their over-allotment option and the forfeiture of 750,000 Class B ordinary shares)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The Class B ordinary shares are automatically convertible into Class A ordinary shares concurrently with or immediately following the consummation of our initial business combination, initially at a one-for-one ratio but subject to adjustment as set forth herein and in our amended and restated memorandum and articles of association, including in certain circumstances in which we issue Class A ordinary shares or equity-linked securities related to our initial business combination. Immediately after this offering, there will be no preferred shares issued and outstanding.</w:t>
      </w:r>
    </w:p>
    <w:p>
      <w:pPr>
        <w:spacing w:after="0" w:line="127"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We may issue a substantial number of additional Class A ordinary shares or preferred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therein. However, our amended and restated memorandum and articles of association provide, among other things,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455"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that prior to our initial business combination, we may not issue additional shares that would entitle the holders thereof to (i) receive funds from the trust account or (ii) vote on any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preferred shares:</w:t>
      </w:r>
    </w:p>
    <w:p>
      <w:pPr>
        <w:spacing w:after="0" w:line="157" w:lineRule="exact"/>
        <w:rPr>
          <w:sz w:val="20"/>
          <w:szCs w:val="20"/>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may significantly dilute the equity interest of investors in this offering;</w:t>
      </w:r>
    </w:p>
    <w:p>
      <w:pPr>
        <w:spacing w:after="0" w:line="35" w:lineRule="exact"/>
        <w:rPr>
          <w:rFonts w:ascii="MS PGothic" w:cs="MS PGothic" w:eastAsia="MS PGothic" w:hAnsi="MS PGothic"/>
          <w:sz w:val="13"/>
          <w:szCs w:val="13"/>
          <w:color w:val="auto"/>
        </w:rPr>
      </w:pPr>
    </w:p>
    <w:p>
      <w:pPr>
        <w:ind w:left="880" w:right="280" w:hanging="427"/>
        <w:spacing w:after="0" w:line="256" w:lineRule="auto"/>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may subordinate the rights of holders of Class A ordinary shares if preferred shares are issued with rights senior to those afforded our Class A ordinary shares;</w:t>
      </w:r>
    </w:p>
    <w:p>
      <w:pPr>
        <w:spacing w:after="0" w:line="1" w:lineRule="exact"/>
        <w:rPr>
          <w:rFonts w:ascii="MS PGothic" w:cs="MS PGothic" w:eastAsia="MS PGothic" w:hAnsi="MS PGothic"/>
          <w:sz w:val="13"/>
          <w:szCs w:val="13"/>
          <w:color w:val="auto"/>
        </w:rPr>
      </w:pPr>
    </w:p>
    <w:p>
      <w:pPr>
        <w:ind w:left="880" w:right="40" w:hanging="427"/>
        <w:spacing w:after="0" w:line="248" w:lineRule="auto"/>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may adversely affect prevailing market prices for our units, Class A ordinary shares and/or warrants.</w:t>
      </w:r>
    </w:p>
    <w:p>
      <w:pPr>
        <w:spacing w:after="0" w:line="75" w:lineRule="exact"/>
        <w:rPr>
          <w:sz w:val="20"/>
          <w:szCs w:val="20"/>
          <w:color w:val="auto"/>
        </w:rPr>
      </w:pPr>
    </w:p>
    <w:p>
      <w:pPr>
        <w:ind w:right="420"/>
        <w:spacing w:after="0" w:line="260" w:lineRule="auto"/>
        <w:rPr>
          <w:sz w:val="20"/>
          <w:szCs w:val="20"/>
          <w:color w:val="auto"/>
        </w:rPr>
      </w:pPr>
      <w:r>
        <w:rPr>
          <w:rFonts w:ascii="Arial" w:cs="Arial" w:eastAsia="Arial" w:hAnsi="Arial"/>
          <w:sz w:val="17"/>
          <w:szCs w:val="17"/>
          <w:b w:val="1"/>
          <w:bCs w:val="1"/>
          <w:i w:val="1"/>
          <w:iCs w:val="1"/>
          <w:color w:val="auto"/>
        </w:rPr>
        <w:t>Unlike some other similarly structured special purpose acquisition companies, our initial shareholders will receive additional Class A ordinary shares if we issue certain shares to consummate an initial business combination.</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 xml:space="preserve">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officers or directors upon conversion of working capital loans;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conversion of founder shares will never occur on a less than one-for-one basis.</w:t>
      </w:r>
    </w:p>
    <w:p>
      <w:pPr>
        <w:spacing w:after="0" w:line="4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42" w:lineRule="exact"/>
        <w:rPr>
          <w:sz w:val="20"/>
          <w:szCs w:val="20"/>
          <w:color w:val="auto"/>
        </w:rPr>
      </w:pPr>
    </w:p>
    <w:p>
      <w:pPr>
        <w:ind w:right="1120"/>
        <w:spacing w:after="0" w:line="260" w:lineRule="auto"/>
        <w:rPr>
          <w:sz w:val="20"/>
          <w:szCs w:val="20"/>
          <w:color w:val="auto"/>
        </w:rPr>
      </w:pPr>
      <w:r>
        <w:rPr>
          <w:rFonts w:ascii="Arial" w:cs="Arial" w:eastAsia="Arial" w:hAnsi="Arial"/>
          <w:sz w:val="17"/>
          <w:szCs w:val="17"/>
          <w:b w:val="1"/>
          <w:bCs w:val="1"/>
          <w:i w:val="1"/>
          <w:iCs w:val="1"/>
          <w:color w:val="auto"/>
        </w:rPr>
        <w:t>We may be a passive foreign investment company, or “PFIC,” which could result in adverse United States federal income tax consequences to U.S. investors.</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captioned “Taxation—United States Federal Income Tax Considerations—U.S. Holders”)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w:t>
      </w:r>
      <w:r>
        <w:rPr>
          <w:rFonts w:ascii="Arial" w:cs="Arial" w:eastAsia="Arial" w:hAnsi="Arial"/>
          <w:sz w:val="17"/>
          <w:szCs w:val="17"/>
          <w:i w:val="1"/>
          <w:iCs w:val="1"/>
          <w:color w:val="auto"/>
        </w:rPr>
        <w:t>Taxation—United States Federal Income Tax Considerations—U.S. Holders—Passive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455"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Foreign Investment Company Rules</w:t>
      </w:r>
      <w:r>
        <w:rPr>
          <w:rFonts w:ascii="Arial" w:cs="Arial" w:eastAsia="Arial" w:hAnsi="Arial"/>
          <w:sz w:val="17"/>
          <w:szCs w:val="17"/>
          <w:color w:val="auto"/>
        </w:rPr>
        <w:t>”). Depending on the particular circumstances the application of the start-up exception may be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w:t>
      </w:r>
      <w:r>
        <w:rPr>
          <w:rFonts w:ascii="Arial" w:cs="Arial" w:eastAsia="Arial" w:hAnsi="Arial"/>
          <w:sz w:val="17"/>
          <w:szCs w:val="17"/>
          <w:b w:val="1"/>
          <w:bCs w:val="1"/>
          <w:color w:val="auto"/>
        </w:rPr>
        <w:t>IRS</w:t>
      </w:r>
      <w:r>
        <w:rPr>
          <w:rFonts w:ascii="Arial" w:cs="Arial" w:eastAsia="Arial" w:hAnsi="Arial"/>
          <w:sz w:val="17"/>
          <w:szCs w:val="17"/>
          <w:color w:val="auto"/>
        </w:rPr>
        <w:t>”)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 For a more detailed explanation of the tax consequences of PFIC classification to U.S. Holders, see the section of this prospectus captioned “</w:t>
      </w:r>
      <w:r>
        <w:rPr>
          <w:rFonts w:ascii="Arial" w:cs="Arial" w:eastAsia="Arial" w:hAnsi="Arial"/>
          <w:sz w:val="17"/>
          <w:szCs w:val="17"/>
          <w:i w:val="1"/>
          <w:iCs w:val="1"/>
          <w:color w:val="auto"/>
        </w:rPr>
        <w:t>Taxation—United States Federal Income Tax Considerations—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U.S. Holders—Passive Foreign Investment Company Rules</w:t>
      </w:r>
      <w:r>
        <w:rPr>
          <w:rFonts w:ascii="Arial" w:cs="Arial" w:eastAsia="Arial" w:hAnsi="Arial"/>
          <w:sz w:val="17"/>
          <w:szCs w:val="17"/>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investment in this offering may result in uncertain U.S. federal income tax consequences.</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Class A ordinary shares and the one-half of a warrant to purchase one Class A ordinary share included in each unit could be challenged by the IRS or courts. In addition, the U.S. federal income tax consequences of a cashless exercise of warrants included in the units we are issuing in this offering is unclear under current law. Finally, it is unclear whether the redemption rights with respect to our ordinary shares suspend the running of a U.S. Holder’s (as defined in section titled “Taxation—United States Federal Income Tax Consideration—U.S. Holders”) holding period for purposes of determining whether any gain or loss realized by such holder on the sale or exchange of Class A ordinary shares is long-term capital gain or loss and for determining whether any dividend we pay would be considered “qualified dividend income” for U.S. federal income tax purposes. See the section titled “Taxation—United States Federal Income Tax Considerations” for a summary of the U.S. federal income tax considerations of an investment in our securities. Prospective investors are urged to consult their tax advisors with respect to these and other tax consequences when acquiring, owning or disposing of our securities.</w:t>
      </w:r>
    </w:p>
    <w:p>
      <w:pPr>
        <w:spacing w:after="0" w:line="44"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b w:val="1"/>
          <w:bCs w:val="1"/>
          <w:i w:val="1"/>
          <w:iCs w:val="1"/>
          <w:color w:val="auto"/>
        </w:rPr>
        <w:t>We may reincorporate in another jurisdiction in connection with our initial business combination and such reincorporation may result in taxes imposed on shareholders.</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in connection with our initial business combination and subject to requisite shareholder approval by special resolution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45"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b w:val="1"/>
          <w:bCs w:val="1"/>
          <w:i w:val="1"/>
          <w:i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upon our officers and directors and their loss could adversely affect our ability to operate.</w:t>
      </w:r>
    </w:p>
    <w:p>
      <w:pPr>
        <w:spacing w:after="0" w:line="4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20"/>
          </w:cols>
          <w:pgMar w:left="320" w:top="455" w:right="3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29"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Cayman Islands law.</w:t>
      </w:r>
    </w:p>
    <w:p>
      <w:pPr>
        <w:spacing w:after="0" w:line="29"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29"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b w:val="1"/>
          <w:bCs w:val="1"/>
          <w:i w:val="1"/>
          <w:i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455"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w:t>
      </w:r>
      <w:r>
        <w:rPr>
          <w:rFonts w:ascii="Arial" w:cs="Arial" w:eastAsia="Arial" w:hAnsi="Arial"/>
          <w:sz w:val="17"/>
          <w:szCs w:val="17"/>
          <w:i w:val="1"/>
          <w:iCs w:val="1"/>
          <w:color w:val="auto"/>
        </w:rPr>
        <w:t>Management—Officers, Directors and Director Nominees</w:t>
      </w:r>
      <w:r>
        <w:rPr>
          <w:rFonts w:ascii="Arial" w:cs="Arial" w:eastAsia="Arial" w:hAnsi="Arial"/>
          <w:sz w:val="17"/>
          <w:szCs w:val="17"/>
          <w:color w:val="auto"/>
        </w:rPr>
        <w:t>.”</w:t>
      </w:r>
    </w:p>
    <w:p>
      <w:pPr>
        <w:spacing w:after="0" w:line="33"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b w:val="1"/>
          <w:bCs w:val="1"/>
          <w:i w:val="1"/>
          <w:i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entities.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22"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For a complete discussion of our officers’ and directors’ business affiliations and the potential conflicts of interest that you should be aware of, please see “</w:t>
      </w:r>
      <w:r>
        <w:rPr>
          <w:rFonts w:ascii="Arial" w:cs="Arial" w:eastAsia="Arial" w:hAnsi="Arial"/>
          <w:sz w:val="17"/>
          <w:szCs w:val="17"/>
          <w:i w:val="1"/>
          <w:iCs w:val="1"/>
          <w:color w:val="auto"/>
        </w:rPr>
        <w:t>Management—Officers, Directors and Director Nominees</w:t>
      </w:r>
      <w:r>
        <w:rPr>
          <w:rFonts w:ascii="Arial" w:cs="Arial" w:eastAsia="Arial" w:hAnsi="Arial"/>
          <w:sz w:val="17"/>
          <w:szCs w:val="17"/>
          <w:color w:val="auto"/>
        </w:rPr>
        <w:t>,” “</w:t>
      </w:r>
      <w:r>
        <w:rPr>
          <w:rFonts w:ascii="Arial" w:cs="Arial" w:eastAsia="Arial" w:hAnsi="Arial"/>
          <w:sz w:val="17"/>
          <w:szCs w:val="17"/>
          <w:i w:val="1"/>
          <w:iCs w:val="1"/>
          <w:color w:val="auto"/>
        </w:rPr>
        <w:t>Management—Conflicts of Interest</w:t>
      </w:r>
      <w:r>
        <w:rPr>
          <w:rFonts w:ascii="Arial" w:cs="Arial" w:eastAsia="Arial" w:hAnsi="Arial"/>
          <w:sz w:val="17"/>
          <w:szCs w:val="17"/>
          <w:color w:val="auto"/>
        </w:rPr>
        <w:t>” and “</w:t>
      </w:r>
      <w:r>
        <w:rPr>
          <w:rFonts w:ascii="Arial" w:cs="Arial" w:eastAsia="Arial" w:hAnsi="Arial"/>
          <w:sz w:val="17"/>
          <w:szCs w:val="17"/>
          <w:i w:val="1"/>
          <w:iCs w:val="1"/>
          <w:color w:val="auto"/>
        </w:rPr>
        <w:t>Certain Relationships and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p>
    <w:p>
      <w:pPr>
        <w:spacing w:after="0" w:line="18" w:lineRule="exact"/>
        <w:rPr>
          <w:sz w:val="20"/>
          <w:szCs w:val="20"/>
          <w:color w:val="auto"/>
        </w:rPr>
      </w:pPr>
    </w:p>
    <w:p>
      <w:pPr>
        <w:ind w:right="460"/>
        <w:spacing w:after="0" w:line="262" w:lineRule="auto"/>
        <w:rPr>
          <w:sz w:val="20"/>
          <w:szCs w:val="20"/>
          <w:color w:val="auto"/>
        </w:rPr>
      </w:pPr>
      <w:r>
        <w:rPr>
          <w:rFonts w:ascii="Arial" w:cs="Arial" w:eastAsia="Arial" w:hAnsi="Arial"/>
          <w:sz w:val="17"/>
          <w:szCs w:val="17"/>
          <w:b w:val="1"/>
          <w:bCs w:val="1"/>
          <w:i w:val="1"/>
          <w:iCs w:val="1"/>
          <w:color w:val="auto"/>
        </w:rPr>
        <w:t>Our officers, directors, security holders and their respective affiliates may have competitive pecuniary interests that conflict with our interests.</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2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455"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60"/>
        <w:spacing w:after="0" w:line="253" w:lineRule="auto"/>
        <w:rPr>
          <w:sz w:val="20"/>
          <w:szCs w:val="20"/>
          <w:color w:val="auto"/>
        </w:rPr>
      </w:pPr>
      <w:r>
        <w:rPr>
          <w:rFonts w:ascii="Arial" w:cs="Arial" w:eastAsia="Arial" w:hAnsi="Arial"/>
          <w:sz w:val="17"/>
          <w:szCs w:val="17"/>
          <w:color w:val="auto"/>
        </w:rPr>
        <w:t>shareholders’ rights. See the section titled “</w:t>
      </w:r>
      <w:r>
        <w:rPr>
          <w:rFonts w:ascii="Arial" w:cs="Arial" w:eastAsia="Arial" w:hAnsi="Arial"/>
          <w:sz w:val="17"/>
          <w:szCs w:val="17"/>
          <w:i w:val="1"/>
          <w:iCs w:val="1"/>
          <w:color w:val="auto"/>
        </w:rPr>
        <w:t>Description of Securities—Certain Differences in Corporate Law—Shareholder Suits</w:t>
      </w:r>
      <w:r>
        <w:rPr>
          <w:rFonts w:ascii="Arial" w:cs="Arial" w:eastAsia="Arial" w:hAnsi="Arial"/>
          <w:sz w:val="17"/>
          <w:szCs w:val="17"/>
          <w:color w:val="auto"/>
        </w:rPr>
        <w:t>” for further information on the ability to bring such claims. However, we might not ultimately be successful in any claim we may make against them for such reason.</w:t>
      </w:r>
    </w:p>
    <w:p>
      <w:pPr>
        <w:spacing w:after="0" w:line="3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i w:val="1"/>
          <w:iCs w:val="1"/>
          <w:color w:val="auto"/>
        </w:rPr>
        <w:t>We may engage in a business combination with one or more target businesses that have relationships with entities that may be affiliated with our sponsor, officers, directors or existing holders which may raise potential conflicts of interest.</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directors or existing holders. Our directors also serve as officers and board members for other entities, including, without limitation, those described under “Management—Conflicts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Business—Effecting our initial business combination—Selection of a target business and structuring of our initial business combination”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officers, directors or existing holders, potential conflicts of interest still may exist and, as a result, the terms of the business combination may not be as advantageous to our public shareholders as they would be absent any conflicts of interest.</w:t>
      </w:r>
    </w:p>
    <w:p>
      <w:pPr>
        <w:spacing w:after="0" w:line="51" w:lineRule="exact"/>
        <w:rPr>
          <w:sz w:val="20"/>
          <w:szCs w:val="20"/>
          <w:color w:val="auto"/>
        </w:rPr>
      </w:pPr>
    </w:p>
    <w:p>
      <w:pPr>
        <w:jc w:val="both"/>
        <w:ind w:right="40"/>
        <w:spacing w:after="0" w:line="251" w:lineRule="auto"/>
        <w:rPr>
          <w:sz w:val="20"/>
          <w:szCs w:val="20"/>
          <w:color w:val="auto"/>
        </w:rPr>
      </w:pPr>
      <w:r>
        <w:rPr>
          <w:rFonts w:ascii="Arial" w:cs="Arial" w:eastAsia="Arial" w:hAnsi="Arial"/>
          <w:sz w:val="17"/>
          <w:szCs w:val="17"/>
          <w:b w:val="1"/>
          <w:bCs w:val="1"/>
          <w:i w:val="1"/>
          <w:iCs w:val="1"/>
          <w:color w:val="auto"/>
        </w:rPr>
        <w:t>Since our sponsor,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On August 3, 2020, our sponsor paid $25,000, or approximately $0.004 per share, to cover certain of our offering and formation costs in exchange for 5,750,000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 founder shares will be surrendered for no consideration depending on the extent to which the underwriters’ over-allotment is exercised. The founder shares will be worthless if we do not complete an initial business combination. In addition, our sponsor has committed to purchase an aggregate of 6,000,000 private placement warrants (or 6,600,000 warrants if the underwriters’ over-allotment option is exercised in full) for an aggregate purchase price of $6,000,000 (or $6,600,000 if the underwriters’ over-allotment option is exercised in full), or $1.00 per warrant. The private placement warrants will also be worthless if we do not complete our initial business combination.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completion of an initial business combination.</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80"/>
          </w:cols>
          <w:pgMar w:left="320" w:top="455" w:right="39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680"/>
        <w:spacing w:after="0" w:line="262"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63" w:lineRule="exact"/>
        <w:rPr>
          <w:sz w:val="20"/>
          <w:szCs w:val="20"/>
          <w:color w:val="auto"/>
        </w:rPr>
      </w:pPr>
    </w:p>
    <w:p>
      <w:pPr>
        <w:ind w:left="880" w:right="340" w:hanging="427"/>
        <w:spacing w:after="0" w:line="257" w:lineRule="auto"/>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default and foreclosure on our assets if our operating revenues after an initial business combination are insufficient to repay our debt obligations;</w:t>
      </w:r>
    </w:p>
    <w:p>
      <w:pPr>
        <w:spacing w:after="0" w:line="1"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our immediate payment of all principal and accrued interest, if any, if the debt security is payable on demand;</w:t>
      </w:r>
    </w:p>
    <w:p>
      <w:pPr>
        <w:spacing w:after="0" w:line="34" w:lineRule="exact"/>
        <w:rPr>
          <w:rFonts w:ascii="MS PGothic" w:cs="MS PGothic" w:eastAsia="MS PGothic" w:hAnsi="MS PGothic"/>
          <w:sz w:val="13"/>
          <w:szCs w:val="13"/>
          <w:color w:val="auto"/>
        </w:rPr>
      </w:pPr>
    </w:p>
    <w:p>
      <w:pPr>
        <w:ind w:left="880" w:right="80" w:hanging="427"/>
        <w:spacing w:after="0" w:line="256" w:lineRule="auto"/>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our inability to pay dividends on our Class A ordinary shares;</w:t>
      </w:r>
    </w:p>
    <w:p>
      <w:pPr>
        <w:spacing w:after="0" w:line="34" w:lineRule="exact"/>
        <w:rPr>
          <w:rFonts w:ascii="MS PGothic" w:cs="MS PGothic" w:eastAsia="MS PGothic" w:hAnsi="MS PGothic"/>
          <w:sz w:val="13"/>
          <w:szCs w:val="13"/>
          <w:color w:val="auto"/>
        </w:rPr>
      </w:pPr>
    </w:p>
    <w:p>
      <w:pPr>
        <w:ind w:left="880" w:right="180" w:hanging="427"/>
        <w:spacing w:after="0" w:line="256" w:lineRule="auto"/>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limitations on our flexibility in planning for and reacting to changes in our business and in the industry in which we operate;</w:t>
      </w:r>
    </w:p>
    <w:p>
      <w:pPr>
        <w:spacing w:after="0" w:line="34" w:lineRule="exact"/>
        <w:rPr>
          <w:rFonts w:ascii="MS PGothic" w:cs="MS PGothic" w:eastAsia="MS PGothic" w:hAnsi="MS PGothic"/>
          <w:sz w:val="13"/>
          <w:szCs w:val="13"/>
          <w:color w:val="auto"/>
        </w:rPr>
      </w:pPr>
    </w:p>
    <w:p>
      <w:pPr>
        <w:ind w:left="880" w:right="920" w:hanging="427"/>
        <w:spacing w:after="0" w:line="256" w:lineRule="auto"/>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increased vulnerability to adverse changes in general economic, industry and competitive conditions and adverse changes in government regulation; and</w:t>
      </w:r>
    </w:p>
    <w:p>
      <w:pPr>
        <w:spacing w:after="0" w:line="1" w:lineRule="exact"/>
        <w:rPr>
          <w:rFonts w:ascii="MS PGothic" w:cs="MS PGothic" w:eastAsia="MS PGothic" w:hAnsi="MS PGothic"/>
          <w:sz w:val="13"/>
          <w:szCs w:val="13"/>
          <w:color w:val="auto"/>
        </w:rPr>
      </w:pPr>
    </w:p>
    <w:p>
      <w:pPr>
        <w:ind w:left="880" w:right="580" w:hanging="427"/>
        <w:spacing w:after="0" w:line="273" w:lineRule="auto"/>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 w:lineRule="exact"/>
        <w:rPr>
          <w:sz w:val="20"/>
          <w:szCs w:val="20"/>
          <w:color w:val="auto"/>
        </w:rPr>
      </w:pPr>
    </w:p>
    <w:p>
      <w:pPr>
        <w:spacing w:after="0" w:line="242" w:lineRule="auto"/>
        <w:rPr>
          <w:sz w:val="20"/>
          <w:szCs w:val="20"/>
          <w:color w:val="auto"/>
        </w:rPr>
      </w:pPr>
      <w:r>
        <w:rPr>
          <w:rFonts w:ascii="Arial" w:cs="Arial" w:eastAsia="Arial" w:hAnsi="Arial"/>
          <w:sz w:val="17"/>
          <w:szCs w:val="17"/>
          <w:b w:val="1"/>
          <w:bCs w:val="1"/>
          <w:i w:val="1"/>
          <w:i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 The net proceeds from this offering and the private placement of warrants will provide us with $193,000,000 (or $221,950,000 if the underwriters’ over-allotment option is exercised in full) that we may use to complete our initial business combination (after taking into account the $7,000,000, or up to $8,050,000 if the over-allotment option is exercised in full, of deferred underwriting commissions being held in the trust account).</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66" w:lineRule="exact"/>
        <w:rPr>
          <w:sz w:val="20"/>
          <w:szCs w:val="20"/>
          <w:color w:val="auto"/>
        </w:rPr>
      </w:pPr>
    </w:p>
    <w:p>
      <w:pPr>
        <w:ind w:left="880" w:hanging="427"/>
        <w:spacing w:after="0"/>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solely dependent upon the performance of a single business, property or asset, or</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dependent upon the development or market acceptance of a single or limited number of products, processes or services.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320" w:top="455" w:right="3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3" w:lineRule="exact"/>
        <w:rPr>
          <w:sz w:val="20"/>
          <w:szCs w:val="20"/>
          <w:color w:val="auto"/>
        </w:rPr>
      </w:pPr>
    </w:p>
    <w:p>
      <w:pPr>
        <w:jc w:val="both"/>
        <w:ind w:right="340"/>
        <w:spacing w:after="0" w:line="251" w:lineRule="auto"/>
        <w:rPr>
          <w:sz w:val="20"/>
          <w:szCs w:val="20"/>
          <w:color w:val="auto"/>
        </w:rPr>
      </w:pPr>
      <w:r>
        <w:rPr>
          <w:rFonts w:ascii="Arial" w:cs="Arial" w:eastAsia="Arial" w:hAnsi="Arial"/>
          <w:sz w:val="17"/>
          <w:szCs w:val="17"/>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42"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4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may structure our initial business combination so that the post-transaction company in which our public shareholders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shares or other equity interests of a target. In this case, we would acquire a 100% interest in the target. However, as a result of the issuance of a substantial number of new Class A ordinary shares, our 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51"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b w:val="1"/>
          <w:bCs w:val="1"/>
          <w:i w:val="1"/>
          <w:i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ind w:firstLine="8"/>
        <w:spacing w:after="0"/>
        <w:tabs>
          <w:tab w:leader="none" w:pos="2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retention of cash to satisfy other conditions.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20"/>
          </w:cols>
          <w:pgMar w:left="320" w:top="455" w:right="3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44"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b w:val="1"/>
          <w:bCs w:val="1"/>
          <w:i w:val="1"/>
          <w:i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our shareholders may not support.</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memorandum and articles of association will require a special resolution under Cayman Islands law, being the affirmative vote of a majority of at least two-thirds of the shareholders who attend and vote at a general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then outstanding private placement warrants. In addition, our amended and restated memorandum and articles of association requires us to provide our public shareholders with the opportunity to redeem their public shares for cash if we propose an amendment to our amended and restated memorandum and articles of association (A) to modify the substance or timing of our obligation to allow redemption in connection with our initial business combination or to redeem 100% of our public shares if we do not complete an initial business combination within 24 months of the closing of this offering or (B) with respect to any other material provisions relating to shareholders’ rights or pre-initial business combination activity. To the extent any of such amendments would be deemed to fundamentally change the nature of the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49" w:lineRule="exact"/>
        <w:rPr>
          <w:sz w:val="20"/>
          <w:szCs w:val="20"/>
          <w:color w:val="auto"/>
        </w:rPr>
      </w:pPr>
    </w:p>
    <w:p>
      <w:pPr>
        <w:ind w:right="20"/>
        <w:spacing w:after="0"/>
        <w:rPr>
          <w:sz w:val="20"/>
          <w:szCs w:val="20"/>
          <w:color w:val="auto"/>
        </w:rPr>
      </w:pPr>
      <w:r>
        <w:rPr>
          <w:rFonts w:ascii="Arial" w:cs="Arial" w:eastAsia="Arial" w:hAnsi="Arial"/>
          <w:sz w:val="17"/>
          <w:szCs w:val="17"/>
          <w:b w:val="1"/>
          <w:bCs w:val="1"/>
          <w:i w:val="1"/>
          <w:i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not less than two-thirds of our ordinary shares who attend and vote at a general meeting of the company (or 65% of our ordinary shares with respect to amendments to the trust agreement governing the release of funds from our trust account), which is a lower amendment threshold than that of some other special purpose acquisition companies. It may be easier for us, therefore, to amend our amended and restated memorandum and articles of association to facilitate the completion of an initial business combination that some of our shareholders may not support.</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Our amended and restated memorandum and articles of association provide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shareholders as described herein) may be amended if approved by special resolution, under Cayman Islands law being the affirmative vote of a majority of at least two-thirds of the shareholders who attend and vote at a general meeting of the company, and corresponding provisions of the trust agreement governing the release of funds from our trust account may be amended if approved by holders of 65% of our ordinary shares. Our initial shareholders, who will collectively beneficially own 20% of our ordinary shares upon the closing of this offering (assuming they do not purchase any units in this offering), will participate in any vote to amend our amended and restated memorandum and articles of association and/or trust agreement and will have the discretion to vote in any manner they choose. As a result, we may be able to amend the provisions of our amended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455" w:right="3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and restated memorandum and articles of association which govern our pre-business combination behavior more easily than some other special purpose acquisition companies, and this may increase our ability to complete a business combination with which you do not agree. Our shareholders may pursue remedies against us for any breach of our amended and restated memorandum and articles of association.</w:t>
      </w:r>
    </w:p>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sponsor, officers, directors and director nominees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shareholders are not parties to, or third-party beneficiaries of, these agreements and, as a result, will not have the ability to pursue remedies against our sponsor, officers, directors or director nominees for any breach of these agreements. As a result, in the event of a breach, our shareholders would need to pursue a shareholder derivative action, subject to applicable law.</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letter agreement with our sponsor, officers and directors may be amended without shareholder approval.</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letter agreement with our sponsor, officers and directors contain provisions relating to transfer restrictions of our founder shares and private placement warrants, indemnification of the trust account, waiver of redemption rights and participation in liquidating distributions from the trust account. The letter agreement may be amended without shareholder approval (although releasing the parties from the restriction not to transfer the founder shares for 185 days following the date of this prospectus will require the prior written consent of the underwriters).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42"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 xml:space="preserve">We have not selected any specific business combination target but intend to target businesses with enterprise values that are greater than we could acquire with the net proceeds of this offering and the sale of the private placement warrants. As a result, if the cash portion of the purchase price exceeds the amount available from the trust account, net of amounts needed to satisfy any redemption by public shareholders,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455"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b w:val="1"/>
          <w:bCs w:val="1"/>
          <w:i w:val="1"/>
          <w:iCs w:val="1"/>
          <w:color w:val="auto"/>
        </w:rPr>
        <w:t>Our initial shareholders control a substantial interest in us and thus may exert a substantial influence on actions requiring a shareholder vote, potentially in a manner that you do not support.</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Upon closing of this offering, our initial shareholders will own 20% of our issued and outstanding ordinary shares (assuming they do not purchase any units in this offering). Accordingly, they may exert a substantial influence on actions requiring a shareholder vote, potentially in a manner that you do not support, including amendments to our amended and restated memorandum and articles of association. If our initial shareholders purchase any units in this offering or if our initial shareholders purchase any additional Class A ordinary shares in the aftermarket or in privately negotiated transactions, this would increase their control. Neither our initial shareholders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appointed by our sponsor, is and will be divided into three classes, each of which will generally serve for a term for three years with only one class of directors being appointed in each year. We may not hold an annual or extraordinary general meeting to appoint new directors prior to the completion of our initial business combination, in which case all of the current directors will continue in office until at least the completion of the business combination. If there is an annual general meeting, as a consequence of our “staggered” board of directors, only a minority of the board of directors will be considered for appointment and our initial shareholders, because of their ownership position, will have considerable influence regarding the outcome. Accordingly, our initial shareholders will continue to exert control at least until the completion of our initial business combination.</w:t>
      </w:r>
    </w:p>
    <w:p>
      <w:pPr>
        <w:spacing w:after="0" w:line="36"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b w:val="1"/>
          <w:bCs w:val="1"/>
          <w:i w:val="1"/>
          <w:iCs w:val="1"/>
          <w:color w:val="auto"/>
        </w:rPr>
        <w:t>Our initial shareholders paid an aggregate of $25,000, or approximately $0.004 per founder share and, accordingly, you will experience immediate and substantial dilution from the purchase of our Class A ordinary shares.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The difference between the public offering price per share (allocating all of the unit purchase price to the Class A ordinary share and none to the warrant included in the unit) and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of our Class A ordinary shares after this offering constitutes the dilution to you and the other investors in this offering. Our initial shareholders acquired the founder shares at a nominal price, significantly contributing to this dilution. Upon closing of this offering, and assuming no value is ascribed to the warrants included in the units, you and the other public shareholders will incur an immediate and substantial dilution of approximately 91.8% (or $9.18 per share, assuming no exercise of the underwriters’ over-allotment option), the difference between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after this offering of $0.82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In addition, because of the anti-dilution protection in the founder shares, any equity or equity-linked securities issued in connection with our initial business combination would be disproportionately dilutive to our Class A ordinary shares.</w:t>
      </w:r>
    </w:p>
    <w:p>
      <w:pPr>
        <w:spacing w:after="0" w:line="34"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Class A ordinary shares purchasable upon exercise of a warrant could be decreased, all without your approval.</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for the purpose of</w:t>
      </w:r>
    </w:p>
    <w:p>
      <w:pPr>
        <w:spacing w:after="0" w:line="1" w:lineRule="exact"/>
        <w:rPr>
          <w:sz w:val="20"/>
          <w:szCs w:val="20"/>
          <w:color w:val="auto"/>
        </w:rPr>
      </w:pPr>
    </w:p>
    <w:p>
      <w:pPr>
        <w:ind w:right="20" w:firstLine="8"/>
        <w:spacing w:after="0" w:line="234" w:lineRule="auto"/>
        <w:tabs>
          <w:tab w:leader="none" w:pos="199"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curing any ambiguity or to correct any defective provision or mistake, including to conform the provisions of the warrant agreement to the description of the terms of the warrants and the warrant agreement set forth in this prospectus,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Class A ordinary shares purchasable upon exercise of a warrant.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20"/>
          </w:cols>
          <w:pgMar w:left="320" w:top="455" w:right="3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both"/>
        <w:ind w:right="240"/>
        <w:spacing w:after="0" w:line="252" w:lineRule="auto"/>
        <w:rPr>
          <w:sz w:val="20"/>
          <w:szCs w:val="20"/>
          <w:color w:val="auto"/>
        </w:rPr>
      </w:pPr>
      <w:r>
        <w:rPr>
          <w:rFonts w:ascii="Arial" w:cs="Arial" w:eastAsia="Arial" w:hAnsi="Arial"/>
          <w:sz w:val="17"/>
          <w:szCs w:val="17"/>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Exchange Act or any other claim for which the federal district courts of the United States of America are the sole and exclusive forum. Any person or</w:t>
      </w:r>
    </w:p>
    <w:p>
      <w:pPr>
        <w:spacing w:after="0" w:line="232" w:lineRule="auto"/>
        <w:rPr>
          <w:sz w:val="20"/>
          <w:szCs w:val="20"/>
          <w:color w:val="auto"/>
        </w:rPr>
      </w:pPr>
      <w:r>
        <w:rPr>
          <w:rFonts w:ascii="Arial" w:cs="Arial" w:eastAsia="Arial" w:hAnsi="Arial"/>
          <w:sz w:val="17"/>
          <w:szCs w:val="17"/>
          <w:color w:val="auto"/>
        </w:rPr>
        <w:t>entity purchasing or otherwise acquiring any interest in any of our warrants shall be deemed to have notice of and to have consented to the forum</w:t>
      </w:r>
    </w:p>
    <w:p>
      <w:pPr>
        <w:spacing w:after="0" w:line="232" w:lineRule="auto"/>
        <w:rPr>
          <w:sz w:val="20"/>
          <w:szCs w:val="20"/>
          <w:color w:val="auto"/>
        </w:rPr>
      </w:pPr>
      <w:r>
        <w:rPr>
          <w:rFonts w:ascii="Arial" w:cs="Arial" w:eastAsia="Arial" w:hAnsi="Arial"/>
          <w:sz w:val="17"/>
          <w:szCs w:val="17"/>
          <w:color w:val="auto"/>
        </w:rPr>
        <w:t>provisions in our warrant agreement. If any action, the subject matter of which is within the scope the forum provisions of the warrant agreement, is</w:t>
      </w:r>
    </w:p>
    <w:p>
      <w:pPr>
        <w:spacing w:after="0" w:line="232" w:lineRule="auto"/>
        <w:rPr>
          <w:sz w:val="20"/>
          <w:szCs w:val="20"/>
          <w:color w:val="auto"/>
        </w:rPr>
      </w:pPr>
      <w:r>
        <w:rPr>
          <w:rFonts w:ascii="Arial" w:cs="Arial" w:eastAsia="Arial" w:hAnsi="Arial"/>
          <w:sz w:val="17"/>
          <w:szCs w:val="17"/>
          <w:color w:val="auto"/>
        </w:rPr>
        <w:t>filed in a court other than a court of the State of New York or the United States District Court for the Southern District of New York (a “</w:t>
      </w:r>
      <w:r>
        <w:rPr>
          <w:rFonts w:ascii="Arial" w:cs="Arial" w:eastAsia="Arial" w:hAnsi="Arial"/>
          <w:sz w:val="17"/>
          <w:szCs w:val="17"/>
          <w:b w:val="1"/>
          <w:bCs w:val="1"/>
          <w:color w:val="auto"/>
        </w:rPr>
        <w:t>foreign</w:t>
      </w:r>
    </w:p>
    <w:p>
      <w:pPr>
        <w:spacing w:after="0" w:line="232" w:lineRule="auto"/>
        <w:rPr>
          <w:sz w:val="20"/>
          <w:szCs w:val="20"/>
          <w:color w:val="auto"/>
        </w:rPr>
      </w:pPr>
      <w:r>
        <w:rPr>
          <w:rFonts w:ascii="Arial" w:cs="Arial" w:eastAsia="Arial" w:hAnsi="Arial"/>
          <w:sz w:val="17"/>
          <w:szCs w:val="17"/>
          <w:b w:val="1"/>
          <w:bCs w:val="1"/>
          <w:color w:val="auto"/>
        </w:rPr>
        <w:t>action</w:t>
      </w:r>
      <w:r>
        <w:rPr>
          <w:rFonts w:ascii="Arial" w:cs="Arial" w:eastAsia="Arial" w:hAnsi="Arial"/>
          <w:sz w:val="17"/>
          <w:szCs w:val="17"/>
          <w:color w:val="auto"/>
        </w:rPr>
        <w:t>”) in the name of any holder of our warrants, such holder shall be deemed to have consented to: (x) the personal jurisdiction of the state and</w:t>
      </w:r>
    </w:p>
    <w:p>
      <w:pPr>
        <w:spacing w:after="0" w:line="232" w:lineRule="auto"/>
        <w:rPr>
          <w:sz w:val="20"/>
          <w:szCs w:val="20"/>
          <w:color w:val="auto"/>
        </w:rPr>
      </w:pPr>
      <w:r>
        <w:rPr>
          <w:rFonts w:ascii="Arial" w:cs="Arial" w:eastAsia="Arial" w:hAnsi="Arial"/>
          <w:sz w:val="17"/>
          <w:szCs w:val="17"/>
          <w:color w:val="auto"/>
        </w:rPr>
        <w:t>federal courts located in the State of New York in connection with any action brought in any such court to enforce the forum provisions (an</w:t>
      </w:r>
    </w:p>
    <w:p>
      <w:pPr>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enforcement action</w:t>
      </w:r>
      <w:r>
        <w:rPr>
          <w:rFonts w:ascii="Arial" w:cs="Arial" w:eastAsia="Arial" w:hAnsi="Arial"/>
          <w:sz w:val="17"/>
          <w:szCs w:val="17"/>
          <w:color w:val="auto"/>
        </w:rPr>
        <w:t>”), and (y) having service of process made upon such warrant holder in any such enforcement action by service upon such</w:t>
      </w:r>
    </w:p>
    <w:p>
      <w:pPr>
        <w:spacing w:after="0"/>
        <w:rPr>
          <w:sz w:val="20"/>
          <w:szCs w:val="20"/>
          <w:color w:val="auto"/>
        </w:rPr>
      </w:pPr>
      <w:r>
        <w:rPr>
          <w:rFonts w:ascii="Arial" w:cs="Arial" w:eastAsia="Arial" w:hAnsi="Arial"/>
          <w:sz w:val="17"/>
          <w:szCs w:val="17"/>
          <w:color w:val="auto"/>
        </w:rPr>
        <w:t>warrant holder’s counsel in the foreign action as agent for such warrant holder.</w:t>
      </w:r>
    </w:p>
    <w:p>
      <w:pPr>
        <w:spacing w:after="0" w:line="134"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provision of our warrant agreement may make it more difficult for us to consummate an initial business combination.</w:t>
      </w:r>
    </w:p>
    <w:p>
      <w:pPr>
        <w:spacing w:after="0" w:line="4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(i) we issue additional ordinary shares or equity-linked securities for capital raising purposes in connection with the closing of our initial business combination at a Newly Issued Price of less than $9.20 per Class A ordinary share, (ii) the aggregate gross proceeds from such issuances represent more than 60% of the total equity proceeds, and interest thereon, available for the funding of our initial business combination, and (iii) the Market Value of our Class A ordinary shares is below $9.20 per share, then the exercise price of the warrants will be adjusted (to the nearest cent) to be equal to 115% of the higher of the Market Value and the Newly Issued Price, and the $18.00 per share redemption trigger prices described below under “Description of Securities—Warrants—Public Warrants— 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below under “Description of Securities—Warrants—Public Warrants—Redemption of warrants when the price per Class A ordinary share equals or exceeds $10.00” will be adjusted (to the nearest cent) to be equal to the higher of the Market Value and the Newly Issued Price. This may make it more difficult for us to consummate an initial business combination with a target business.</w:t>
      </w:r>
    </w:p>
    <w:p>
      <w:pPr>
        <w:spacing w:after="0" w:line="32"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We may redeem your unexpired warrants prior to their exercise at a time that is disadvantageous to you, thereby making your warrants worthless.</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We have the ability to redeem outstanding warrants at any time after they become exercisable and prior to their expiration, at a price of $0.01 per warrant,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closing price of our Class A ordinary shares equals or exceeds $18.00 per share (as adjusted for share sub-divisions, share 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We will not redeem the warrants unless an effective registration statement under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455" w:right="3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Securities Act covering the Class A ordinary shares issuable upon exercise of the warrants is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w:t>
      </w:r>
    </w:p>
    <w:p>
      <w:pPr>
        <w:spacing w:after="0" w:line="3" w:lineRule="exact"/>
        <w:rPr>
          <w:sz w:val="20"/>
          <w:szCs w:val="20"/>
          <w:color w:val="auto"/>
        </w:rPr>
      </w:pPr>
    </w:p>
    <w:p>
      <w:pPr>
        <w:ind w:right="180" w:firstLine="8"/>
        <w:spacing w:after="0" w:line="248" w:lineRule="auto"/>
        <w:tabs>
          <w:tab w:leader="none" w:pos="2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accept the nominal redemption price which, at the time the outstanding warrants are called for redemption, is likely to be substantially less than the market value of your warrants.</w:t>
      </w:r>
    </w:p>
    <w:p>
      <w:pPr>
        <w:spacing w:after="0" w:line="11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closing price of our Class A ordinary shares equals or exceeds $10.00 per share (as adjusted for adjustments to the number of shares issuable upon exercise or the exercise price of a warrant as described under the heading “Description of Securities—Warrants—Public Warrants—Redemption Procedures—Anti-dilution Adjustments”) for any 20 trading days within a 30 trading-day period ending on the third trading day prior to proper notice of such redemption and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certain other conditions are met, including that holders will be able to exercise their warrants prior to redemption for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ordinary shares determined based on the redemption date and the fair market value of our Class A ordinary shares. Please see “</w:t>
      </w:r>
      <w:r>
        <w:rPr>
          <w:rFonts w:ascii="Arial" w:cs="Arial" w:eastAsia="Arial" w:hAnsi="Arial"/>
          <w:sz w:val="17"/>
          <w:szCs w:val="17"/>
          <w:i w:val="1"/>
          <w:iCs w:val="1"/>
          <w:color w:val="auto"/>
        </w:rPr>
        <w:t>Description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of Securities—Warrants—Public Warrants—Redemption of warrants when the price per Class A ordinary share equals or exceeds $10.00</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value received upon exercise of the warrants (1) may be less than the value the holders would have received if they had been able to exercise their warrants at a later time at which the underlying share price is higher and (2) may not compensate the holders for the value of the warrants, including because the number of ordinary shares received is capped at 0.361 Class A ordinary shares per warrant (subject to adjustment) irrespective of the remaining life of the warrants.</w:t>
      </w:r>
    </w:p>
    <w:p>
      <w:pPr>
        <w:spacing w:after="0" w:line="123" w:lineRule="exact"/>
        <w:rPr>
          <w:sz w:val="20"/>
          <w:szCs w:val="20"/>
          <w:color w:val="auto"/>
        </w:rPr>
      </w:pPr>
    </w:p>
    <w:p>
      <w:pPr>
        <w:jc w:val="both"/>
        <w:ind w:right="280"/>
        <w:spacing w:after="0" w:line="253" w:lineRule="auto"/>
        <w:rPr>
          <w:sz w:val="20"/>
          <w:szCs w:val="20"/>
          <w:color w:val="auto"/>
        </w:rPr>
      </w:pPr>
      <w:r>
        <w:rPr>
          <w:rFonts w:ascii="Arial" w:cs="Arial" w:eastAsia="Arial" w:hAnsi="Arial"/>
          <w:sz w:val="17"/>
          <w:szCs w:val="17"/>
          <w:color w:val="auto"/>
        </w:rPr>
        <w:t>Except as described under “</w:t>
      </w:r>
      <w:r>
        <w:rPr>
          <w:rFonts w:ascii="Arial" w:cs="Arial" w:eastAsia="Arial" w:hAnsi="Arial"/>
          <w:sz w:val="17"/>
          <w:szCs w:val="17"/>
          <w:i w:val="1"/>
          <w:iCs w:val="1"/>
          <w:color w:val="auto"/>
        </w:rPr>
        <w:t>Description of Securities—Warrants—Public Warrants—Redemption of warrants when the price per Class A ordinary</w:t>
      </w:r>
      <w:r>
        <w:rPr>
          <w:rFonts w:ascii="Arial" w:cs="Arial" w:eastAsia="Arial" w:hAnsi="Arial"/>
          <w:sz w:val="17"/>
          <w:szCs w:val="17"/>
          <w:color w:val="auto"/>
        </w:rPr>
        <w:t xml:space="preserve"> </w:t>
      </w:r>
      <w:r>
        <w:rPr>
          <w:rFonts w:ascii="Arial" w:cs="Arial" w:eastAsia="Arial" w:hAnsi="Arial"/>
          <w:sz w:val="17"/>
          <w:szCs w:val="17"/>
          <w:i w:val="1"/>
          <w:iCs w:val="1"/>
          <w:color w:val="auto"/>
        </w:rPr>
        <w:t>share equals or exceeds $10.00,</w:t>
      </w:r>
      <w:r>
        <w:rPr>
          <w:rFonts w:ascii="Arial" w:cs="Arial" w:eastAsia="Arial" w:hAnsi="Arial"/>
          <w:sz w:val="17"/>
          <w:szCs w:val="17"/>
          <w:color w:val="auto"/>
        </w:rPr>
        <w:t>” none of the private placement warrants will be redeemable by us so long as they are held by the sponsor or its</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transferees.</w:t>
      </w:r>
    </w:p>
    <w:p>
      <w:pPr>
        <w:spacing w:after="0" w:line="32"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b w:val="1"/>
          <w:bCs w:val="1"/>
          <w:i w:val="1"/>
          <w:iCs w:val="1"/>
          <w:color w:val="auto"/>
        </w:rPr>
        <w:t>Our warrants may have an adverse effect on the market price of our Class A ordinary shares and make it more difficult to effectuate our initial business combination.</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will be issuing warrants to purchase 10,000,000 of our Class A ordinary shares (or up to 11,500,000 Class A ordinary shares if the underwriters’ over-allotment option is exercised in full) as part of the units offered by this prospectus and, simultaneously with the closing of this offering, we will be issuing in a private placement an aggregate of 6,000,000 private placement warrants (or 6,600,000 warrants if the underwriters’ over-allotment option is exercised in full), at $1.00 per warrant. In addition, if the sponsor makes any working capital loans, it may convert those loans into up to an additional 1,500,000 private placement warrants, at the price of $1.00 per warrant. To the extent we issue ordinary shares to effectuate a business transaction,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47"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i w:val="1"/>
          <w:iCs w:val="1"/>
          <w:color w:val="auto"/>
        </w:rPr>
        <w:t>Because each unit contains one-half of one warrant and only a whole warrant may be exercised, the units may be worth less than units of other special purpose acquisition companies.</w:t>
      </w:r>
    </w:p>
    <w:p>
      <w:pPr>
        <w:spacing w:after="0" w:line="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Each unit contains one-half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455" w:right="3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both"/>
        <w:ind w:right="100"/>
        <w:spacing w:after="0" w:line="252"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the representative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w:t>
      </w:r>
    </w:p>
    <w:p>
      <w:pPr>
        <w:spacing w:after="0" w:line="163" w:lineRule="exact"/>
        <w:rPr>
          <w:sz w:val="20"/>
          <w:szCs w:val="20"/>
          <w:color w:val="auto"/>
        </w:rPr>
      </w:pPr>
    </w:p>
    <w:p>
      <w:pPr>
        <w:ind w:left="880" w:hanging="427"/>
        <w:spacing w:after="0"/>
        <w:tabs>
          <w:tab w:leader="none" w:pos="8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history and prospects of companies whose principal business is the acquisition of other companies;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prior offerings of those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our prospects for acquiring an operating business at attractive values;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a review of debt to equity ratios in leveraged transactions;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our capital structure;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an assessment of our management and their experience in identifying operating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general conditions of the securities markets at the time of this offering;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other factors as were deemed relevant.</w:t>
      </w:r>
    </w:p>
    <w:p>
      <w:pPr>
        <w:spacing w:after="0" w:line="154"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color w:val="auto"/>
        </w:rPr>
        <w:t>Although these factors were considered, the determination of our offering size, price and terms of the Units is more arbitrary than the pricing of securities of an operating company in a particular industry since we have no historical operations or financial results.</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i w:val="1"/>
          <w:iCs w:val="1"/>
          <w:color w:val="auto"/>
        </w:rPr>
        <w:t>There is currently no market for our securities and a market for our securities may not develop, which would adversely affect the liquidity and price of our securities.</w:t>
      </w:r>
    </w:p>
    <w:p>
      <w:pPr>
        <w:spacing w:after="0" w:line="1"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29"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The federal proxy rules require that the proxy statement with respect to the vote on an initial business combination include historical and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 or international financial reporting standards as issued by the International Accounting Standards Board (“</w:t>
      </w:r>
      <w:r>
        <w:rPr>
          <w:rFonts w:ascii="Arial" w:cs="Arial" w:eastAsia="Arial" w:hAnsi="Arial"/>
          <w:sz w:val="17"/>
          <w:szCs w:val="17"/>
          <w:b w:val="1"/>
          <w:bCs w:val="1"/>
          <w:color w:val="auto"/>
        </w:rPr>
        <w:t>IFRS</w:t>
      </w:r>
      <w:r>
        <w:rPr>
          <w:rFonts w:ascii="Arial" w:cs="Arial" w:eastAsia="Arial" w:hAnsi="Arial"/>
          <w:sz w:val="17"/>
          <w:szCs w:val="17"/>
          <w:color w:val="auto"/>
        </w:rPr>
        <w:t>”) depending on the circumstances and the historical financial statements may be required to be audited in accordance with the standards of the Public Company Accounting Oversight Board (United States) (“</w:t>
      </w:r>
      <w:r>
        <w:rPr>
          <w:rFonts w:ascii="Arial" w:cs="Arial" w:eastAsia="Arial" w:hAnsi="Arial"/>
          <w:sz w:val="17"/>
          <w:szCs w:val="17"/>
          <w:b w:val="1"/>
          <w:bCs w:val="1"/>
          <w:color w:val="auto"/>
        </w:rPr>
        <w:t>PCAOB</w:t>
      </w:r>
      <w:r>
        <w:rPr>
          <w:rFonts w:ascii="Arial" w:cs="Arial" w:eastAsia="Arial" w:hAnsi="Arial"/>
          <w:sz w:val="17"/>
          <w:szCs w:val="17"/>
          <w:color w:val="auto"/>
        </w:rPr>
        <w:t>”).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00"/>
          </w:cols>
          <w:pgMar w:left="320" w:top="455" w:right="3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2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 To the extent we take advantage of such reduced disclosure obligations, it may also make comparison of our financial statements with other public companies difficult or impossible.</w:t>
      </w:r>
    </w:p>
    <w:p>
      <w:pPr>
        <w:spacing w:after="0" w:line="31"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455" w:right="3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3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 w:lineRule="exact"/>
        <w:rPr>
          <w:sz w:val="20"/>
          <w:szCs w:val="20"/>
          <w:color w:val="auto"/>
        </w:rPr>
      </w:pPr>
    </w:p>
    <w:p>
      <w:pPr>
        <w:jc w:val="both"/>
        <w:ind w:right="320"/>
        <w:spacing w:after="0"/>
        <w:rPr>
          <w:sz w:val="20"/>
          <w:szCs w:val="20"/>
          <w:color w:val="auto"/>
        </w:rPr>
      </w:pPr>
      <w:r>
        <w:rPr>
          <w:rFonts w:ascii="Arial" w:cs="Arial" w:eastAsia="Arial" w:hAnsi="Arial"/>
          <w:sz w:val="17"/>
          <w:szCs w:val="17"/>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2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2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3"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Our amended and restated memorandum and articles of association contain provisions that may discourage unsolicited takeover proposals that shareholders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455"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4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60"/>
          </w:cols>
          <w:pgMar w:left="320" w:top="455" w:right="41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75" w:lineRule="exact"/>
        <w:rPr>
          <w:sz w:val="20"/>
          <w:szCs w:val="20"/>
          <w:color w:val="auto"/>
        </w:rPr>
      </w:pPr>
    </w:p>
    <w:p>
      <w:pPr>
        <w:ind w:right="440"/>
        <w:spacing w:after="0" w:line="260" w:lineRule="auto"/>
        <w:rPr>
          <w:sz w:val="20"/>
          <w:szCs w:val="20"/>
          <w:color w:val="auto"/>
        </w:rPr>
      </w:pPr>
      <w:r>
        <w:rPr>
          <w:rFonts w:ascii="Arial" w:cs="Arial" w:eastAsia="Arial" w:hAnsi="Arial"/>
          <w:sz w:val="17"/>
          <w:szCs w:val="17"/>
          <w:b w:val="1"/>
          <w:bCs w:val="1"/>
          <w:i w:val="1"/>
          <w:iCs w:val="1"/>
          <w:color w:val="auto"/>
        </w:rPr>
        <w:t>If we effect our initial business combination with a company located outside of the United States, we would be subject to a variety of additional risks that may adversely affect us.</w:t>
      </w:r>
    </w:p>
    <w:p>
      <w:pPr>
        <w:spacing w:after="0" w:line="1" w:lineRule="exact"/>
        <w:rPr>
          <w:sz w:val="20"/>
          <w:szCs w:val="20"/>
          <w:color w:val="auto"/>
        </w:rPr>
      </w:pPr>
    </w:p>
    <w:p>
      <w:pPr>
        <w:jc w:val="both"/>
        <w:ind w:right="600"/>
        <w:spacing w:after="0"/>
        <w:rPr>
          <w:sz w:val="20"/>
          <w:szCs w:val="20"/>
          <w:color w:val="auto"/>
        </w:rPr>
      </w:pPr>
      <w:r>
        <w:rPr>
          <w:rFonts w:ascii="Arial" w:cs="Arial" w:eastAsia="Arial" w:hAnsi="Arial"/>
          <w:sz w:val="17"/>
          <w:szCs w:val="17"/>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17" w:lineRule="exact"/>
        <w:rPr>
          <w:sz w:val="20"/>
          <w:szCs w:val="20"/>
          <w:color w:val="auto"/>
        </w:rPr>
      </w:pPr>
    </w:p>
    <w:p>
      <w:pPr>
        <w:ind w:right="620"/>
        <w:spacing w:after="0" w:line="275" w:lineRule="auto"/>
        <w:rPr>
          <w:sz w:val="20"/>
          <w:szCs w:val="20"/>
          <w:color w:val="auto"/>
        </w:rPr>
      </w:pPr>
      <w:r>
        <w:rPr>
          <w:rFonts w:ascii="Arial" w:cs="Arial" w:eastAsia="Arial" w:hAnsi="Arial"/>
          <w:sz w:val="17"/>
          <w:szCs w:val="17"/>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33" w:lineRule="exact"/>
        <w:rPr>
          <w:sz w:val="20"/>
          <w:szCs w:val="20"/>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costs and difficulties inherent in managing cross-border business operations;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rules and regulations regarding currency redemption;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complex corporate withholding taxes on individuals;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laws governing the manner in which future business combinations may be effected;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exchange listing and/or delisting requirements;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tariffs and trade barriers;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regulations related to customs and import/export matters;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local or regional economic policies and market conditions;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unexpected changes in regulatory requirements;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challenges in managing and staffing international operations;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longer payment cycles;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tax issues, such as tax law changes and variations in tax laws as compared to the United States;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currency fluctuations and exchange controls;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rates of inflation;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challenges in collecting accounts receivable;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cultural and language differences;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employment regulations;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underdeveloped or unpredictable legal or regulatory systems;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corruption;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protection of intellectual property;</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social unrest, crime, strikes, riots and civil disturbances;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regime changes and political upheaval;</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terrorist attacks and wars;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deterioration of political relations with the United States.</w:t>
      </w:r>
    </w:p>
    <w:p>
      <w:pPr>
        <w:spacing w:after="0" w:line="154" w:lineRule="exact"/>
        <w:rPr>
          <w:sz w:val="20"/>
          <w:szCs w:val="20"/>
          <w:color w:val="auto"/>
        </w:rPr>
      </w:pPr>
    </w:p>
    <w:p>
      <w:pPr>
        <w:jc w:val="both"/>
        <w:ind w:right="240"/>
        <w:spacing w:after="0" w:line="253" w:lineRule="auto"/>
        <w:rPr>
          <w:sz w:val="20"/>
          <w:szCs w:val="20"/>
          <w:color w:val="auto"/>
        </w:rPr>
      </w:pPr>
      <w:r>
        <w:rPr>
          <w:rFonts w:ascii="Arial" w:cs="Arial" w:eastAsia="Arial" w:hAnsi="Arial"/>
          <w:sz w:val="17"/>
          <w:szCs w:val="17"/>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00"/>
          </w:cols>
          <w:pgMar w:left="320" w:top="455" w:right="3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1"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30"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b w:val="1"/>
          <w:bCs w:val="1"/>
          <w:i w:val="1"/>
          <w:i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9" w:lineRule="exact"/>
        <w:rPr>
          <w:sz w:val="20"/>
          <w:szCs w:val="20"/>
          <w:color w:val="auto"/>
        </w:rPr>
      </w:pPr>
    </w:p>
    <w:p>
      <w:pPr>
        <w:ind w:right="600"/>
        <w:spacing w:after="0" w:line="262" w:lineRule="auto"/>
        <w:rPr>
          <w:sz w:val="20"/>
          <w:szCs w:val="20"/>
          <w:color w:val="auto"/>
        </w:rPr>
      </w:pPr>
      <w:r>
        <w:rPr>
          <w:rFonts w:ascii="Arial" w:cs="Arial" w:eastAsia="Arial" w:hAnsi="Arial"/>
          <w:sz w:val="17"/>
          <w:szCs w:val="17"/>
          <w:b w:val="1"/>
          <w:bCs w:val="1"/>
          <w:i w:val="1"/>
          <w:iCs w:val="1"/>
          <w:color w:val="auto"/>
        </w:rPr>
        <w:t>Exchange rate fluctuations and currency policies may cause a target business’ ability to succeed in the international markets to be diminished.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30"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30" w:lineRule="exact"/>
        <w:rPr>
          <w:sz w:val="20"/>
          <w:szCs w:val="20"/>
          <w:color w:val="auto"/>
        </w:rPr>
      </w:pPr>
    </w:p>
    <w:p>
      <w:pPr>
        <w:ind w:right="500"/>
        <w:spacing w:after="0" w:line="262" w:lineRule="auto"/>
        <w:rPr>
          <w:sz w:val="20"/>
          <w:szCs w:val="20"/>
          <w:color w:val="auto"/>
        </w:rPr>
      </w:pPr>
      <w:r>
        <w:rPr>
          <w:rFonts w:ascii="Arial" w:cs="Arial" w:eastAsia="Arial" w:hAnsi="Arial"/>
          <w:sz w:val="17"/>
          <w:szCs w:val="17"/>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1"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2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455"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employ a mail forwarding service, which may delay or disrupt our ability to receive mail in a timely manner</w:t>
      </w:r>
    </w:p>
    <w:p>
      <w:pPr>
        <w:spacing w:after="0" w:line="4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Mail addressed to the Company and received at its registered office will be forwarded unopened to the forwarding address supplied by Company to be dealt with. None of the Company, its directors, officers, advisors or service providers (including the organization which provides registered office services in the Cayman Islands) will bear any responsibility for any delay howsoever caused in mail reaching the forwarding address, which may impair your ability to communicate with us.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00"/>
          </w:cols>
          <w:pgMar w:left="320" w:top="455" w:right="4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63" w:lineRule="exact"/>
        <w:rPr>
          <w:sz w:val="20"/>
          <w:szCs w:val="20"/>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ability to select an appropriate target business or businesses;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ability to complete our initial business combination;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expectations around the performance of the prospective target business or businesses;</w:t>
      </w:r>
    </w:p>
    <w:p>
      <w:pPr>
        <w:spacing w:after="0" w:line="34" w:lineRule="exact"/>
        <w:rPr>
          <w:rFonts w:ascii="MS PGothic" w:cs="MS PGothic" w:eastAsia="MS PGothic" w:hAnsi="MS PGothic"/>
          <w:sz w:val="13"/>
          <w:szCs w:val="13"/>
          <w:color w:val="auto"/>
        </w:rPr>
      </w:pPr>
    </w:p>
    <w:p>
      <w:pPr>
        <w:ind w:left="880" w:right="540" w:hanging="427"/>
        <w:spacing w:after="0" w:line="256" w:lineRule="auto"/>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success in retaining or recruiting, or changes required in, our officers, key employees or directors following our initial business combination;</w:t>
      </w:r>
    </w:p>
    <w:p>
      <w:pPr>
        <w:spacing w:after="0" w:line="1" w:lineRule="exact"/>
        <w:rPr>
          <w:rFonts w:ascii="MS PGothic" w:cs="MS PGothic" w:eastAsia="MS PGothic" w:hAnsi="MS PGothic"/>
          <w:sz w:val="13"/>
          <w:szCs w:val="13"/>
          <w:color w:val="auto"/>
        </w:rPr>
      </w:pPr>
    </w:p>
    <w:p>
      <w:pPr>
        <w:ind w:left="880" w:right="480" w:hanging="427"/>
        <w:spacing w:after="0" w:line="256" w:lineRule="auto"/>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officers and directors allocating their time to other businesses and potentially having conflicts of interest with our business or in approving our initial business combination;</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potential ability to obtain additional financing to complete our initial business combination;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pool of prospective target businesses;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ability of our officers and directors to generate a number of potential business combination opportunities;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public securities’ potential liquidity and trading;</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lack of a market for our securities;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use of proceeds not held in the trust account or available to us from interest income on the trust account balance;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trust account not being subject to claims of third parties;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financial performance following this offering.</w:t>
      </w:r>
    </w:p>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00"/>
          </w:cols>
          <w:pgMar w:left="320" w:top="455" w:right="3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offering 20,000,000 units at an offering price of $10.00 per unit. We estimate that the net proceeds of this offering together with the funds we will receive from the sale of the private placement warrants will be used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WITHOUT OVER-</w:t>
            </w:r>
          </w:p>
        </w:tc>
        <w:tc>
          <w:tcPr>
            <w:tcW w:w="280" w:type="dxa"/>
            <w:vAlign w:val="bottom"/>
          </w:tcPr>
          <w:p>
            <w:pPr>
              <w:spacing w:after="0"/>
              <w:rPr>
                <w:sz w:val="14"/>
                <w:szCs w:val="14"/>
                <w:color w:val="auto"/>
              </w:rPr>
            </w:pP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OVER-ALLOTMENT</w:t>
            </w:r>
          </w:p>
        </w:tc>
      </w:tr>
      <w:tr>
        <w:trPr>
          <w:trHeight w:val="177"/>
        </w:trPr>
        <w:tc>
          <w:tcPr>
            <w:tcW w:w="754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ALLOTMENT OPTION</w:t>
            </w:r>
          </w:p>
        </w:tc>
        <w:tc>
          <w:tcPr>
            <w:tcW w:w="28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 EXERCISED</w:t>
            </w:r>
          </w:p>
        </w:tc>
      </w:tr>
      <w:tr>
        <w:trPr>
          <w:trHeight w:val="169"/>
        </w:trPr>
        <w:tc>
          <w:tcPr>
            <w:tcW w:w="75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Gross proceeds</w:t>
            </w:r>
          </w:p>
        </w:tc>
        <w:tc>
          <w:tcPr>
            <w:tcW w:w="1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 xml:space="preserve">Gross proceeds from units offered to public </w:t>
            </w:r>
            <w:r>
              <w:rPr>
                <w:rFonts w:ascii="Arial" w:cs="Arial" w:eastAsia="Arial" w:hAnsi="Arial"/>
                <w:sz w:val="14"/>
                <w:szCs w:val="14"/>
                <w:color w:val="auto"/>
              </w:rPr>
              <w:t>(1)</w:t>
            </w: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200,000,000</w:t>
            </w:r>
          </w:p>
        </w:tc>
        <w:tc>
          <w:tcPr>
            <w:tcW w:w="58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230,000,000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proceeds from private placement warrants offered in the private placement</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6,000,000</w:t>
            </w:r>
          </w:p>
        </w:tc>
        <w:tc>
          <w:tcPr>
            <w:tcW w:w="58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6,600,000</w:t>
            </w:r>
          </w:p>
        </w:tc>
      </w:tr>
      <w:tr>
        <w:trPr>
          <w:trHeight w:val="196"/>
        </w:trPr>
        <w:tc>
          <w:tcPr>
            <w:tcW w:w="7540" w:type="dxa"/>
            <w:vAlign w:val="bottom"/>
          </w:tcPr>
          <w:p>
            <w:pPr>
              <w:spacing w:after="0"/>
              <w:rPr>
                <w:sz w:val="20"/>
                <w:szCs w:val="20"/>
                <w:color w:val="auto"/>
              </w:rPr>
            </w:pPr>
            <w:r>
              <w:rPr>
                <w:rFonts w:ascii="Arial" w:cs="Arial" w:eastAsia="Arial" w:hAnsi="Arial"/>
                <w:sz w:val="17"/>
                <w:szCs w:val="17"/>
                <w:color w:val="auto"/>
              </w:rPr>
              <w:t>Total gross proceeds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206,000,000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236,600,000</w:t>
            </w:r>
          </w:p>
        </w:tc>
        <w:tc>
          <w:tcPr>
            <w:tcW w:w="2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75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 xml:space="preserve">Offering expenses </w:t>
            </w:r>
            <w:r>
              <w:rPr>
                <w:rFonts w:ascii="Arial" w:cs="Arial" w:eastAsia="Arial" w:hAnsi="Arial"/>
                <w:sz w:val="14"/>
                <w:szCs w:val="14"/>
                <w:b w:val="1"/>
                <w:bCs w:val="1"/>
                <w:color w:val="auto"/>
              </w:rPr>
              <w:t>(2)</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61"/>
        </w:trPr>
        <w:tc>
          <w:tcPr>
            <w:tcW w:w="7540" w:type="dxa"/>
            <w:vAlign w:val="bottom"/>
          </w:tcPr>
          <w:p>
            <w:pPr>
              <w:spacing w:after="0" w:line="161" w:lineRule="exact"/>
              <w:rPr>
                <w:sz w:val="20"/>
                <w:szCs w:val="20"/>
                <w:color w:val="auto"/>
              </w:rPr>
            </w:pPr>
            <w:r>
              <w:rPr>
                <w:rFonts w:ascii="Arial" w:cs="Arial" w:eastAsia="Arial" w:hAnsi="Arial"/>
                <w:sz w:val="17"/>
                <w:szCs w:val="17"/>
                <w:color w:val="auto"/>
              </w:rPr>
              <w:t>Underwriting commissions (2.0% of gross proceeds from units offered to public, excluding</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7"/>
        </w:trPr>
        <w:tc>
          <w:tcPr>
            <w:tcW w:w="7540" w:type="dxa"/>
            <w:vAlign w:val="bottom"/>
          </w:tcPr>
          <w:p>
            <w:pPr>
              <w:ind w:left="260"/>
              <w:spacing w:after="0"/>
              <w:rPr>
                <w:sz w:val="20"/>
                <w:szCs w:val="20"/>
                <w:color w:val="auto"/>
              </w:rPr>
            </w:pPr>
            <w:r>
              <w:rPr>
                <w:rFonts w:ascii="Arial" w:cs="Arial" w:eastAsia="Arial" w:hAnsi="Arial"/>
                <w:sz w:val="17"/>
                <w:szCs w:val="17"/>
                <w:color w:val="auto"/>
              </w:rPr>
              <w:t xml:space="preserve">deferred portion) </w:t>
            </w:r>
            <w:r>
              <w:rPr>
                <w:rFonts w:ascii="Arial" w:cs="Arial" w:eastAsia="Arial" w:hAnsi="Arial"/>
                <w:sz w:val="14"/>
                <w:szCs w:val="14"/>
                <w:color w:val="auto"/>
              </w:rPr>
              <w:t>(3)</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4,000,000</w:t>
            </w:r>
          </w:p>
        </w:tc>
        <w:tc>
          <w:tcPr>
            <w:tcW w:w="5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4,600,000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325,000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325,000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35,000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35,000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60,000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SEC/FINRA expenses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65,000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65,000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Travel and road show expenses</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20,000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Nasdaq listing and filing fees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55,000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55,000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Directors’ and officers’ liability insurance</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125,000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125,000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Miscellaneous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315,000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315,000</w:t>
            </w:r>
          </w:p>
        </w:tc>
      </w:tr>
      <w:tr>
        <w:trPr>
          <w:trHeight w:val="27"/>
        </w:trPr>
        <w:tc>
          <w:tcPr>
            <w:tcW w:w="7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offering expenses (other than underwriting commissions)</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1,000,000</w:t>
            </w:r>
          </w:p>
        </w:tc>
        <w:tc>
          <w:tcPr>
            <w:tcW w:w="58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1,000,000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Proceeds after offering expenses</w:t>
            </w: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201,000,000</w:t>
            </w:r>
          </w:p>
        </w:tc>
        <w:tc>
          <w:tcPr>
            <w:tcW w:w="58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231,000,000</w:t>
            </w:r>
          </w:p>
        </w:tc>
      </w:tr>
      <w:tr>
        <w:trPr>
          <w:trHeight w:val="20"/>
        </w:trPr>
        <w:tc>
          <w:tcPr>
            <w:tcW w:w="7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7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Held in trust account </w:t>
            </w:r>
            <w:r>
              <w:rPr>
                <w:rFonts w:ascii="Arial" w:cs="Arial" w:eastAsia="Arial" w:hAnsi="Arial"/>
                <w:sz w:val="14"/>
                <w:szCs w:val="14"/>
                <w:color w:val="auto"/>
              </w:rPr>
              <w:t>(3)</w:t>
            </w:r>
          </w:p>
        </w:tc>
        <w:tc>
          <w:tcPr>
            <w:tcW w:w="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3" w:lineRule="exact"/>
              <w:rPr>
                <w:sz w:val="20"/>
                <w:szCs w:val="20"/>
                <w:color w:val="auto"/>
              </w:rPr>
            </w:pPr>
            <w:r>
              <w:rPr>
                <w:rFonts w:ascii="Arial" w:cs="Arial" w:eastAsia="Arial" w:hAnsi="Arial"/>
                <w:sz w:val="17"/>
                <w:szCs w:val="17"/>
                <w:color w:val="auto"/>
              </w:rPr>
              <w:t>200,000,000</w:t>
            </w:r>
          </w:p>
        </w:tc>
        <w:tc>
          <w:tcPr>
            <w:tcW w:w="580" w:type="dxa"/>
            <w:vAlign w:val="bottom"/>
            <w:gridSpan w:val="2"/>
            <w:shd w:val="clear" w:color="auto" w:fill="CCEEFF"/>
          </w:tcPr>
          <w:p>
            <w:pPr>
              <w:ind w:left="280"/>
              <w:spacing w:after="0" w:line="183"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230,000,000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 of public offering size</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100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Not held in trust account</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1,000,000</w:t>
            </w:r>
          </w:p>
        </w:tc>
        <w:tc>
          <w:tcPr>
            <w:tcW w:w="58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1,000,000</w:t>
            </w:r>
          </w:p>
        </w:tc>
      </w:tr>
      <w:tr>
        <w:trPr>
          <w:trHeight w:val="20"/>
        </w:trPr>
        <w:tc>
          <w:tcPr>
            <w:tcW w:w="7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use of the approximately $1,000,000 of net proceeds not held in the trust account:(4)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 OF TOTAL</w:t>
            </w:r>
          </w:p>
        </w:tc>
        <w:tc>
          <w:tcPr>
            <w:tcW w:w="200" w:type="dxa"/>
            <w:vAlign w:val="bottom"/>
            <w:tcBorders>
              <w:bottom w:val="single" w:sz="8" w:color="CCEEFF"/>
            </w:tcBorders>
          </w:tcPr>
          <w:p>
            <w:pPr>
              <w:spacing w:after="0"/>
              <w:rPr>
                <w:sz w:val="15"/>
                <w:szCs w:val="15"/>
                <w:color w:val="auto"/>
              </w:rPr>
            </w:pPr>
          </w:p>
        </w:tc>
      </w:tr>
      <w:tr>
        <w:trPr>
          <w:trHeight w:val="183"/>
        </w:trPr>
        <w:tc>
          <w:tcPr>
            <w:tcW w:w="8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Legal, accounting, due diligence, travel, and other expenses in connection with any business combination </w:t>
            </w:r>
            <w:r>
              <w:rPr>
                <w:rFonts w:ascii="Arial" w:cs="Arial" w:eastAsia="Arial" w:hAnsi="Arial"/>
                <w:sz w:val="14"/>
                <w:szCs w:val="14"/>
                <w:color w:val="auto"/>
              </w:rPr>
              <w:t>(5)</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350,000</w:t>
            </w: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35.0%</w:t>
            </w:r>
          </w:p>
        </w:tc>
      </w:tr>
      <w:tr>
        <w:trPr>
          <w:trHeight w:val="189"/>
        </w:trPr>
        <w:tc>
          <w:tcPr>
            <w:tcW w:w="8500" w:type="dxa"/>
            <w:vAlign w:val="bottom"/>
          </w:tcPr>
          <w:p>
            <w:pPr>
              <w:spacing w:after="0" w:line="189" w:lineRule="exact"/>
              <w:rPr>
                <w:sz w:val="20"/>
                <w:szCs w:val="20"/>
                <w:color w:val="auto"/>
              </w:rPr>
            </w:pPr>
            <w:r>
              <w:rPr>
                <w:rFonts w:ascii="Arial" w:cs="Arial" w:eastAsia="Arial" w:hAnsi="Arial"/>
                <w:sz w:val="17"/>
                <w:szCs w:val="17"/>
                <w:color w:val="auto"/>
              </w:rPr>
              <w:t>Legal and accounting fees related to regulatory reporting obligations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150,000</w:t>
            </w: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15.0%</w:t>
            </w: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Administrative and support services.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240,000</w:t>
            </w: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24.0%</w:t>
            </w:r>
          </w:p>
        </w:tc>
      </w:tr>
      <w:tr>
        <w:trPr>
          <w:trHeight w:val="189"/>
        </w:trPr>
        <w:tc>
          <w:tcPr>
            <w:tcW w:w="8500" w:type="dxa"/>
            <w:vAlign w:val="bottom"/>
          </w:tcPr>
          <w:p>
            <w:pPr>
              <w:spacing w:after="0" w:line="189" w:lineRule="exact"/>
              <w:rPr>
                <w:sz w:val="20"/>
                <w:szCs w:val="20"/>
                <w:color w:val="auto"/>
              </w:rPr>
            </w:pPr>
            <w:r>
              <w:rPr>
                <w:rFonts w:ascii="Arial" w:cs="Arial" w:eastAsia="Arial" w:hAnsi="Arial"/>
                <w:sz w:val="17"/>
                <w:szCs w:val="17"/>
                <w:color w:val="auto"/>
              </w:rPr>
              <w:t>Continued listing fees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55,000</w:t>
            </w: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5.5%</w:t>
            </w: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Reserve for liquidation</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100,000</w:t>
            </w: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w:t>
            </w:r>
          </w:p>
        </w:tc>
      </w:tr>
      <w:tr>
        <w:trPr>
          <w:trHeight w:val="189"/>
        </w:trPr>
        <w:tc>
          <w:tcPr>
            <w:tcW w:w="8500" w:type="dxa"/>
            <w:vAlign w:val="bottom"/>
          </w:tcPr>
          <w:p>
            <w:pPr>
              <w:spacing w:after="0" w:line="189" w:lineRule="exact"/>
              <w:rPr>
                <w:sz w:val="20"/>
                <w:szCs w:val="20"/>
                <w:color w:val="auto"/>
              </w:rPr>
            </w:pPr>
            <w:r>
              <w:rPr>
                <w:rFonts w:ascii="Arial" w:cs="Arial" w:eastAsia="Arial" w:hAnsi="Arial"/>
                <w:sz w:val="17"/>
                <w:szCs w:val="17"/>
                <w:color w:val="auto"/>
              </w:rPr>
              <w:t>Other miscellaneous expenses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105,000</w:t>
            </w:r>
          </w:p>
        </w:tc>
        <w:tc>
          <w:tcPr>
            <w:tcW w:w="48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10.5%</w:t>
            </w:r>
          </w:p>
        </w:tc>
      </w:tr>
      <w:tr>
        <w:trPr>
          <w:trHeight w:val="27"/>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12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1,000,000</w:t>
            </w: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100.0%</w:t>
            </w:r>
          </w:p>
        </w:tc>
      </w:tr>
      <w:tr>
        <w:trPr>
          <w:trHeight w:val="20"/>
        </w:trPr>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left="440" w:hanging="297"/>
        <w:spacing w:after="0"/>
        <w:tabs>
          <w:tab w:leader="none" w:pos="440" w:val="left"/>
        </w:tabs>
        <w:numPr>
          <w:ilvl w:val="0"/>
          <w:numId w:val="30"/>
        </w:numPr>
        <w:rPr>
          <w:rFonts w:ascii="Arial" w:cs="Arial" w:eastAsia="Arial" w:hAnsi="Arial"/>
          <w:sz w:val="24"/>
          <w:szCs w:val="24"/>
          <w:color w:val="auto"/>
          <w:vertAlign w:val="superscript"/>
        </w:rPr>
      </w:pPr>
      <w:r>
        <w:rPr>
          <w:rFonts w:ascii="Arial" w:cs="Arial" w:eastAsia="Arial" w:hAnsi="Arial"/>
          <w:sz w:val="14"/>
          <w:szCs w:val="14"/>
          <w:color w:val="auto"/>
        </w:rPr>
        <w:t>Includes amounts payable to public shareholders who properly redeem their shares in connection with our successful completion of our initial business combination.</w:t>
      </w:r>
    </w:p>
    <w:p>
      <w:pPr>
        <w:jc w:val="both"/>
        <w:ind w:left="440" w:right="240" w:hanging="257"/>
        <w:spacing w:after="0" w:line="195" w:lineRule="auto"/>
        <w:tabs>
          <w:tab w:leader="none" w:pos="440" w:val="left"/>
        </w:tabs>
        <w:numPr>
          <w:ilvl w:val="1"/>
          <w:numId w:val="30"/>
        </w:numPr>
        <w:rPr>
          <w:rFonts w:ascii="Arial" w:cs="Arial" w:eastAsia="Arial" w:hAnsi="Arial"/>
          <w:sz w:val="24"/>
          <w:szCs w:val="24"/>
          <w:color w:val="auto"/>
          <w:vertAlign w:val="superscript"/>
        </w:rPr>
      </w:pPr>
      <w:r>
        <w:rPr>
          <w:rFonts w:ascii="Arial" w:cs="Arial" w:eastAsia="Arial" w:hAnsi="Arial"/>
          <w:sz w:val="14"/>
          <w:szCs w:val="14"/>
          <w:color w:val="auto"/>
        </w:rPr>
        <w:t>A portion of the offering expenses have been paid from the proceeds of loans from our sponsor of up to $300,000 as described in this prospectus. These loans will be repaid upon completion of this offering out of the $1,000,000 of offering proceeds that has been allocated for the payment of offering expenses other than underwriting commissions. In the event that offering expenses are less than set forth in this table, any such amounts will be used for post-closing working capital expenses.</w:t>
      </w:r>
    </w:p>
    <w:p>
      <w:pPr>
        <w:ind w:left="440" w:right="200" w:hanging="257"/>
        <w:spacing w:after="0" w:line="185" w:lineRule="auto"/>
        <w:tabs>
          <w:tab w:leader="none" w:pos="440" w:val="left"/>
        </w:tabs>
        <w:numPr>
          <w:ilvl w:val="1"/>
          <w:numId w:val="30"/>
        </w:numPr>
        <w:rPr>
          <w:rFonts w:ascii="Arial" w:cs="Arial" w:eastAsia="Arial" w:hAnsi="Arial"/>
          <w:sz w:val="24"/>
          <w:szCs w:val="24"/>
          <w:color w:val="auto"/>
          <w:vertAlign w:val="superscript"/>
        </w:rPr>
      </w:pPr>
      <w:r>
        <w:rPr>
          <w:rFonts w:ascii="Arial" w:cs="Arial" w:eastAsia="Arial" w:hAnsi="Arial"/>
          <w:sz w:val="14"/>
          <w:szCs w:val="14"/>
          <w:color w:val="auto"/>
        </w:rPr>
        <w:t>The underwriters have agreed to defer underwriting commissions of 3.5% of the gross proceeds of this offering. Upon and concurrently with the completion of our initial business combination, up to $7,000,000, which constitutes the underwriters’ deferred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455"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460" w:right="240"/>
        <w:spacing w:after="0" w:line="244" w:lineRule="auto"/>
        <w:rPr>
          <w:sz w:val="20"/>
          <w:szCs w:val="20"/>
          <w:color w:val="auto"/>
        </w:rPr>
      </w:pPr>
      <w:r>
        <w:rPr>
          <w:rFonts w:ascii="Arial" w:cs="Arial" w:eastAsia="Arial" w:hAnsi="Arial"/>
          <w:sz w:val="14"/>
          <w:szCs w:val="14"/>
          <w:color w:val="auto"/>
        </w:rPr>
        <w:t>commissions (or up to $8,050,000 if the underwriters’ over-allotment option is exercised in full) will be paid to the underwriters from the funds held in the trust account. See “</w:t>
      </w:r>
      <w:r>
        <w:rPr>
          <w:rFonts w:ascii="Arial" w:cs="Arial" w:eastAsia="Arial" w:hAnsi="Arial"/>
          <w:sz w:val="14"/>
          <w:szCs w:val="14"/>
          <w:i w:val="1"/>
          <w:iCs w:val="1"/>
          <w:color w:val="auto"/>
        </w:rPr>
        <w:t>Underwriting</w:t>
      </w:r>
      <w:r>
        <w:rPr>
          <w:rFonts w:ascii="Arial" w:cs="Arial" w:eastAsia="Arial" w:hAnsi="Arial"/>
          <w:sz w:val="14"/>
          <w:szCs w:val="14"/>
          <w:color w:val="auto"/>
        </w:rPr>
        <w:t>”.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2" w:lineRule="exact"/>
        <w:rPr>
          <w:sz w:val="20"/>
          <w:szCs w:val="20"/>
          <w:color w:val="auto"/>
        </w:rPr>
      </w:pPr>
    </w:p>
    <w:p>
      <w:pPr>
        <w:ind w:left="440" w:right="80" w:hanging="257"/>
        <w:spacing w:after="0" w:line="220" w:lineRule="auto"/>
        <w:tabs>
          <w:tab w:leader="none" w:pos="440" w:val="left"/>
        </w:tabs>
        <w:numPr>
          <w:ilvl w:val="0"/>
          <w:numId w:val="31"/>
        </w:numPr>
        <w:rPr>
          <w:rFonts w:ascii="Arial" w:cs="Arial" w:eastAsia="Arial" w:hAnsi="Arial"/>
          <w:sz w:val="24"/>
          <w:szCs w:val="24"/>
          <w:color w:val="auto"/>
          <w:vertAlign w:val="superscript"/>
        </w:rPr>
      </w:pPr>
      <w:r>
        <w:rPr>
          <w:rFonts w:ascii="Arial" w:cs="Arial" w:eastAsia="Arial" w:hAnsi="Arial"/>
          <w:sz w:val="14"/>
          <w:szCs w:val="14"/>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w:t>
      </w:r>
    </w:p>
    <w:p>
      <w:pPr>
        <w:spacing w:after="0" w:line="3" w:lineRule="exact"/>
        <w:rPr>
          <w:rFonts w:ascii="Arial" w:cs="Arial" w:eastAsia="Arial" w:hAnsi="Arial"/>
          <w:sz w:val="24"/>
          <w:szCs w:val="24"/>
          <w:color w:val="auto"/>
          <w:vertAlign w:val="superscript"/>
        </w:rPr>
      </w:pPr>
    </w:p>
    <w:p>
      <w:pPr>
        <w:ind w:left="440" w:hanging="257"/>
        <w:spacing w:after="0" w:line="183" w:lineRule="auto"/>
        <w:tabs>
          <w:tab w:leader="none" w:pos="440" w:val="left"/>
        </w:tabs>
        <w:numPr>
          <w:ilvl w:val="0"/>
          <w:numId w:val="31"/>
        </w:numPr>
        <w:rPr>
          <w:rFonts w:ascii="Arial" w:cs="Arial" w:eastAsia="Arial" w:hAnsi="Arial"/>
          <w:sz w:val="20"/>
          <w:szCs w:val="20"/>
          <w:color w:val="auto"/>
          <w:vertAlign w:val="superscript"/>
        </w:rPr>
      </w:pPr>
      <w:r>
        <w:rPr>
          <w:rFonts w:ascii="Arial" w:cs="Arial" w:eastAsia="Arial" w:hAnsi="Arial"/>
          <w:sz w:val="12"/>
          <w:szCs w:val="12"/>
          <w:color w:val="auto"/>
        </w:rPr>
        <w:t>Includes estimated amounts that may also be used in connection with our initial business combination to fund a “no shop” provision and commitment fees for financing.</w:t>
      </w:r>
    </w:p>
    <w:p>
      <w:pPr>
        <w:spacing w:after="0" w:line="13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Nasdaq rules provide that at least 90% of the gross proceeds from this offering and the sale of the private placement warrants be deposited in a trust account. Of the $206,000,000 in gross proceeds we receive from this offering and the sale of the private placement warrants described in this prospectus, or $236,600,000 if the underwriters’ over-allotment option is exercised in full, $200,000,000 ($10.00 per unit), or $230,000,000 if the underwriters’ over-allotment option is exercised in full ($10.00 per unit), will be deposited into a trust account with Continental Stock Transfer &amp; Trust Company acting as trustee, after deducting $4,000,000 in underwriting discounts and commissions payable upon the closing of this offering (or $4,600,000 if the underwriters’ over-allotment option is exercised in full) and an aggregate of $2 million to pay fees and expenses in connection with the closing of this offering and for working capital following the closing of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$1,000,000 per year, assuming an interest rate of 0.5% per year; however, we can provide no assurances regarding this amount. We expect that the interest earned on the trust account will be sufficient to pay income taxes. We will not be permitted to withdraw any of the principal or interest held in the trust account, except for the withdrawal of interest to pay our taxes and up to $100,000 to pay dissolution expenses, as applicable, if any, until the earliest of (i) the completion of our initial business combination, (ii) the redemption of our public shares if we are unable to complete our initial business combination within 24 months from the closing of this offering, subject to applicable law, or (iii) the redemption of our public shares properly submitted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our initial business combination within 24 months from the closing of this offering or (B) with respect to any other material provisions relating to shareholders’ rights or pre-initial business combination activity.</w:t>
      </w:r>
    </w:p>
    <w:p>
      <w:pPr>
        <w:spacing w:after="0" w:line="132"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net proceeds released to us from the trust account upon the closing of our initial business combination may be used as consideration to pay the sellers of a target business with which we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use the balance of the cash released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However, our amended and restated memorandum and articles of association provides that, following this offering and prior to the consummation of our initial business combination, we will be prohibited from issuing additional securities that would entitle the holders thereof to</w:t>
      </w:r>
    </w:p>
    <w:p>
      <w:pPr>
        <w:spacing w:after="0" w:line="6" w:lineRule="exact"/>
        <w:rPr>
          <w:sz w:val="20"/>
          <w:szCs w:val="20"/>
          <w:color w:val="auto"/>
        </w:rPr>
      </w:pPr>
    </w:p>
    <w:p>
      <w:pPr>
        <w:ind w:left="5540" w:right="4780" w:hanging="5532"/>
        <w:spacing w:after="0" w:line="428" w:lineRule="auto"/>
        <w:tabs>
          <w:tab w:leader="none" w:pos="213"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receive funds from the trust account or (ii) vote on any initial business combination. </w:t>
      </w:r>
      <w:r>
        <w:rPr>
          <w:rFonts w:ascii="Arial" w:cs="Arial" w:eastAsia="Arial" w:hAnsi="Arial"/>
          <w:sz w:val="16"/>
          <w:szCs w:val="16"/>
          <w:color w:val="auto"/>
        </w:rPr>
        <w:t>66</w:t>
      </w:r>
    </w:p>
    <w:p>
      <w:pPr>
        <w:sectPr>
          <w:pgSz w:w="11900" w:h="16838" w:orient="portrait"/>
          <w:cols w:equalWidth="0" w:num="1">
            <w:col w:w="11240"/>
          </w:cols>
          <w:pgMar w:left="320" w:top="455"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23"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We will pay our sponsor $10,000 per month for office space, utilities, secretarial and administrative support services provided to members of our management team. Upon completion of our initial business combination or our liquidation, we will cease paying these monthly fees.</w:t>
      </w:r>
    </w:p>
    <w:p>
      <w:pPr>
        <w:spacing w:after="0" w:line="9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Prior to the closing of this offering, our sponsor has agreed to loan us up to $300,000 to be used for a portion of the expenses of this offering. These loans are non-interest bearing, unsecured and are due at the earlier of December 31, 2020 or the closing of this offering. The loan will be repaid upon the closing of this offering out of the $1,000,000 of offering proceeds that has been allocated to the payment of offering expenses.</w:t>
      </w:r>
    </w:p>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private placement warrants of the post business combination entity at a price of $1.00 per warrant at the option of the lender. Such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20"/>
          </w:cols>
          <w:pgMar w:left="320" w:top="455" w:right="3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31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or decrease the size of this offering pursuant to Rule 462(b) under the Securities Act, we will effect a share capitalization or other appropriate mechanism immediately prior to the consummation of this offering in such amount as to maintain the number of founder shares at 20.0% of our issued and outstanding ordinary shares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The difference between the public offering price per Class A ordinary share, assuming no value is attributed to the warrants included in the units we are offering pursuant to this prospectus or the private placement warrants, and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of our Class A ordinary shares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At August 3, 2020, our net tangible book deficit was $60,000, or approximately $(0.01) per ordinary share. After giving effect to the sale of 20,000,000 Class A ordinary shares included in the units we are offering by this prospectus (or 23,000,000 Class A ordinary shares if the underwriters’ over-allotment option is exercised in full), the sale of the private placement warrants and the deduction of underwriting commissions and estimated expenses of this offering, our pro forma net tangible book value at August 3, 2020 would have been $5,000,004 or $0.82 per share (or $0.72 per share if the underwriters’ over-allotment option is exercised in full), representing an immediate increase in net tangible book value (as decreased by the value of 18,901,839 Class A ordinary shares that may be redeemed for cash, or 21,796,639 Class A ordinary shares if the underwriters’ over-allotment option is exercised in full) of $0.83 per share (or $0.73 if the underwriters’ over-allotment option is exercised in full) to our initial shareholders as of the date of this prospectus and an immediate dilution to public shareholders from this offering of $10.00 per share. Total dilution to public shareholders from this offering will be $9.18 per share (or $9.28 if the underwriters’ over-allotment option is exercised in full).</w:t>
      </w:r>
    </w:p>
    <w:p>
      <w:pPr>
        <w:spacing w:after="0" w:line="12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following table illustrates the dilution to the public shareholders on a per-share basis, assuming no value is attributed to the warrants included in the units or the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WITHOUT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OVER-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WITH OVER-</w:t>
            </w:r>
          </w:p>
        </w:tc>
        <w:tc>
          <w:tcPr>
            <w:tcW w:w="0" w:type="dxa"/>
            <w:vAlign w:val="bottom"/>
          </w:tcPr>
          <w:p>
            <w:pPr>
              <w:spacing w:after="0"/>
              <w:rPr>
                <w:sz w:val="1"/>
                <w:szCs w:val="1"/>
                <w:color w:val="auto"/>
              </w:rPr>
            </w:pPr>
          </w:p>
        </w:tc>
      </w:tr>
      <w:tr>
        <w:trPr>
          <w:trHeight w:val="177"/>
        </w:trPr>
        <w:tc>
          <w:tcPr>
            <w:tcW w:w="672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ALLOTMENT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ALLOTMENT</w:t>
            </w:r>
          </w:p>
        </w:tc>
        <w:tc>
          <w:tcPr>
            <w:tcW w:w="0" w:type="dxa"/>
            <w:vAlign w:val="bottom"/>
          </w:tcPr>
          <w:p>
            <w:pPr>
              <w:spacing w:after="0"/>
              <w:rPr>
                <w:sz w:val="1"/>
                <w:szCs w:val="1"/>
                <w:color w:val="auto"/>
              </w:rPr>
            </w:pPr>
          </w:p>
        </w:tc>
      </w:tr>
      <w:tr>
        <w:trPr>
          <w:trHeight w:val="183"/>
        </w:trPr>
        <w:tc>
          <w:tcPr>
            <w:tcW w:w="67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CCEEFF"/>
            </w:tcBorders>
            <w:gridSpan w:val="2"/>
            <w:shd w:val="clear" w:color="auto" w:fill="CCEEFF"/>
          </w:tcPr>
          <w:p>
            <w:pPr>
              <w:jc w:val="right"/>
              <w:ind w:right="580"/>
              <w:spacing w:after="0" w:line="183" w:lineRule="exact"/>
              <w:rPr>
                <w:sz w:val="20"/>
                <w:szCs w:val="20"/>
                <w:color w:val="auto"/>
              </w:rPr>
            </w:pPr>
            <w:r>
              <w:rPr>
                <w:rFonts w:ascii="Arial" w:cs="Arial" w:eastAsia="Arial" w:hAnsi="Arial"/>
                <w:sz w:val="17"/>
                <w:szCs w:val="17"/>
                <w:color w:val="auto"/>
                <w:w w:val="98"/>
              </w:rPr>
              <w:t>10.00</w:t>
            </w:r>
          </w:p>
        </w:tc>
        <w:tc>
          <w:tcPr>
            <w:tcW w:w="920" w:type="dxa"/>
            <w:vAlign w:val="bottom"/>
            <w:tcBorders>
              <w:top w:val="single" w:sz="8" w:color="CCEEFF"/>
            </w:tcBorders>
            <w:gridSpan w:val="2"/>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10.00</w:t>
            </w: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20" w:type="dxa"/>
            <w:vAlign w:val="bottom"/>
          </w:tcPr>
          <w:p>
            <w:pPr>
              <w:spacing w:after="0" w:line="189" w:lineRule="exact"/>
              <w:rPr>
                <w:sz w:val="20"/>
                <w:szCs w:val="20"/>
                <w:color w:val="auto"/>
              </w:rPr>
            </w:pPr>
            <w:r>
              <w:rPr>
                <w:rFonts w:ascii="Arial" w:cs="Arial" w:eastAsia="Arial" w:hAnsi="Arial"/>
                <w:sz w:val="17"/>
                <w:szCs w:val="17"/>
                <w:color w:val="auto"/>
              </w:rPr>
              <w:t>Net tangible book deficit before this offering</w:t>
            </w: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(0.01)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(0.01)</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 attributable to public shareholders</w:t>
            </w:r>
          </w:p>
        </w:tc>
        <w:tc>
          <w:tcPr>
            <w:tcW w:w="11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0.83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0.73</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720" w:type="dxa"/>
            <w:vAlign w:val="bottom"/>
          </w:tcPr>
          <w:p>
            <w:pPr>
              <w:spacing w:after="0" w:line="168" w:lineRule="exact"/>
              <w:rPr>
                <w:sz w:val="20"/>
                <w:szCs w:val="20"/>
                <w:color w:val="auto"/>
              </w:rPr>
            </w:pPr>
            <w:r>
              <w:rPr>
                <w:rFonts w:ascii="Arial" w:cs="Arial" w:eastAsia="Arial" w:hAnsi="Arial"/>
                <w:sz w:val="17"/>
                <w:szCs w:val="17"/>
                <w:i w:val="1"/>
                <w:iCs w:val="1"/>
                <w:color w:val="auto"/>
              </w:rPr>
              <w:t xml:space="preserve">Pro forma </w:t>
            </w:r>
            <w:r>
              <w:rPr>
                <w:rFonts w:ascii="Arial" w:cs="Arial" w:eastAsia="Arial" w:hAnsi="Arial"/>
                <w:sz w:val="17"/>
                <w:szCs w:val="17"/>
                <w:color w:val="auto"/>
              </w:rPr>
              <w:t>net tangible book value after this offering and the sale of the private</w:t>
            </w: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60"/>
              <w:spacing w:after="0"/>
              <w:rPr>
                <w:sz w:val="20"/>
                <w:szCs w:val="20"/>
                <w:color w:val="auto"/>
              </w:rPr>
            </w:pPr>
            <w:r>
              <w:rPr>
                <w:rFonts w:ascii="Arial" w:cs="Arial" w:eastAsia="Arial" w:hAnsi="Arial"/>
                <w:sz w:val="17"/>
                <w:szCs w:val="17"/>
                <w:color w:val="auto"/>
              </w:rPr>
              <w:t>placement warrants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0.82</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to public shareholders</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9.18</w:t>
            </w:r>
          </w:p>
        </w:tc>
        <w:tc>
          <w:tcPr>
            <w:tcW w:w="1200" w:type="dxa"/>
            <w:vAlign w:val="bottom"/>
            <w:gridSpan w:val="3"/>
            <w:shd w:val="clear" w:color="auto" w:fill="CCEEFF"/>
          </w:tcPr>
          <w:p>
            <w:pPr>
              <w:ind w:left="92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7"/>
                <w:szCs w:val="17"/>
                <w:color w:val="auto"/>
              </w:rPr>
              <w:t>Percentage of dilution to public shareholders</w:t>
            </w: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91.8%</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 xml:space="preserve">For purposes of presentation, we have reduced our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after this offering (assuming no exercise of the underwriters’ over-allotment option) by $189,018,390 because holders of up to approximately 94.5% of our public shares may redeem their shares for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shareholders meeting, including interest earned on the funds held in the trust account and not previously released to us to pay our taxes), divided by the number of Class A ordinary shares sold in this offering.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455"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our initial shareholders and the public shareholders: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80" w:type="dxa"/>
            <w:vAlign w:val="bottom"/>
          </w:tcPr>
          <w:p>
            <w:pPr>
              <w:spacing w:after="0"/>
              <w:rPr>
                <w:sz w:val="15"/>
                <w:szCs w:val="15"/>
                <w:color w:val="auto"/>
              </w:rPr>
            </w:pPr>
          </w:p>
        </w:tc>
        <w:tc>
          <w:tcPr>
            <w:tcW w:w="268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PURCHASED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TOTAL CONSIDERATION</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AVERAGE PRICE</w:t>
            </w:r>
          </w:p>
        </w:tc>
      </w:tr>
      <w:tr>
        <w:trPr>
          <w:trHeight w:val="156"/>
        </w:trPr>
        <w:tc>
          <w:tcPr>
            <w:tcW w:w="408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NUMBER</w:t>
            </w:r>
          </w:p>
        </w:tc>
        <w:tc>
          <w:tcPr>
            <w:tcW w:w="42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3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5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PER SHARE</w:t>
            </w:r>
          </w:p>
        </w:tc>
        <w:tc>
          <w:tcPr>
            <w:tcW w:w="60" w:type="dxa"/>
            <w:vAlign w:val="bottom"/>
            <w:tcBorders>
              <w:bottom w:val="single" w:sz="8" w:color="CCEEFF"/>
            </w:tcBorders>
          </w:tcPr>
          <w:p>
            <w:pPr>
              <w:spacing w:after="0"/>
              <w:rPr>
                <w:sz w:val="13"/>
                <w:szCs w:val="13"/>
                <w:color w:val="auto"/>
              </w:rPr>
            </w:pPr>
          </w:p>
        </w:tc>
      </w:tr>
      <w:tr>
        <w:trPr>
          <w:trHeight w:val="182"/>
        </w:trPr>
        <w:tc>
          <w:tcPr>
            <w:tcW w:w="4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Initial Shareholders </w:t>
            </w:r>
            <w:r>
              <w:rPr>
                <w:rFonts w:ascii="Arial" w:cs="Arial" w:eastAsia="Arial" w:hAnsi="Arial"/>
                <w:sz w:val="14"/>
                <w:szCs w:val="14"/>
                <w:color w:val="auto"/>
              </w:rPr>
              <w:t>(1)</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5,000,000</w:t>
            </w:r>
          </w:p>
        </w:tc>
        <w:tc>
          <w:tcPr>
            <w:tcW w:w="4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20.0%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25,000</w:t>
            </w:r>
          </w:p>
        </w:tc>
        <w:tc>
          <w:tcPr>
            <w:tcW w:w="4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400"/>
              <w:spacing w:after="0" w:line="183" w:lineRule="exact"/>
              <w:rPr>
                <w:sz w:val="20"/>
                <w:szCs w:val="20"/>
                <w:color w:val="auto"/>
              </w:rPr>
            </w:pPr>
            <w:r>
              <w:rPr>
                <w:rFonts w:ascii="Arial" w:cs="Arial" w:eastAsia="Arial" w:hAnsi="Arial"/>
                <w:sz w:val="17"/>
                <w:szCs w:val="17"/>
                <w:color w:val="auto"/>
              </w:rPr>
              <w:t>0.01%</w:t>
            </w: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0.005</w:t>
            </w:r>
          </w:p>
        </w:tc>
        <w:tc>
          <w:tcPr>
            <w:tcW w:w="60" w:type="dxa"/>
            <w:vAlign w:val="bottom"/>
            <w:shd w:val="clear" w:color="auto" w:fill="CCEEFF"/>
          </w:tcPr>
          <w:p>
            <w:pPr>
              <w:spacing w:after="0"/>
              <w:rPr>
                <w:sz w:val="15"/>
                <w:szCs w:val="15"/>
                <w:color w:val="auto"/>
              </w:rPr>
            </w:pPr>
          </w:p>
        </w:tc>
      </w:tr>
      <w:tr>
        <w:trPr>
          <w:trHeight w:val="189"/>
        </w:trPr>
        <w:tc>
          <w:tcPr>
            <w:tcW w:w="4080" w:type="dxa"/>
            <w:vAlign w:val="bottom"/>
          </w:tcPr>
          <w:p>
            <w:pPr>
              <w:spacing w:after="0" w:line="189" w:lineRule="exact"/>
              <w:rPr>
                <w:sz w:val="20"/>
                <w:szCs w:val="20"/>
                <w:color w:val="auto"/>
              </w:rPr>
            </w:pPr>
            <w:r>
              <w:rPr>
                <w:rFonts w:ascii="Arial" w:cs="Arial" w:eastAsia="Arial" w:hAnsi="Arial"/>
                <w:sz w:val="17"/>
                <w:szCs w:val="17"/>
                <w:color w:val="auto"/>
              </w:rPr>
              <w:t>Public Shareholders</w:t>
            </w:r>
          </w:p>
        </w:tc>
        <w:tc>
          <w:tcPr>
            <w:tcW w:w="132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20,000,000</w:t>
            </w:r>
          </w:p>
        </w:tc>
        <w:tc>
          <w:tcPr>
            <w:tcW w:w="13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80.0%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w w:val="99"/>
              </w:rPr>
              <w:t>200,000,000</w:t>
            </w:r>
          </w:p>
        </w:tc>
        <w:tc>
          <w:tcPr>
            <w:tcW w:w="156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99.99%</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10.00</w:t>
            </w:r>
          </w:p>
        </w:tc>
      </w:tr>
      <w:tr>
        <w:trPr>
          <w:trHeight w:val="27"/>
        </w:trPr>
        <w:tc>
          <w:tcPr>
            <w:tcW w:w="40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0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25,000,000</w:t>
            </w:r>
          </w:p>
        </w:tc>
        <w:tc>
          <w:tcPr>
            <w:tcW w:w="13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100.0%</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138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200,025,000</w:t>
            </w:r>
          </w:p>
        </w:tc>
        <w:tc>
          <w:tcPr>
            <w:tcW w:w="15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100.00%</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4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ind w:left="440" w:right="100" w:hanging="257"/>
        <w:spacing w:after="0" w:line="195" w:lineRule="auto"/>
        <w:tabs>
          <w:tab w:leader="none" w:pos="440" w:val="left"/>
        </w:tabs>
        <w:numPr>
          <w:ilvl w:val="0"/>
          <w:numId w:val="33"/>
        </w:numPr>
        <w:rPr>
          <w:rFonts w:ascii="Arial" w:cs="Arial" w:eastAsia="Arial" w:hAnsi="Arial"/>
          <w:sz w:val="24"/>
          <w:szCs w:val="24"/>
          <w:color w:val="auto"/>
          <w:vertAlign w:val="superscript"/>
        </w:rPr>
      </w:pPr>
      <w:r>
        <w:rPr>
          <w:rFonts w:ascii="Arial" w:cs="Arial" w:eastAsia="Arial" w:hAnsi="Arial"/>
          <w:sz w:val="14"/>
          <w:szCs w:val="14"/>
          <w:color w:val="auto"/>
        </w:rPr>
        <w:t>Assumes that 750,000 founder shares are surrendered to us for no consideration after the closing of this offering in the event the underwriters do not exercise their over-allotment option.</w:t>
      </w:r>
    </w:p>
    <w:p>
      <w:pPr>
        <w:spacing w:after="0" w:line="116"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after the offering (assuming that the underwriters do not exercise their over-allotment option)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WITHOUT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OVER-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WITH OVER-</w:t>
            </w:r>
          </w:p>
        </w:tc>
        <w:tc>
          <w:tcPr>
            <w:tcW w:w="0" w:type="dxa"/>
            <w:vAlign w:val="bottom"/>
          </w:tcPr>
          <w:p>
            <w:pPr>
              <w:spacing w:after="0"/>
              <w:rPr>
                <w:sz w:val="1"/>
                <w:szCs w:val="1"/>
                <w:color w:val="auto"/>
              </w:rPr>
            </w:pPr>
          </w:p>
        </w:tc>
      </w:tr>
      <w:tr>
        <w:trPr>
          <w:trHeight w:val="177"/>
        </w:trPr>
        <w:tc>
          <w:tcPr>
            <w:tcW w:w="7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ALLOTMENT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ALLOTMENT</w:t>
            </w:r>
          </w:p>
        </w:tc>
        <w:tc>
          <w:tcPr>
            <w:tcW w:w="0" w:type="dxa"/>
            <w:vAlign w:val="bottom"/>
          </w:tcPr>
          <w:p>
            <w:pPr>
              <w:spacing w:after="0"/>
              <w:rPr>
                <w:sz w:val="1"/>
                <w:szCs w:val="1"/>
                <w:color w:val="auto"/>
              </w:rPr>
            </w:pPr>
          </w:p>
        </w:tc>
      </w:tr>
      <w:tr>
        <w:trPr>
          <w:trHeight w:val="169"/>
        </w:trPr>
        <w:tc>
          <w:tcPr>
            <w:tcW w:w="75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6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Net tangible book deficit before this offering</w:t>
            </w:r>
          </w:p>
        </w:tc>
        <w:tc>
          <w:tcPr>
            <w:tcW w:w="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(60,000)</w:t>
            </w: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(60,000)</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Net proceeds from this offering and sale of the private placement warrants </w:t>
            </w:r>
            <w:r>
              <w:rPr>
                <w:rFonts w:ascii="Arial" w:cs="Arial" w:eastAsia="Arial" w:hAnsi="Arial"/>
                <w:sz w:val="14"/>
                <w:szCs w:val="14"/>
                <w:color w:val="auto"/>
              </w:rPr>
              <w:t>(1)</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201,000,000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231,000,000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Plus: Offering costs paid in advance, excluded from tangible book value before this offering</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78,394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78,394</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Deferred underwriting commissions</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(7,000,000)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(8,050,000)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 xml:space="preserve">Less: Proceeds held in trust subject to redemption </w:t>
            </w:r>
            <w:r>
              <w:rPr>
                <w:rFonts w:ascii="Arial" w:cs="Arial" w:eastAsia="Arial" w:hAnsi="Arial"/>
                <w:sz w:val="14"/>
                <w:szCs w:val="14"/>
                <w:color w:val="auto"/>
              </w:rPr>
              <w:t>(2)</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w w:val="98"/>
              </w:rPr>
              <w:t>(189,018,390)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8"/>
              </w:rPr>
              <w:t>(217,968,390)</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5,000,004</w:t>
            </w:r>
          </w:p>
        </w:tc>
        <w:tc>
          <w:tcPr>
            <w:tcW w:w="4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5,000,004</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7"/>
                <w:szCs w:val="17"/>
                <w:color w:val="auto"/>
              </w:rPr>
              <w:t>Denominator:</w:t>
            </w: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Ordinary shares outstanding prior to this offering </w:t>
            </w:r>
            <w:r>
              <w:rPr>
                <w:rFonts w:ascii="Arial" w:cs="Arial" w:eastAsia="Arial" w:hAnsi="Arial"/>
                <w:sz w:val="14"/>
                <w:szCs w:val="14"/>
                <w:color w:val="auto"/>
              </w:rPr>
              <w:t>(3)</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5,750,000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5,750,000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Ordinary shares forfeited if over-allotment is not exercised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(750,000)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Ordinary shares included in the units offered</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20,000,000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23,000,000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Less: Ordinary shares subject to redemption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(18,901,839)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(21,796,839)</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6,098,161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6,953,161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p>
      <w:pPr>
        <w:ind w:left="440" w:right="140" w:hanging="257"/>
        <w:spacing w:after="0" w:line="187" w:lineRule="auto"/>
        <w:tabs>
          <w:tab w:leader="none" w:pos="440" w:val="left"/>
        </w:tabs>
        <w:numPr>
          <w:ilvl w:val="0"/>
          <w:numId w:val="34"/>
        </w:numPr>
        <w:rPr>
          <w:rFonts w:ascii="Arial" w:cs="Arial" w:eastAsia="Arial" w:hAnsi="Arial"/>
          <w:sz w:val="24"/>
          <w:szCs w:val="24"/>
          <w:color w:val="auto"/>
          <w:vertAlign w:val="superscript"/>
        </w:rPr>
      </w:pPr>
      <w:r>
        <w:rPr>
          <w:rFonts w:ascii="Arial" w:cs="Arial" w:eastAsia="Arial" w:hAnsi="Arial"/>
          <w:sz w:val="14"/>
          <w:szCs w:val="14"/>
          <w:color w:val="auto"/>
        </w:rPr>
        <w:t>Expenses applied against gross proceeds include offering expenses of $1.0 million and underwriting commissions of $4.0 million (excluding deferred underwriting fees). See “</w:t>
      </w:r>
      <w:r>
        <w:rPr>
          <w:rFonts w:ascii="Arial" w:cs="Arial" w:eastAsia="Arial" w:hAnsi="Arial"/>
          <w:sz w:val="14"/>
          <w:szCs w:val="14"/>
          <w:i w:val="1"/>
          <w:iCs w:val="1"/>
          <w:color w:val="auto"/>
        </w:rPr>
        <w:t>Use of Proceeds</w:t>
      </w:r>
      <w:r>
        <w:rPr>
          <w:rFonts w:ascii="Arial" w:cs="Arial" w:eastAsia="Arial" w:hAnsi="Arial"/>
          <w:sz w:val="14"/>
          <w:szCs w:val="14"/>
          <w:color w:val="auto"/>
        </w:rPr>
        <w:t>.”</w:t>
      </w:r>
    </w:p>
    <w:p>
      <w:pPr>
        <w:spacing w:after="0" w:line="1" w:lineRule="exact"/>
        <w:rPr>
          <w:rFonts w:ascii="Arial" w:cs="Arial" w:eastAsia="Arial" w:hAnsi="Arial"/>
          <w:sz w:val="24"/>
          <w:szCs w:val="24"/>
          <w:color w:val="auto"/>
          <w:vertAlign w:val="superscript"/>
        </w:rPr>
      </w:pPr>
    </w:p>
    <w:p>
      <w:pPr>
        <w:ind w:left="440" w:right="20" w:hanging="257"/>
        <w:spacing w:after="0"/>
        <w:tabs>
          <w:tab w:leader="none" w:pos="440" w:val="left"/>
        </w:tabs>
        <w:numPr>
          <w:ilvl w:val="0"/>
          <w:numId w:val="34"/>
        </w:numPr>
        <w:rPr>
          <w:rFonts w:ascii="Arial" w:cs="Arial" w:eastAsia="Arial" w:hAnsi="Arial"/>
          <w:sz w:val="24"/>
          <w:szCs w:val="24"/>
          <w:color w:val="auto"/>
          <w:vertAlign w:val="superscript"/>
        </w:rPr>
      </w:pPr>
      <w:r>
        <w:rPr>
          <w:rFonts w:ascii="Arial" w:cs="Arial" w:eastAsia="Arial" w:hAnsi="Arial"/>
          <w:sz w:val="14"/>
          <w:szCs w:val="14"/>
          <w:color w:val="auto"/>
        </w:rPr>
        <w:t xml:space="preserve">If we seek shareholder approval of our initial business combination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w:t>
      </w:r>
      <w:r>
        <w:rPr>
          <w:rFonts w:ascii="Arial" w:cs="Arial" w:eastAsia="Arial" w:hAnsi="Arial"/>
          <w:sz w:val="14"/>
          <w:szCs w:val="14"/>
          <w:i w:val="1"/>
          <w:iCs w:val="1"/>
          <w:color w:val="auto"/>
        </w:rPr>
        <w:t>pro forma</w:t>
      </w:r>
      <w:r>
        <w:rPr>
          <w:rFonts w:ascii="Arial" w:cs="Arial" w:eastAsia="Arial" w:hAnsi="Arial"/>
          <w:sz w:val="14"/>
          <w:szCs w:val="14"/>
          <w:color w:val="auto"/>
        </w:rPr>
        <w:t xml:space="preserve"> net tangible book value per share. See “</w:t>
      </w:r>
      <w:r>
        <w:rPr>
          <w:rFonts w:ascii="Arial" w:cs="Arial" w:eastAsia="Arial" w:hAnsi="Arial"/>
          <w:sz w:val="14"/>
          <w:szCs w:val="14"/>
          <w:i w:val="1"/>
          <w:iCs w:val="1"/>
          <w:color w:val="auto"/>
        </w:rPr>
        <w:t>Proposed Business—Effecting Our Initial Business Combination—Permitted Purchases of Our</w:t>
      </w:r>
      <w:r>
        <w:rPr>
          <w:rFonts w:ascii="Arial" w:cs="Arial" w:eastAsia="Arial" w:hAnsi="Arial"/>
          <w:sz w:val="14"/>
          <w:szCs w:val="14"/>
          <w:color w:val="auto"/>
        </w:rPr>
        <w:t xml:space="preserve"> </w:t>
      </w:r>
      <w:r>
        <w:rPr>
          <w:rFonts w:ascii="Arial" w:cs="Arial" w:eastAsia="Arial" w:hAnsi="Arial"/>
          <w:sz w:val="14"/>
          <w:szCs w:val="14"/>
          <w:i w:val="1"/>
          <w:iCs w:val="1"/>
          <w:color w:val="auto"/>
        </w:rPr>
        <w:t>Securities</w:t>
      </w:r>
      <w:r>
        <w:rPr>
          <w:rFonts w:ascii="Arial" w:cs="Arial" w:eastAsia="Arial" w:hAnsi="Arial"/>
          <w:sz w:val="14"/>
          <w:szCs w:val="14"/>
          <w:color w:val="auto"/>
        </w:rPr>
        <w:t>.”</w:t>
      </w:r>
    </w:p>
    <w:p>
      <w:pPr>
        <w:spacing w:after="0" w:line="52" w:lineRule="exact"/>
        <w:rPr>
          <w:rFonts w:ascii="Arial" w:cs="Arial" w:eastAsia="Arial" w:hAnsi="Arial"/>
          <w:sz w:val="24"/>
          <w:szCs w:val="24"/>
          <w:color w:val="auto"/>
          <w:vertAlign w:val="superscript"/>
        </w:rPr>
      </w:pPr>
    </w:p>
    <w:p>
      <w:pPr>
        <w:ind w:left="440" w:hanging="257"/>
        <w:spacing w:after="0" w:line="183" w:lineRule="auto"/>
        <w:tabs>
          <w:tab w:leader="none" w:pos="440" w:val="left"/>
        </w:tabs>
        <w:numPr>
          <w:ilvl w:val="0"/>
          <w:numId w:val="34"/>
        </w:numPr>
        <w:rPr>
          <w:rFonts w:ascii="Arial" w:cs="Arial" w:eastAsia="Arial" w:hAnsi="Arial"/>
          <w:sz w:val="20"/>
          <w:szCs w:val="20"/>
          <w:color w:val="auto"/>
          <w:vertAlign w:val="superscript"/>
        </w:rPr>
      </w:pPr>
      <w:r>
        <w:rPr>
          <w:rFonts w:ascii="Arial" w:cs="Arial" w:eastAsia="Arial" w:hAnsi="Arial"/>
          <w:sz w:val="12"/>
          <w:szCs w:val="12"/>
          <w:color w:val="auto"/>
        </w:rPr>
        <w:t>Assumes that 750,000 founder shares are surrendered to us for no consideration.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455"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6"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The following table sets forth our capitalization at August 3, 2020, and as adjusted to give effect to the filing of our amended and restated memorandum and articles of association, the sale of our units in this offering and the sale of the private placement warrants and the application of the estimated net proceeds derived from the sale of such securities, assuming no exercise by the underwriters of their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AUGUST 3, 2020</w:t>
            </w:r>
          </w:p>
        </w:tc>
      </w:tr>
      <w:tr>
        <w:trPr>
          <w:trHeight w:val="156"/>
        </w:trPr>
        <w:tc>
          <w:tcPr>
            <w:tcW w:w="8860" w:type="dxa"/>
            <w:vAlign w:val="bottom"/>
          </w:tcPr>
          <w:p>
            <w:pPr>
              <w:spacing w:after="0"/>
              <w:rPr>
                <w:sz w:val="13"/>
                <w:szCs w:val="13"/>
                <w:color w:val="auto"/>
              </w:rPr>
            </w:pPr>
          </w:p>
        </w:tc>
        <w:tc>
          <w:tcPr>
            <w:tcW w:w="900" w:type="dxa"/>
            <w:vAlign w:val="bottom"/>
            <w:tcBorders>
              <w:top w:val="single" w:sz="8" w:color="auto"/>
            </w:tcBorders>
            <w:gridSpan w:val="4"/>
          </w:tcPr>
          <w:p>
            <w:pPr>
              <w:jc w:val="right"/>
              <w:ind w:right="240"/>
              <w:spacing w:after="0" w:line="155" w:lineRule="exact"/>
              <w:rPr>
                <w:sz w:val="20"/>
                <w:szCs w:val="20"/>
                <w:color w:val="auto"/>
              </w:rPr>
            </w:pPr>
            <w:r>
              <w:rPr>
                <w:rFonts w:ascii="Arial" w:cs="Arial" w:eastAsia="Arial" w:hAnsi="Arial"/>
                <w:sz w:val="14"/>
                <w:szCs w:val="14"/>
                <w:b w:val="1"/>
                <w:bCs w:val="1"/>
                <w:color w:val="auto"/>
              </w:rPr>
              <w:t>ACTUAL</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AS ADJUSTED</w:t>
            </w:r>
          </w:p>
        </w:tc>
        <w:tc>
          <w:tcPr>
            <w:tcW w:w="140" w:type="dxa"/>
            <w:vAlign w:val="bottom"/>
          </w:tcPr>
          <w:p>
            <w:pPr>
              <w:spacing w:after="0"/>
              <w:rPr>
                <w:sz w:val="13"/>
                <w:szCs w:val="13"/>
                <w:color w:val="auto"/>
              </w:rPr>
            </w:pPr>
          </w:p>
        </w:tc>
      </w:tr>
      <w:tr>
        <w:trPr>
          <w:trHeight w:val="183"/>
        </w:trPr>
        <w:tc>
          <w:tcPr>
            <w:tcW w:w="8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 xml:space="preserve">Notes payable to related party </w:t>
            </w:r>
            <w:r>
              <w:rPr>
                <w:rFonts w:ascii="Arial" w:cs="Arial" w:eastAsia="Arial" w:hAnsi="Arial"/>
                <w:sz w:val="14"/>
                <w:szCs w:val="14"/>
                <w:color w:val="auto"/>
              </w:rPr>
              <w:t>(1)</w:t>
            </w: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5"/>
                <w:szCs w:val="15"/>
                <w:color w:val="auto"/>
              </w:rPr>
            </w:pPr>
          </w:p>
        </w:tc>
      </w:tr>
      <w:tr>
        <w:trPr>
          <w:trHeight w:val="189"/>
        </w:trPr>
        <w:tc>
          <w:tcPr>
            <w:tcW w:w="8860" w:type="dxa"/>
            <w:vAlign w:val="bottom"/>
          </w:tcPr>
          <w:p>
            <w:pPr>
              <w:spacing w:after="0" w:line="189" w:lineRule="exact"/>
              <w:rPr>
                <w:sz w:val="20"/>
                <w:szCs w:val="20"/>
                <w:color w:val="auto"/>
              </w:rPr>
            </w:pPr>
            <w:r>
              <w:rPr>
                <w:rFonts w:ascii="Arial" w:cs="Arial" w:eastAsia="Arial" w:hAnsi="Arial"/>
                <w:sz w:val="17"/>
                <w:szCs w:val="17"/>
                <w:color w:val="auto"/>
              </w:rPr>
              <w:t>Deferred underwriting commissions</w:t>
            </w:r>
          </w:p>
        </w:tc>
        <w:tc>
          <w:tcPr>
            <w:tcW w:w="140" w:type="dxa"/>
            <w:vAlign w:val="bottom"/>
          </w:tcPr>
          <w:p>
            <w:pPr>
              <w:spacing w:after="0"/>
              <w:rPr>
                <w:sz w:val="16"/>
                <w:szCs w:val="16"/>
                <w:color w:val="auto"/>
              </w:rPr>
            </w:pPr>
          </w:p>
        </w:tc>
        <w:tc>
          <w:tcPr>
            <w:tcW w:w="76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7,000,000</w:t>
            </w:r>
          </w:p>
        </w:tc>
      </w:tr>
      <w:tr>
        <w:trPr>
          <w:trHeight w:val="161"/>
        </w:trPr>
        <w:tc>
          <w:tcPr>
            <w:tcW w:w="886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Class A ordinary shares, $0.0001 par value, 200,000,000 shares authorized; -0- and 18,901,839 shares are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217"/>
        </w:trPr>
        <w:tc>
          <w:tcPr>
            <w:tcW w:w="88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xml:space="preserve">subject to possible redemption, respectively </w:t>
            </w:r>
            <w:r>
              <w:rPr>
                <w:rFonts w:ascii="Arial" w:cs="Arial" w:eastAsia="Arial" w:hAnsi="Arial"/>
                <w:sz w:val="14"/>
                <w:szCs w:val="14"/>
                <w:color w:val="auto"/>
              </w:rPr>
              <w:t>(2)</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189,018,390</w:t>
            </w:r>
          </w:p>
        </w:tc>
      </w:tr>
      <w:tr>
        <w:trPr>
          <w:trHeight w:val="161"/>
        </w:trPr>
        <w:tc>
          <w:tcPr>
            <w:tcW w:w="8860" w:type="dxa"/>
            <w:vAlign w:val="bottom"/>
          </w:tcPr>
          <w:p>
            <w:pPr>
              <w:spacing w:after="0" w:line="161" w:lineRule="exact"/>
              <w:rPr>
                <w:sz w:val="20"/>
                <w:szCs w:val="20"/>
                <w:color w:val="auto"/>
              </w:rPr>
            </w:pPr>
            <w:r>
              <w:rPr>
                <w:rFonts w:ascii="Arial" w:cs="Arial" w:eastAsia="Arial" w:hAnsi="Arial"/>
                <w:sz w:val="17"/>
                <w:szCs w:val="17"/>
                <w:color w:val="auto"/>
              </w:rPr>
              <w:t>Preference shares, $0.0001 par value; 1,000,000 shares authorized; none issued and outstanding, actual and as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7"/>
        </w:trPr>
        <w:tc>
          <w:tcPr>
            <w:tcW w:w="8860" w:type="dxa"/>
            <w:vAlign w:val="bottom"/>
          </w:tcPr>
          <w:p>
            <w:pPr>
              <w:ind w:left="260"/>
              <w:spacing w:after="0"/>
              <w:rPr>
                <w:sz w:val="20"/>
                <w:szCs w:val="20"/>
                <w:color w:val="auto"/>
              </w:rPr>
            </w:pPr>
            <w:r>
              <w:rPr>
                <w:rFonts w:ascii="Arial" w:cs="Arial" w:eastAsia="Arial" w:hAnsi="Arial"/>
                <w:sz w:val="17"/>
                <w:szCs w:val="17"/>
                <w:color w:val="auto"/>
              </w:rPr>
              <w:t>adjusted</w:t>
            </w:r>
          </w:p>
        </w:tc>
        <w:tc>
          <w:tcPr>
            <w:tcW w:w="14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61"/>
        </w:trPr>
        <w:tc>
          <w:tcPr>
            <w:tcW w:w="886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Class A ordinary shares, $0.0001 par value, 200,000,000 shares authorized; -0- and 1,098,161 shares issued and</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9"/>
        </w:trPr>
        <w:tc>
          <w:tcPr>
            <w:tcW w:w="88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outstanding (excluding -0- and 18,901,839 shares subject to possible redemption), actual and as adjusted,</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7"/>
        </w:trPr>
        <w:tc>
          <w:tcPr>
            <w:tcW w:w="88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w:t>
            </w:r>
          </w:p>
        </w:tc>
      </w:tr>
      <w:tr>
        <w:trPr>
          <w:trHeight w:val="161"/>
        </w:trPr>
        <w:tc>
          <w:tcPr>
            <w:tcW w:w="8860" w:type="dxa"/>
            <w:vAlign w:val="bottom"/>
          </w:tcPr>
          <w:p>
            <w:pPr>
              <w:spacing w:after="0" w:line="161" w:lineRule="exact"/>
              <w:rPr>
                <w:sz w:val="20"/>
                <w:szCs w:val="20"/>
                <w:color w:val="auto"/>
              </w:rPr>
            </w:pPr>
            <w:r>
              <w:rPr>
                <w:rFonts w:ascii="Arial" w:cs="Arial" w:eastAsia="Arial" w:hAnsi="Arial"/>
                <w:sz w:val="17"/>
                <w:szCs w:val="17"/>
                <w:color w:val="auto"/>
              </w:rPr>
              <w:t>Class B ordinary shares, $0.0001 par value, 20,000,000 shares authorized, 5,750,000 and 5,000,000 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7"/>
        </w:trPr>
        <w:tc>
          <w:tcPr>
            <w:tcW w:w="8860" w:type="dxa"/>
            <w:vAlign w:val="bottom"/>
          </w:tcPr>
          <w:p>
            <w:pPr>
              <w:ind w:left="260"/>
              <w:spacing w:after="0"/>
              <w:rPr>
                <w:sz w:val="20"/>
                <w:szCs w:val="20"/>
                <w:color w:val="auto"/>
              </w:rPr>
            </w:pPr>
            <w:r>
              <w:rPr>
                <w:rFonts w:ascii="Arial" w:cs="Arial" w:eastAsia="Arial" w:hAnsi="Arial"/>
                <w:sz w:val="17"/>
                <w:szCs w:val="17"/>
                <w:color w:val="auto"/>
              </w:rPr>
              <w:t xml:space="preserve">issued and outstanding, actual and as adjusted, respectively </w:t>
            </w:r>
            <w:r>
              <w:rPr>
                <w:rFonts w:ascii="Arial" w:cs="Arial" w:eastAsia="Arial" w:hAnsi="Arial"/>
                <w:sz w:val="14"/>
                <w:szCs w:val="14"/>
                <w:color w:val="auto"/>
              </w:rPr>
              <w:t>(3)</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500</w:t>
            </w:r>
          </w:p>
        </w:tc>
      </w:tr>
      <w:tr>
        <w:trPr>
          <w:trHeight w:val="189"/>
        </w:trPr>
        <w:tc>
          <w:tcPr>
            <w:tcW w:w="8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24,425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5,006,000</w:t>
            </w:r>
          </w:p>
        </w:tc>
      </w:tr>
      <w:tr>
        <w:trPr>
          <w:trHeight w:val="189"/>
        </w:trPr>
        <w:tc>
          <w:tcPr>
            <w:tcW w:w="886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(6,606)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(6,606)</w:t>
            </w:r>
          </w:p>
        </w:tc>
      </w:tr>
      <w:tr>
        <w:trPr>
          <w:trHeight w:val="27"/>
        </w:trPr>
        <w:tc>
          <w:tcPr>
            <w:tcW w:w="8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8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equity</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18,394</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5,000,004</w:t>
            </w:r>
          </w:p>
        </w:tc>
      </w:tr>
      <w:tr>
        <w:trPr>
          <w:trHeight w:val="196"/>
        </w:trPr>
        <w:tc>
          <w:tcPr>
            <w:tcW w:w="8860" w:type="dxa"/>
            <w:vAlign w:val="bottom"/>
          </w:tcPr>
          <w:p>
            <w:pPr>
              <w:spacing w:after="0"/>
              <w:rPr>
                <w:sz w:val="20"/>
                <w:szCs w:val="20"/>
                <w:color w:val="auto"/>
              </w:rPr>
            </w:pPr>
            <w:r>
              <w:rPr>
                <w:rFonts w:ascii="Arial" w:cs="Arial" w:eastAsia="Arial" w:hAnsi="Arial"/>
                <w:sz w:val="17"/>
                <w:szCs w:val="17"/>
                <w:color w:val="auto"/>
              </w:rPr>
              <w:t>Total capitalization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18,394</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201,018,394</w:t>
            </w:r>
          </w:p>
        </w:tc>
        <w:tc>
          <w:tcPr>
            <w:tcW w:w="140" w:type="dxa"/>
            <w:vAlign w:val="bottom"/>
          </w:tcPr>
          <w:p>
            <w:pPr>
              <w:spacing w:after="0"/>
              <w:rPr>
                <w:sz w:val="17"/>
                <w:szCs w:val="17"/>
                <w:color w:val="auto"/>
              </w:rPr>
            </w:pPr>
          </w:p>
        </w:tc>
      </w:tr>
      <w:tr>
        <w:trPr>
          <w:trHeight w:val="20"/>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240" w:hanging="257"/>
        <w:spacing w:after="0" w:line="202" w:lineRule="auto"/>
        <w:tabs>
          <w:tab w:leader="none" w:pos="440"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Our sponsor may loan us up to $300,000 under an unsecured promissory note to be used for a portion of the expenses of this offering. The “as adjusted” information gives effect to the repayment of any loans received from our sponsor out of the proceeds from this offering and the sale of the private placement warrants. To date, we have not borrowed any amounts under the promissory note with our sponsor.</w:t>
      </w:r>
    </w:p>
    <w:p>
      <w:pPr>
        <w:ind w:left="440" w:right="20" w:hanging="257"/>
        <w:spacing w:after="0" w:line="211" w:lineRule="auto"/>
        <w:tabs>
          <w:tab w:leader="none" w:pos="440"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whereby redemptions cannot cause our net tangible assets to be less than $5,000,001 and any limitations (including, but not limited to, cash requirements) created by the terms of the proposed business combination.</w:t>
      </w:r>
    </w:p>
    <w:p>
      <w:pPr>
        <w:spacing w:after="0" w:line="1" w:lineRule="exact"/>
        <w:rPr>
          <w:rFonts w:ascii="Arial" w:cs="Arial" w:eastAsia="Arial" w:hAnsi="Arial"/>
          <w:sz w:val="24"/>
          <w:szCs w:val="24"/>
          <w:color w:val="auto"/>
          <w:vertAlign w:val="superscript"/>
        </w:rPr>
      </w:pPr>
    </w:p>
    <w:p>
      <w:pPr>
        <w:ind w:left="440" w:right="140" w:hanging="257"/>
        <w:spacing w:after="0" w:line="185" w:lineRule="auto"/>
        <w:tabs>
          <w:tab w:leader="none" w:pos="440"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Actual share amount is prior to any forfeiture of founder shares and as adjusted amount assumes no exercise of the underwriters’ over-allotment option and forfeiture of an aggregate of 750,000 founder shares.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455"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are a blank check company incorporated on July 31, 2020 as a Cayman Islands exempted company and incorporated for the purpose of effecting a merger, share exchange, asset acquisition, share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we intend to focus our search on global and regional consumer brands businesses. We intend to effectuate our initial business combination using cash from the proceeds of this offering and the private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other securities issuances, or a combination of the foregoing.</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additional shares in connection with a business combination to the owners of the target or other investors:</w:t>
      </w:r>
    </w:p>
    <w:p>
      <w:pPr>
        <w:spacing w:after="0" w:line="196" w:lineRule="exact"/>
        <w:rPr>
          <w:sz w:val="20"/>
          <w:szCs w:val="20"/>
          <w:color w:val="auto"/>
        </w:rPr>
      </w:pPr>
    </w:p>
    <w:p>
      <w:pPr>
        <w:ind w:left="880" w:right="180" w:hanging="427"/>
        <w:spacing w:after="0" w:line="249" w:lineRule="auto"/>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ind w:left="880" w:right="240" w:hanging="427"/>
        <w:spacing w:after="0" w:line="256" w:lineRule="auto"/>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may subordinate the rights of holders of Class A ordinary shares if preferred shares are issued with rights senior to those afforded our Class A ordinary shares;</w:t>
      </w:r>
    </w:p>
    <w:p>
      <w:pPr>
        <w:spacing w:after="0" w:line="1" w:lineRule="exact"/>
        <w:rPr>
          <w:rFonts w:ascii="MS PGothic" w:cs="MS PGothic" w:eastAsia="MS PGothic" w:hAnsi="MS PGothic"/>
          <w:sz w:val="13"/>
          <w:szCs w:val="13"/>
          <w:color w:val="auto"/>
        </w:rPr>
      </w:pPr>
    </w:p>
    <w:p>
      <w:pPr>
        <w:ind w:left="880" w:hanging="427"/>
        <w:spacing w:after="0" w:line="248" w:lineRule="auto"/>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1" w:lineRule="exact"/>
        <w:rPr>
          <w:rFonts w:ascii="MS PGothic" w:cs="MS PGothic" w:eastAsia="MS PGothic" w:hAnsi="MS PGothic"/>
          <w:sz w:val="13"/>
          <w:szCs w:val="13"/>
          <w:color w:val="auto"/>
        </w:rPr>
      </w:pPr>
    </w:p>
    <w:p>
      <w:pPr>
        <w:ind w:left="880" w:right="520" w:hanging="427"/>
        <w:spacing w:after="0" w:line="256" w:lineRule="auto"/>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may have the effect of delaying or preventing a change of control of us by diluting the share ownership or voting rights of a person seeking to obtain control of us; and</w:t>
      </w:r>
    </w:p>
    <w:p>
      <w:pPr>
        <w:spacing w:after="0" w:line="1" w:lineRule="exact"/>
        <w:rPr>
          <w:rFonts w:ascii="MS PGothic" w:cs="MS PGothic" w:eastAsia="MS PGothic" w:hAnsi="MS PGothic"/>
          <w:sz w:val="13"/>
          <w:szCs w:val="13"/>
          <w:color w:val="auto"/>
        </w:rPr>
      </w:pPr>
    </w:p>
    <w:p>
      <w:pPr>
        <w:ind w:left="880" w:right="300" w:hanging="427"/>
        <w:spacing w:after="0" w:line="256" w:lineRule="auto"/>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may adversely affect prevailing market prices for our Class A ordinary shares and/or warrants. Similarly, if we issue debt securities or otherwise incur significant debt to bank or other lenders or the owners of a target, it could result in:</w:t>
      </w:r>
    </w:p>
    <w:p>
      <w:pPr>
        <w:spacing w:after="0" w:line="1" w:lineRule="exact"/>
        <w:rPr>
          <w:rFonts w:ascii="MS PGothic" w:cs="MS PGothic" w:eastAsia="MS PGothic" w:hAnsi="MS PGothic"/>
          <w:sz w:val="13"/>
          <w:szCs w:val="13"/>
          <w:color w:val="auto"/>
        </w:rPr>
      </w:pPr>
    </w:p>
    <w:p>
      <w:pPr>
        <w:ind w:left="880" w:right="320" w:hanging="427"/>
        <w:spacing w:after="0" w:line="256" w:lineRule="auto"/>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default and foreclosure on our assets if our operating revenues after an initial business combination are insufficient to repay our debt obligations;</w:t>
      </w:r>
    </w:p>
    <w:p>
      <w:pPr>
        <w:spacing w:after="0" w:line="1" w:lineRule="exact"/>
        <w:rPr>
          <w:rFonts w:ascii="MS PGothic" w:cs="MS PGothic" w:eastAsia="MS PGothic" w:hAnsi="MS PGothic"/>
          <w:sz w:val="13"/>
          <w:szCs w:val="13"/>
          <w:color w:val="auto"/>
        </w:rPr>
      </w:pPr>
    </w:p>
    <w:p>
      <w:pPr>
        <w:ind w:left="880" w:right="140" w:hanging="427"/>
        <w:spacing w:after="0" w:line="256" w:lineRule="auto"/>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our immediate payment of all principal and accrued interest, if any, if the debt security is payable on demand;</w:t>
      </w:r>
    </w:p>
    <w:p>
      <w:pPr>
        <w:spacing w:after="0" w:line="34" w:lineRule="exact"/>
        <w:rPr>
          <w:rFonts w:ascii="MS PGothic" w:cs="MS PGothic" w:eastAsia="MS PGothic" w:hAnsi="MS PGothic"/>
          <w:sz w:val="13"/>
          <w:szCs w:val="13"/>
          <w:color w:val="auto"/>
        </w:rPr>
      </w:pPr>
    </w:p>
    <w:p>
      <w:pPr>
        <w:ind w:left="880" w:right="60" w:hanging="427"/>
        <w:spacing w:after="0" w:line="256" w:lineRule="auto"/>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our inability to pay dividends on our Class A ordinary shares;</w:t>
      </w:r>
    </w:p>
    <w:p>
      <w:pPr>
        <w:spacing w:after="0" w:line="34"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limitations on our flexibility in planning for and reacting to changes in our business and in the industry in which we operate;</w:t>
      </w:r>
    </w:p>
    <w:p>
      <w:pPr>
        <w:spacing w:after="0" w:line="34" w:lineRule="exact"/>
        <w:rPr>
          <w:rFonts w:ascii="MS PGothic" w:cs="MS PGothic" w:eastAsia="MS PGothic" w:hAnsi="MS PGothic"/>
          <w:sz w:val="13"/>
          <w:szCs w:val="13"/>
          <w:color w:val="auto"/>
        </w:rPr>
      </w:pPr>
    </w:p>
    <w:p>
      <w:pPr>
        <w:ind w:left="880" w:right="900" w:hanging="427"/>
        <w:spacing w:after="0" w:line="256" w:lineRule="auto"/>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increased vulnerability to adverse changes in general economic, industry and competitive conditions and adverse changes in government regulation; and</w:t>
      </w:r>
    </w:p>
    <w:p>
      <w:pPr>
        <w:spacing w:after="0" w:line="1" w:lineRule="exact"/>
        <w:rPr>
          <w:rFonts w:ascii="MS PGothic" w:cs="MS PGothic" w:eastAsia="MS PGothic" w:hAnsi="MS PGothic"/>
          <w:sz w:val="13"/>
          <w:szCs w:val="13"/>
          <w:color w:val="auto"/>
        </w:rPr>
      </w:pPr>
    </w:p>
    <w:p>
      <w:pPr>
        <w:ind w:left="880" w:right="560" w:hanging="427"/>
        <w:spacing w:after="0" w:line="273" w:lineRule="auto"/>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00"/>
          </w:cols>
          <w:pgMar w:left="320" w:top="455" w:right="3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As indicated in the accompanying financial statements, at August 3, 2020, we had no cash and deferred offering costs of $78,394. Further, we expect to incur significant costs in the pursuit of our initial business combination. We cannot assure you that our plans to raise capital or to complete our initial business combination will be successful.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0"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Our liquidity needs have been satisfied prior to the completion of this offering through receipt of a $25,000 capital contribution from our sponsor in exchange for the issuance of the founder shares to our sponsor and $300,000 in loans from our sponsor.</w:t>
      </w:r>
    </w:p>
    <w:p>
      <w:pPr>
        <w:spacing w:after="0" w:line="9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estimate that the net proceeds from the sale of the units in this offering and the sale of the private placement warrants for an aggregate purchase price of $6,000,000 (or $6,600,000 if the underwriters’ over-allotment option is exercised in full), after deducting offering expenses of approximately $1,000,000 and underwriting commissions of $4,000,000 (or $4,600,000 if the underwriters’ over-allotment option is exercised in full) (excluding deferred underwriting commissions of $7,000,000, or $8,050,000 if the underwriters’ over-allotment option is exercised in full), will be $201,000,000 (or $231,000,000 if the underwriters’ over-allotment option is exercised in full). $200,000,000 (or $230,000,000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23"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(excluding deferred underwriting commissions) to complete our initial business combination. We may withdraw interest to pay our taxes, if any.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23"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Prior to the completion of our initial business combination, we will have available to us the approximately $1,000,000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prior to our initial business combination. However, if our estimates of the costs of</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320" w:top="455"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warrants of the post business combination entity at a price of $1.00 per warrant at the option of the lender. Such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7"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We expect our primary liquidity requirements during that period to include approximately $350,000 for legal, accounting, due diligence, travel and other expenses associated with structuring, negotiating and documenting successful business combinations; $150,000 for legal and accounting fees related to regulatory reporting requirements; $240,000 for administrative and support services; $55,000 for continued listing fees; $100,000 for reserve for liquidation; and approximately $105,000 for general working capital that will be used for miscellaneous expenses and reserves. We will also pay our sponsor $10,000 per month for office space, utilities, secretarial and administrative services provided to members of our management team.</w:t>
      </w:r>
    </w:p>
    <w:p>
      <w:pPr>
        <w:spacing w:after="0" w:line="12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units,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40"/>
          </w:cols>
          <w:pgMar w:left="320" w:top="455"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22"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64" w:lineRule="exact"/>
        <w:rPr>
          <w:sz w:val="20"/>
          <w:szCs w:val="20"/>
          <w:color w:val="auto"/>
        </w:rPr>
      </w:pPr>
    </w:p>
    <w:p>
      <w:pPr>
        <w:ind w:left="880" w:hanging="427"/>
        <w:spacing w:after="0"/>
        <w:tabs>
          <w:tab w:leader="none" w:pos="8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staffing for financial, accounting and external reporting areas, including segregation of duties;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reconciliation of accounts;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proper recording of expenses and liabilities in the period to which they relate;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evidence of internal review and approval of accounting transactions;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documentation of processes, assumptions and conclusions underlying significant estimates;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documentation of accounting policies and procedures.</w:t>
      </w:r>
    </w:p>
    <w:p>
      <w:pPr>
        <w:spacing w:after="0" w:line="15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17"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60"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60"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As of August 3, 2020,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7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180"/>
          </w:cols>
          <w:pgMar w:left="320" w:top="455" w:right="39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the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060"/>
          </w:cols>
          <w:pgMar w:left="320" w:top="455" w:right="51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7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are a blank check company incorporated as a Cayman Islands exempted company for the purpose of effecting a merger, share exchange, asset acquisition, share purchase, reorganization or similar business combination with one or more businesses. Throughout this prospectus, we will refer to this as our initial business combination. We have not selected any potential business combination target and we have not, nor has anyone on our behalf, initiated any substantive discussions, directly or indirectly, with any potential business combination target.</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sponsor is affiliated with VPC, a registered investment advisor with the SEC and was founded in 2007. VPC’s institutional investor base is diversified geographically and includes sovereign wealth funds, insurance companies, financial institutions, foundations, endowments and family offices for which it has invested approximately $6.0 billion in over 115 transactions across North America, Europe, Latin America, Africa, Southeast Asia and Oceania. As part of those investments, VPC has provided financing to Fintech businesses backed by some of the world’s leading venture capital firms and has a long track record of executing debt and equity financing transactions with some of the largest global Fintech companies, including with Square (U.S. NYSE:SQ), iZettle (Sweden, acquired by PayPal in 2018), Zip Co (Australia ASX:Z1P), Funding Circle (UK LSE:FCH), Kabbage (US), Dave (US), Avant (US), Fundbox (US), Konfio (Mexico), and WeFox (Germany). VPC’s investments have enabled portfolio companies to scale quickly and capture leading market positions. These representative transactions demonstrate VPC’s ability to identify early-stage Fintech companies with strong long-term growth prospects. VPC’s Fintech investment history and robust network of industry relationships furnish the firm with a detailed understanding of the long-term capital needs of the highest growth Fintech businesses globally.</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VPC has sourced, diligenced and executed transactions within the key segments of the Fintech landscape including digital lending, payment processing, insurance technology, real estate technology and digital investment management, and is adept at investing across differing operating models (e.g., asset-light vs. capital intensive) and stages of business maturity. VPC’s industry brand name, historical transaction experience, venture capital partnerships and international investor base have helped the firm build an expansive network of relationships and access to management that will be a differentiating factor in identifying and completing a business combination.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intend to concentrate our efforts in identifying high-growth businesses in the Fintech industry with an enterprise value of approximately</w:t>
      </w:r>
    </w:p>
    <w:p>
      <w:pPr>
        <w:spacing w:after="0" w:line="1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$800 million to $2.0 billion. The Fintech landscape has matured from a previously niche venture market to an expansive global industry comprised of numerous large-scale institutionalized businesses that consistently experience strong revenue and profitability growth. Fintech adoption by both consumers and businesses continues to benefit from robust secular tailwinds including the growth in digital commerce, the proliferation of mobile technology, the ubiquitous acceptance of digital payments and continuous technological advancement, positioning the sector for long-term growth.</w:t>
      </w:r>
    </w:p>
    <w:p>
      <w:pPr>
        <w:spacing w:after="0" w:line="12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Within the broader Fintech industry, specific sectors of focus will include businesses in the payment processing, digital “buy now pay later”, digital banks or neo banks, e-commerce financing, digital lending, remittance, underwriting and data analytics, insurance technology, real estate technology and fraud detection sectors. We will place particular emphasis on acquiring a Fintech business with a best-in-class management team, rapid sales growth, industry-leading unit economics, a differentiated technology platform and attractive competitive dynamics within a geography and/or industry vertical that offers a large and expanding addressable market. In considering potential acquisition targets, VPC will prioritize targets that promote financial inclusion and superior value add to the end consumer or SME through lowering overall transaction costs and providing access to high-quality financial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60"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We intend to identify high growth Fintech acquisition targets by leveraging the expertise of our management team and VPC. VPC maintains robust proprietary deal sourcing channels and industry-leading relationships across the Fintech landscape. VPC is well positioned as a partner for both venture capital firms, international finance organizations and Fintech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20"/>
          </w:cols>
          <w:pgMar w:left="320" w:top="455" w:right="3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VPC’s historical investments consist primarily of debt capital and minority equity transactions which have allowed VPC to invest with a diverse universe of industry participants. VPC currently holds minority equity positions in over 20 Fintech firms globally, typically acquired in the form of warrants or early stage growth equity in conjunction with a larger debt investment. All VPC financing transactions allow meaningful access to management, require detailed reporting, and often include Board of Directors observation rights. This affords VPC valuable insights into the industry and competitive dynamics as well as benchmarks to identify best-in-class operations and management teams. VPC has executed over 50 Fintech transactions and has performed diligence on other opportunities across the world culminating in deep sector expertise and a unique market position. In evaluating potential target businesses, we will adhere to VPC’s comprehensive underwriting and diligence review standards to determine the intrinsic value and identify both idiosyncratic and market risks inherent with each Fintech business.</w:t>
      </w:r>
    </w:p>
    <w:p>
      <w:pPr>
        <w:spacing w:after="0" w:line="123"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The VPC investment team’s deal sourcing network is further expanded by the widespread reach and reputation of various global joint venture partners including the IFC, a member of the World Bank, and IDB. These partnerships expand VPC’s sourcing network globally and present a proprietary and differentiated channel for the identification of emerging market Fintech businesses that may benefit from a potential business combination. VPC has successfully utilized these relationships to source and execute non-U.S. Fintech transactions and add credibility and access to VPC to prospective targets in emerging markets. VPC believes these relationships are a key differentiator and will play a critical role in allowing VPC to evaluate attractive non-U.S. acquisition targets, which may further benefit from our access to U.S. equity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Criteria</w:t>
      </w:r>
    </w:p>
    <w:p>
      <w:pPr>
        <w:spacing w:after="0" w:line="7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Consistent with our business strategy, we have identified the following general criteria and guidelines that we believe are important in evaluating a prospective business target. We expect to utilize these criteria and guidelines in evaluating acquisition opportunities, but these are not intended to be exhaustive and management will independently review the merits of an initial business combination. We expect that no individual criterion will entirely determine a decision to pursue an opportunity, but we intend to acquire companies that we believe:</w:t>
      </w:r>
    </w:p>
    <w:p>
      <w:pPr>
        <w:spacing w:after="0" w:line="157" w:lineRule="exact"/>
        <w:rPr>
          <w:sz w:val="20"/>
          <w:szCs w:val="20"/>
          <w:color w:val="auto"/>
        </w:rPr>
      </w:pPr>
    </w:p>
    <w:p>
      <w:pPr>
        <w:ind w:left="880" w:hanging="427"/>
        <w:spacing w:after="0"/>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Are high-growth Fintech businesses which operate within large and expanding markets with significant whitespace opportunity;</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Are high-growth Fintech businesses which operate within large and expanding markets with significant whitespace opportunity;</w:t>
      </w:r>
    </w:p>
    <w:p>
      <w:pPr>
        <w:spacing w:after="0" w:line="34" w:lineRule="exact"/>
        <w:rPr>
          <w:rFonts w:ascii="MS PGothic" w:cs="MS PGothic" w:eastAsia="MS PGothic" w:hAnsi="MS PGothic"/>
          <w:sz w:val="13"/>
          <w:szCs w:val="13"/>
          <w:color w:val="auto"/>
        </w:rPr>
      </w:pPr>
    </w:p>
    <w:p>
      <w:pPr>
        <w:ind w:left="880" w:hanging="427"/>
        <w:spacing w:after="0" w:line="256"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Are of meaningful scale and whose products and/or services are materially differentiated from competitors creating meaningful barriers to entry for new competitors;</w:t>
      </w:r>
    </w:p>
    <w:p>
      <w:pPr>
        <w:spacing w:after="0" w:line="1" w:lineRule="exact"/>
        <w:rPr>
          <w:rFonts w:ascii="MS PGothic" w:cs="MS PGothic" w:eastAsia="MS PGothic" w:hAnsi="MS PGothic"/>
          <w:sz w:val="13"/>
          <w:szCs w:val="13"/>
          <w:color w:val="auto"/>
        </w:rPr>
      </w:pPr>
    </w:p>
    <w:p>
      <w:pPr>
        <w:ind w:left="880" w:right="240" w:hanging="427"/>
        <w:spacing w:after="0" w:line="256"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Operate a superior unit economic model which either currently or over time are expected to generate profitable, stable and predictable cash flow generation for the business;</w:t>
      </w:r>
    </w:p>
    <w:p>
      <w:pPr>
        <w:spacing w:after="0" w:line="1"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Are at a capital inflection point where significant risk-adjusted shareholder value can be generated through a business combination and resulting access to the broader equity capital markets to drive growth;</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Possess a best-in-class management team with a track record of success in driving growth and profitability within Fintech market;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Maintain superior and scalable risk management, underwriting, data analytics, monitoring and reporting processes; and</w:t>
      </w:r>
    </w:p>
    <w:p>
      <w:pPr>
        <w:spacing w:after="0" w:line="34" w:lineRule="exact"/>
        <w:rPr>
          <w:rFonts w:ascii="MS PGothic" w:cs="MS PGothic" w:eastAsia="MS PGothic" w:hAnsi="MS PGothic"/>
          <w:sz w:val="13"/>
          <w:szCs w:val="13"/>
          <w:color w:val="auto"/>
        </w:rPr>
      </w:pPr>
    </w:p>
    <w:p>
      <w:pPr>
        <w:ind w:left="880" w:right="140" w:hanging="427"/>
        <w:spacing w:after="0" w:line="273"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Promote financial inclusion and provide significant value to the underlying end consumer or enterprise through a lowering of transaction costs or through providing access to high-quality financial services.</w:t>
      </w:r>
    </w:p>
    <w:p>
      <w:pPr>
        <w:spacing w:after="0" w:line="9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These criteria and guidelines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proxy solicitation materials or tender offer documents that we would file with the SEC.</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40"/>
          </w:cols>
          <w:pgMar w:left="320" w:top="455" w:right="3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7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Our management team will consist of John Martin, our Chairman and Chief Executive Officer, Gordon Watson, our President and Chief Operating Officer, and Olibia Stamatoglou, our Chief Financial Officer, all of whom will be supported by the entire VPC investment team whose partners average over 15 years of relevant experience across a broad range of investing, financial, operating, advisory and legal disciplines. Our management team’s Fintech investing experience and operational expertise enables VPC to consistently act as a value-added partner to its portfolio companies.</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John Martin, our Chairman and Chief Executive Officer, maintains over thirty years of investment experience and is a Senior Partner at VPC. Martin served as managing partner and co-CEO of Antares Capital, LP, a private debt credit manager, until May 2019. He was a founding partner of the original Antares Capital in 1996, a startup business that provided acquisition financing capital to the portfolio companies of private equity firms across North America. Over the course of nine years, Antares grew to become one of the largest providers of acquisition capital to private equity sponsors in the middle market. Following the firm’s acquisition by GE Capital in 2005, Martin became President and CEO of the newly branded GE Antares Capital and helped to direct the strategic vision of the business. In addition, he presided over numerous acquisitions and divestitures, including the sale of the firm to The Canada Pension Plan Investment Board (“CPPIB”) for $12 billion in August 2015. Subsequently, Antares went on to raise more than $6.5 billion in the CLO market from a global investor base comprised of banks, pension funds, insurance companies and asset managers. Following the acquisition by CPPIB, Martin sat on the Antares Investment Committee throughout his tenure at the company and was a member of the board of directors. At the time of his retirement, the firm’s assets under management totaled more than $24 billion.</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Gordon Watson, our President and Chief Operating Officer, joined VPC in 2014 and is currently a Partner. Gordon is a member of VPC’s investment committee and helps lead our Fintech investing team. Gordon is the Investment Manager for VPC Specialty Lending Investments PLC (LSE: VSL), a VPC managed UK publicly listed investment trust focused on opportunities in the Fintech market. Previously, Gordon was a portfolio manager focused on distressed debt at GLG Partners, a London-based 31 billion multi-strategy hedge fund that concentrates on a diverse range of alternative investments. He joined GLG when it purchased Ore Hill Partners, a credit focused hedge fund where Gordon was a partner.</w:t>
      </w:r>
    </w:p>
    <w:p>
      <w:pPr>
        <w:spacing w:after="0" w:line="12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Olibia Stamatoglou, our Chief Financial Officer, is the Chief Financial Officer of VPC. Previously, Olibia served as vice president of finance at Valor Equity Partners where she managed firm and fund finance activities. Prior to Valor, she served as chief operating officer and chief financial officer of First National Assets, a specialty finance private equity group specializing in tax lien purchases and real estate owned ventures. She joined First National Assets from Aurora Investment Management where she progressed through several accounting roles. Mrs. Stamatoglou was recognized as one of Crain’s Notable Women in Finance for 2019.</w:t>
      </w:r>
    </w:p>
    <w:p>
      <w:pPr>
        <w:spacing w:after="0" w:line="12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With respect to the foregoing experiences of our management team, past performance is not a guarantee (i) that we will be able to identify a suitable candidate for our initial business combination or (ii) of success with respect to any business combination we may consummate. You should not rely on the historical record of our management team’s performance as indicative of our future performance. None of the members of our management team has any past experience with any blank check companies or special purpose acquisition companies. For more information on the experience and background of our management team, see the section entitled “</w:t>
      </w:r>
      <w:r>
        <w:rPr>
          <w:rFonts w:ascii="Arial" w:cs="Arial" w:eastAsia="Arial" w:hAnsi="Arial"/>
          <w:sz w:val="17"/>
          <w:szCs w:val="17"/>
          <w:i w:val="1"/>
          <w:iCs w:val="1"/>
          <w:color w:val="auto"/>
        </w:rPr>
        <w:t>Management</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VPC Investment Team Leadership</w:t>
      </w:r>
    </w:p>
    <w:p>
      <w:pPr>
        <w:spacing w:after="0" w:line="5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Richard Levy is the Chief Executive Officer and Founder of VPC. He oversees the firm’s investment and operational activities. Mr. Levy is also the chairman of the firm’s Senior Leadership Team and Investment Committee. Mr. Levy serves as chairman of the board of directors of VPC portfolio company, Giordano’s. He also serves as a member of the board of directors of VPC portfolio companies, Caribbean Financial Group and United Automobile Insurance Company. Previously, Mr. Levy served as head of the Small Cap Structured Products Group and co-head of the Solutions Group at Magnetar Capital. He also co-founded and served as managing partner at Crestview Capital Partners. Mr. Levy received a B.A. in political science from The Ohio State University, an MBA from the Illinois Institute of Technology’s Stuart School of Business and a J.D. from Chicago-Kent College of Law. He is a member of the Illinois bar (inactive). Mr. Levy is also chairman of the board of nonprofit, Gardeneers, an active board member of Camp Kesem and he sits on the Board of Trustees for the Illinois Institute of Technology.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20"/>
          </w:cols>
          <w:pgMar w:left="320" w:top="455" w:right="3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Brendan Carroll is a Senior Partner at VPC, which he co-founded in 2007. He is responsible for strategic initiatives and firm operations in addition to sourcing, evaluating and executing investment opportunities. Mr. Carroll also oversees marketing, fundraising, business development and investor relations for the firm. He is a member of the firm’s Senior Leadership Team and Investment Committee. Mr. Carroll serves as member of the board of directors of VPC portfolio company, johnnie-O. Previously, as a member of the Solutions Group at Magnetar Capital, Mr. Carroll specialized in direct financings to lower middle market companies. He has held various investment banking positions at William Blair and Robertson Stephens, specializing in corporate finance and mergers and acquisitions. Mr. Carroll has also worked in various capacities for former U.S. Senator Joseph Lieberman (I- CT). Mr. Carroll received a B.A. with honors in government from Georgetown University and an MBA from Harvard Business School. He speaks frequently on debt and private equity investing issues and has served as a guest lecturer and panelist at the University of Chicago’s Booth Global School of Business, Northwestern University’s Kellogg School of Management and Harvard Business School. Mr. Carroll is a member of the Finance Council of the Archdiocese of Chicago and Loyola Press and previously served on the Board of Regents at Georgetown University. He is also a director on the board of the Ann &amp; Robert H. Lurie Children’s Hospital of Chicago and is also a member of the board’s Finance Committee.</w:t>
      </w:r>
    </w:p>
    <w:p>
      <w:pPr>
        <w:spacing w:after="0" w:line="28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Jason Brown joined VPC in 2014 as a Partner and manages the firm’s Los Angeles office. He is primarily responsible for sourcing, analyzing, executing and managing investments in lower middle market companies. Mr. Brown also actively works on value creation initiatives and strategic alternatives for the firm. Mr. Brown is a member of the firm’s Senior Leadership Team and Investment Committee. Mr. Brown currently serves on the board of directors of VPC portfolio companies, Labs.Dental Holdings and Processing.com. Mr. Brown has more than 20 years of experience in financial services. Most recently, Mr. Brown was a managing director for GE Capital, Corporate Restructuring Finance for more than ten years where he and his team provided growth, working capital and turnaround finance to mid-size and large companies. His team also specialized in senior secured loans to distressed companies supporting Chapter 11 filings, plan-of-reorganizations and out-of-court restructurings. Prior to GE Capital, he worked at Comerica Bank as a manager in their northern Los Angeles office and for Manufacturers Hanover in Sydney, Australia. He has also served as the global chairman and president of the Los Angeles chapter of the Association for Corporate Growth (ACG). Mr. Brown received a B.S. in business administration from the University of Southern California.</w:t>
      </w:r>
    </w:p>
    <w:p>
      <w:pPr>
        <w:spacing w:after="0" w:line="12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Tom Welch joined VPC in 2009 and is a Partner. He is primarily responsible for sourcing, analyzing, executing and managing investments primarily within the financial services industry. Mr. Welch also actively works on value creation initiatives and strategic alternatives for portfolio companies. Mr. Welch is a member of firm’s Investment Committee. Previously, Mr. Welch served as a credit underwriter in the Cash-Flow Lending Group for CapitalSource, concentrating his investment efforts in the industrials, consumer products and business services industries. He also worked in the Global Multi-Industries Investment Banking Group at Merrill Lynch, focusing on mergers and acquisitions, leveraged finance and growth capital transactions. Mr. Welch received a B.S. in finance with honors from the University of Illinois.</w:t>
      </w:r>
    </w:p>
    <w:p>
      <w:pPr>
        <w:spacing w:after="0" w:line="12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Connell Hasten joined VPC in 2018 and is a Partner. He co-founded and manages the firm’s insurance services platform and is primarily responsible for sourcing, underwriting, executing and managing investment opportunities for insurers. Mr. Hasten is a member of the firm’s Investment Committee. Previously, Mr. Hasten was a managing director at EquiTrust Life Insurance Company, an insurance company with approximately $20.0 billion in assets, where he oversaw a large portion of private and public debt and equity investments. Prior to EquiTrust Life Insurance Company, Mr. Hasten was a director at Guggenheim Partners and served as a portfolio manager, primarily responsible for an $8 billion real estate investment portfolio on behalf of insurance companies. Beforehand, Mr. Hasten was a vice president at Bank of America in the special situations and real estate lending groups. Mr. Hasten earned his B.S. from Indiana University’s Kelley School of Business and his MBA from Northwestern University’s Kellogg School of Management. Mr. Hasten was a recipient of the ULI 40 under 40 award in 2016 and is also an active Chicago board member of Camp Kesem.</w:t>
      </w:r>
    </w:p>
    <w:p>
      <w:pPr>
        <w:spacing w:after="0" w:line="126"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Our management team’s efforts to seek a suitable business combination target will be complemented and augmented by the expertise and network of relationships of our independent director nominees. We believe that our access to and affiliation with our independent director nominees represents a competitive advantage. We also believe that our management team’s expertise will be augmented by the other members of our board of directors, which will provide extensive experience in business and financial matters.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20"/>
          </w:cols>
          <w:pgMar w:left="320" w:top="455" w:right="3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7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including if such company is at an early stage of development, operations or growth, or if the anticipated transaction involves a complex financial analysis or other specialized skills and the board of directors determines that outside expertise would be helpful or necessary in conducting such analysis. As any such opinion, if obtained, would only state that the fair market value meets the 80% of assets threshold, unless such opinion includes material information regarding the valuation of the target or the consideration to be provided, it is not anticipated that copies of such opinion would be distributed to our shareholders. However, if required by Schedule 14A of the Exchange Act, any proxy solicitation materials or tender offer documents that we will file with the SEC in connection with our initial business combination will include such opinion. Unless our board of directors is unable to independently determine the fair market value of our initial business combination or we complete our initial business combination with an affiliated entity as described below, we are not required to obtain an opinion from an independent investment banking firm or from an independent valuation or appraisal firm that regularly prepares fairness opinions that the price we are paying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materials or tender offer documents, as applicable, related to our initial business combination.</w:t>
      </w:r>
    </w:p>
    <w:p>
      <w:pPr>
        <w:spacing w:after="0" w:line="12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anticipate structuring our initial business combination so that the post transaction company in which our public shareholders own shares will own or acquire 100% of the equity interests or assets of the target business or businesses. We may, however, structure our initial business combination such that the post transaction company owns or acquires less than 100% of such interests or assets of the target business in order to meet certain objectives of the target management team or shareholders or for other reasons, but we will only complete such business combination if the post 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 transaction company owns or acquires 50% or more of the voting securities of the target, our shareholders prior to the business combination may collectively own a minority interest in the post transaction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 transaction company, the portion of such business or businesses that is owned or acquired is what will be taken into account for purposes of the 80% of assets test described above. If the business combination involves more than one target business, the 80% of assets test will be based on the aggregate value of all of the target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of Potential Business Combination Targets</w:t>
      </w:r>
    </w:p>
    <w:p>
      <w:pPr>
        <w:spacing w:after="0" w:line="6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believe our management team’s significant operating and transaction experience and relationships will provide us with a substantial number of potential initial business combination targets. Over the course of their careers, the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40"/>
          </w:cols>
          <w:pgMar w:left="320" w:top="455" w:right="3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members of our management team have developed a broad network of contacts and corporate relationships around the world. This network has grown through the activities of our management team sourcing, acquiring and financing businesses, the reputation of our management team for integrity and fair dealing with sellers, financing sources and target management teams and the experience of our management team in executing transactions under varying economic and financial market conditions.</w:t>
      </w:r>
    </w:p>
    <w:p>
      <w:pPr>
        <w:spacing w:after="0" w:line="117"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This network has provided our management team with a flow of referrals that has resulted in numerous transactions which were proprietary or where a limited group of investors were invited to participate in the sale process. We believe that the network of contacts and relationships of our management team will provide us important sources of investment opportunities. In addition, we anticipate that target business combination candidates will be brought to our attention from various unaffiliated sources, including investment market participants, private equity funds and large business enterprises seeking to divest non-core assets or divisions.</w:t>
      </w:r>
    </w:p>
    <w:p>
      <w:pPr>
        <w:spacing w:after="0" w:line="12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directors, would obtain an opinion from an independent investment banking firm that is a member of FINRA or a valuation or appraisal firm that such an initial business combination is fair to our company from a financial point of view.</w:t>
      </w:r>
    </w:p>
    <w:p>
      <w:pPr>
        <w:spacing w:after="0" w:line="12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1"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26"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73"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20"/>
          </w:cols>
          <w:pgMar w:left="320" w:top="455" w:right="3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may, for example, exchange their shares of stock, shares or other equity interests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market and other uncertainties in the initial public offering process, including underwriting discounts and commissions, marketing and road show efforts that may not be present to the same extent in connection with a business combination with us.</w:t>
      </w:r>
    </w:p>
    <w:p>
      <w:pPr>
        <w:spacing w:after="0" w:line="122"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23"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shareholder approval of any proposed initial business combination, negatively.</w:t>
      </w:r>
    </w:p>
    <w:p>
      <w:pPr>
        <w:spacing w:after="0" w:line="11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is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 and (2) the date on which we have issued more than $1.0 billion in non-convertible debt during the prior three-year period.</w:t>
      </w:r>
    </w:p>
    <w:p>
      <w:pPr>
        <w:spacing w:after="0" w:line="12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w:t>
      </w:r>
      <w:r>
        <w:rPr>
          <w:rFonts w:ascii="Arial" w:cs="Arial" w:eastAsia="Arial" w:hAnsi="Arial"/>
          <w:sz w:val="14"/>
          <w:szCs w:val="14"/>
          <w:color w:val="auto"/>
        </w:rPr>
        <w:t>th</w:t>
      </w:r>
      <w:r>
        <w:rPr>
          <w:rFonts w:ascii="Arial" w:cs="Arial" w:eastAsia="Arial" w:hAnsi="Arial"/>
          <w:sz w:val="17"/>
          <w:szCs w:val="17"/>
          <w:color w:val="auto"/>
        </w:rPr>
        <w:t>, or (2) our annual revenues exceeded $100 million during such completed fiscal year and the market value of our ordinary shares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00"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With funds available for a business combination initially in the amount of $193,000,000 (assuming no redemptions), after payment of $7,000,000 of deferred underwriting fees (or $221,950,000 (assuming no redemptions) after payment of $8,050,000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320" w:top="455"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other securities issuances,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ordinary shares, we may use the balance of the cash released to us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2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we intend to focus our search on global and regional consumer brands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2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Subject to compliance with applicable securities laws, we would expect to complete such financing only simultaneously with the completion of our initial business combination. In the case of an initial business combination funded with assets other than the trust account assets, our proxy materials or tender offer documents disclosing the initial business combination would disclose the terms of the financing and, only if required by law, we would seek shareholder approval of such financing.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At this time, we are not a party to any arrangement or understanding with any third party with respect to raising any additional funds through the sale of securities or otherwise. None of our sponsors, officers, directors or shareholders is required to provide any financing to us in connection with or after our initial business combination.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Target Businesses</w:t>
      </w:r>
    </w:p>
    <w:p>
      <w:pPr>
        <w:spacing w:after="0" w:line="6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and private investment funds. Target businesses may be brought to our attention by</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20"/>
          </w:cols>
          <w:pgMar w:left="320" w:top="455" w:right="3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of which they become aware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track record and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In addition, commencing on the date of this prospectus, we will pay our sponsor $10,000 per month for office space, utilities, secretarial and administrative support services provided to members of our management team. We may also elect to make payment of customary fees to members of our board of directors for director service. Any such payments prior to our initial business combination will be made from funds held outside the trust account. Other than the foregoing, there will be no finder’s fees, reimbursement, consulting 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w:t>
      </w:r>
    </w:p>
    <w:p>
      <w:pPr>
        <w:spacing w:after="0" w:line="130"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from completing the business combination through a joint venture or other form of shared ownership with our sponsor, officers or directors. In the event we seek to complete our initial business combination with a business combination target that is affiliated with our sponsor, officers or directors, we, or a committee of independent directors, would obtain an opinion from an independent investment banking firm which is a member of FINRA or a valuation or appraisal firm, that such an initial business combination is fair to our company from a financial point of view. We are not required to obtain such an opinion in any other context.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a Target Business and Structuring of Our Initial Business Combination</w:t>
      </w:r>
    </w:p>
    <w:p>
      <w:pPr>
        <w:spacing w:after="0" w:line="7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evaluating a prospective target business, we expect to conduct a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17" w:lineRule="exact"/>
        <w:rPr>
          <w:sz w:val="20"/>
          <w:szCs w:val="20"/>
          <w:color w:val="auto"/>
        </w:rPr>
      </w:pPr>
    </w:p>
    <w:p>
      <w:pPr>
        <w:jc w:val="both"/>
        <w:ind w:right="120"/>
        <w:spacing w:after="0" w:line="242"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60"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40"/>
          </w:cols>
          <w:pgMar w:left="320" w:top="455"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right="140"/>
        <w:spacing w:after="0" w:line="253" w:lineRule="auto"/>
        <w:rPr>
          <w:sz w:val="20"/>
          <w:szCs w:val="20"/>
          <w:color w:val="auto"/>
        </w:rPr>
      </w:pPr>
      <w:r>
        <w:rPr>
          <w:rFonts w:ascii="Arial" w:cs="Arial" w:eastAsia="Arial" w:hAnsi="Arial"/>
          <w:sz w:val="17"/>
          <w:szCs w:val="17"/>
          <w:color w:val="auto"/>
        </w:rPr>
        <w:t>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51" w:lineRule="exact"/>
        <w:rPr>
          <w:sz w:val="20"/>
          <w:szCs w:val="20"/>
          <w:color w:val="auto"/>
        </w:rPr>
      </w:pPr>
    </w:p>
    <w:p>
      <w:pPr>
        <w:ind w:left="880" w:hanging="427"/>
        <w:spacing w:after="0" w:line="257"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cause us to depend on the marketing and sale of a single product or limited number of products or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7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23" w:lineRule="exact"/>
        <w:rPr>
          <w:sz w:val="20"/>
          <w:szCs w:val="20"/>
          <w:color w:val="auto"/>
        </w:rPr>
      </w:pPr>
    </w:p>
    <w:p>
      <w:pPr>
        <w:ind w:right="520"/>
        <w:spacing w:after="0" w:line="253"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11"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6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reasons.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Under Nasdaq’s listing rules, shareholder approval would be required for our initial business combination if, for example:</w:t>
      </w:r>
    </w:p>
    <w:p>
      <w:pPr>
        <w:spacing w:after="0" w:line="196" w:lineRule="exact"/>
        <w:rPr>
          <w:sz w:val="20"/>
          <w:szCs w:val="20"/>
          <w:color w:val="auto"/>
        </w:rPr>
      </w:pPr>
    </w:p>
    <w:p>
      <w:pPr>
        <w:ind w:left="880" w:right="40" w:hanging="427"/>
        <w:spacing w:after="0" w:line="257" w:lineRule="auto"/>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We issue ordinary shares that will be equal to or in excess of 20% of the number of our ordinary shares then outstanding (other than in a public offering);</w:t>
      </w:r>
    </w:p>
    <w:p>
      <w:pPr>
        <w:spacing w:after="0" w:line="1" w:lineRule="exact"/>
        <w:rPr>
          <w:rFonts w:ascii="MS PGothic" w:cs="MS PGothic" w:eastAsia="MS PGothic" w:hAnsi="MS PGothic"/>
          <w:sz w:val="13"/>
          <w:szCs w:val="13"/>
          <w:color w:val="auto"/>
        </w:rPr>
      </w:pPr>
    </w:p>
    <w:p>
      <w:pPr>
        <w:ind w:left="880" w:hanging="427"/>
        <w:spacing w:after="0" w:line="248" w:lineRule="auto"/>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Any of our directors, officers or substantial shareholders (as defined by Nasdaq rules) has a 5% or greater interest earned on the trust account (or such persons collectively have a 10% or greater interest), directly or indirectly, in the target business or assets to be acquired or otherwise and the present or potential issuance of ordinary shares could result in an increase in outstanding</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ordinary shares or voting power of 5% or more;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issuance or potential issuance of ordinary shares will result in our undergoing a change of control.</w:t>
      </w:r>
    </w:p>
    <w:p>
      <w:pPr>
        <w:spacing w:after="0" w:line="15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decision as to whether we will seek shareholder approval of a proposed business combination in those instances in which shareholder approval is not required by applicable law or stock exchange listing requirements will be made by us, solely in our discretion, and will be based on business and legal reasons, which include a variety of factors, including, but not limited to: (i) the timing of the transaction, including in the event we determine shareholder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20"/>
          </w:cols>
          <w:pgMar w:left="320" w:top="455" w:right="3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approval would require additional time and there is either not enough time to seek shareholder approval or doing so would place the company at a disadvantage in the transaction or result in other additional burdens on the company; (ii) the expected cost of holding a shareholder vote; (iii) the risk that the shareholders would fail to approve the proposed business combination; (iv) other time and budget constraints of the company; and</w:t>
      </w:r>
    </w:p>
    <w:p>
      <w:pPr>
        <w:spacing w:after="0"/>
        <w:rPr>
          <w:sz w:val="20"/>
          <w:szCs w:val="20"/>
          <w:color w:val="auto"/>
        </w:rPr>
      </w:pPr>
      <w:r>
        <w:rPr>
          <w:rFonts w:ascii="Arial" w:cs="Arial" w:eastAsia="Arial" w:hAnsi="Arial"/>
          <w:sz w:val="17"/>
          <w:szCs w:val="17"/>
          <w:color w:val="auto"/>
        </w:rPr>
        <w:t>(v) additional legal complexities of a proposed business combination that would be time-consuming and burdensome to present to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shareholders,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in the trust account will be used to purchase shares or public warrants in such transactions. If they engage in such transactions, they will not make any such purchases when they are in possession of any material non-public information not disclosed to the seller or if such purchases are prohibited by Regulation M under the Exchange Act.</w:t>
      </w:r>
    </w:p>
    <w:p>
      <w:pPr>
        <w:spacing w:after="0" w:line="126"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2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purpose of any such purchases of shares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w:t>
      </w:r>
    </w:p>
    <w:p>
      <w:pPr>
        <w:spacing w:after="0" w:line="12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sponsor, officers, directors and/or their affiliates anticipate that they may identify the shareholders with whom our initial shareholders, officers, directors or their affiliates may pursue privately negotiated purchases by either the 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only potential selling shareholders who have expressed their election to redeem their shares for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sponsor, officers, directors, advisors or any of their affiliates will select which shareholders to purchase shares from based on a negotiated price and number of shares and any other factors that they may deem relevant, and will only purchase shares if such purchases comply with Regulation M under the Exchange Act and the other federal securities laws. Our sponsor, officers, directors and/or their affiliates will not make purchases of shares if the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40"/>
          </w:cols>
          <w:pgMar w:left="320" w:top="455"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40"/>
        <w:spacing w:after="0" w:line="275" w:lineRule="auto"/>
        <w:rPr>
          <w:sz w:val="20"/>
          <w:szCs w:val="20"/>
          <w:color w:val="auto"/>
        </w:rPr>
      </w:pPr>
      <w:r>
        <w:rPr>
          <w:rFonts w:ascii="Arial" w:cs="Arial" w:eastAsia="Arial" w:hAnsi="Arial"/>
          <w:sz w:val="17"/>
          <w:szCs w:val="17"/>
          <w:color w:val="auto"/>
        </w:rPr>
        <w:t>purchases would violate Section 9(a)(2) or Rule 10b-5 of the Exchange Act. Any such purchases will be reported pursuant to Section 13 and Section 16 of the Exchange Act to the extent such purchasers are subject to such reporting requirements.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Shareholders upon Completion of Our Initial Business Combination</w:t>
      </w:r>
    </w:p>
    <w:p>
      <w:pPr>
        <w:spacing w:after="0" w:line="73"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 rights with respect to their founder shares and any public shares they may hold in connection with the completion of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Redemptions</w:t>
      </w:r>
    </w:p>
    <w:p>
      <w:pPr>
        <w:spacing w:after="0" w:line="6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ind w:firstLine="8"/>
        <w:spacing w:after="0" w:line="235" w:lineRule="auto"/>
        <w:tabs>
          <w:tab w:leader="none" w:pos="2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retention of cash to satisfy other conditions.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Conducting Redemptions</w:t>
      </w:r>
    </w:p>
    <w:p>
      <w:pPr>
        <w:spacing w:after="0" w:line="6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either (i) in connection with a general meeting called to approve the business combination or (ii) without a shareholder vote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 described above under the heading “Shareholders May Not Have the Ability to Approve Our Initial Business Combination.”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require shareholder approval. So long as we obtain and maintain a listing for our securities on Nasdaq, we will be required to comply with Nasdaq’s shareholder approval rules.</w:t>
      </w:r>
    </w:p>
    <w:p>
      <w:pPr>
        <w:spacing w:after="0" w:line="127"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The requirement that we provide our public shareholders with the opportunity to redeem their public shares by one of the two methods listed above are contained in provisions of our amended and restated memorandum and articles of association and apply whether or not we maintain our registration under the Exchange Act or our listing on Nasdaq. Such provisions may be amended if approved by a special resolution of our shareholders as a matter of Cayman Islands law, being the affirmative vote of a majority of at least two-thirds of the shareholders who attend and vote at a general meeting of the company, so long as we offer redemption in connection with such amendment.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40"/>
          </w:cols>
          <w:pgMar w:left="320" w:top="455"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If we provide our public shareholders with the opportunity to redeem their public shares in connection with a general meeting, we will, pursuant to our amended and restated memorandum and articles of association:</w:t>
      </w:r>
    </w:p>
    <w:p>
      <w:pPr>
        <w:spacing w:after="0" w:line="133" w:lineRule="exact"/>
        <w:rPr>
          <w:sz w:val="20"/>
          <w:szCs w:val="20"/>
          <w:color w:val="auto"/>
        </w:rPr>
      </w:pPr>
    </w:p>
    <w:p>
      <w:pPr>
        <w:ind w:left="880" w:right="320" w:hanging="427"/>
        <w:spacing w:after="0" w:line="257" w:lineRule="auto"/>
        <w:tabs>
          <w:tab w:leader="none" w:pos="8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file proxy materials with the SEC.</w:t>
      </w:r>
    </w:p>
    <w:p>
      <w:pPr>
        <w:spacing w:after="0" w:line="154"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9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A quorum for such meeting will be present if the holders of a majority of issued and outstanding shares entitled to vote at the meeting are represented in person or by proxy. Our sponsor, officers and directors will count toward this quorum and, pursuant to the letter agreement, our sponsor, officers and directors have agreed to vote their founder shares, private placement shares and any public shares purchased during or after this offering (including in open market and privately-negotiated transactions) in favor of our initial business combination. For purposes of seeking approval of an ordinary resolution, non-votes will have no effect on the approval of our initial business combination once a quorum is obtained.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 of our sponsor, officers and directors, may make it more likely that we will consummate our initial business combination. Each public shareholder may elect to redeem their public shares irrespective of whether they vote for or against the proposed transaction or whether they were a public shareholder on the record date for the general meeting held to approve the proposed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If a shareholder vote is not required and we do not decide to hold a shareholder vote for business or other legal reasons, we will:</w:t>
      </w:r>
    </w:p>
    <w:p>
      <w:pPr>
        <w:spacing w:after="0" w:line="196" w:lineRule="exact"/>
        <w:rPr>
          <w:sz w:val="20"/>
          <w:szCs w:val="20"/>
          <w:color w:val="auto"/>
        </w:rPr>
      </w:pPr>
    </w:p>
    <w:p>
      <w:pPr>
        <w:ind w:left="880" w:hanging="427"/>
        <w:spacing w:after="0"/>
        <w:tabs>
          <w:tab w:leader="none" w:pos="8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35" w:lineRule="exact"/>
        <w:rPr>
          <w:rFonts w:ascii="MS PGothic" w:cs="MS PGothic" w:eastAsia="MS PGothic" w:hAnsi="MS PGothic"/>
          <w:sz w:val="13"/>
          <w:szCs w:val="13"/>
          <w:color w:val="auto"/>
        </w:rPr>
      </w:pPr>
    </w:p>
    <w:p>
      <w:pPr>
        <w:ind w:left="880" w:right="220" w:hanging="427"/>
        <w:spacing w:after="0" w:line="252" w:lineRule="auto"/>
        <w:tabs>
          <w:tab w:leader="none" w:pos="8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1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121"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Upon the public announcement of our initial business combination, if we elect to conduct redemption pursuant to the tender offer rules, we or our sponsor will terminate any plan established in accordance with Rule 10b5-1 to purchase our Class A ordinary shares in the open market, in order to comply with Rule 14e-5 under the Exchange Act.</w:t>
      </w:r>
    </w:p>
    <w:p>
      <w:pPr>
        <w:spacing w:after="0" w:line="111"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40"/>
          </w:cols>
          <w:pgMar w:left="320" w:top="455"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w:t>
      </w:r>
    </w:p>
    <w:p>
      <w:pPr>
        <w:spacing w:after="0" w:line="123"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ind w:right="140" w:firstLine="8"/>
        <w:spacing w:after="0" w:line="235" w:lineRule="auto"/>
        <w:tabs>
          <w:tab w:leader="none" w:pos="2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retention of cash to satisfy other conditions.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 or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seeking redemption rights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2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However, we would not be restricting our shareholders’ ability to vote all of their shares (including Excess Shares) for or against our initial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Delivering Share Certificates in Connection with the Exercise of Redemption Rights</w:t>
      </w:r>
    </w:p>
    <w:p>
      <w:pPr>
        <w:spacing w:after="0" w:line="60"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As described above, 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40"/>
          </w:cols>
          <w:pgMar w:left="320" w:top="455"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Accordingly, a public shareholder would have up to two business days prior to the scheduled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shareholder fails to comply with these or any other procedures disclosed in the proxy or tender offer materials, as applicable, its shares may not be redeemed. Given the relatively short exercise period, it is advisable for shareholders to use electronic delivery of their public shares.</w:t>
      </w:r>
    </w:p>
    <w:p>
      <w:pPr>
        <w:spacing w:after="0" w:line="122"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21"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21"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 xml:space="preserve">If our initial business combination is not approved or completed for any reason, then our public shareholders who elected to exercise their redemption rights would not be entitled to redeem their shares for the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In such case, we will promptly return any certificates delivered by public holders who elected to redeem their shares.</w:t>
      </w:r>
    </w:p>
    <w:p>
      <w:pPr>
        <w:spacing w:after="0" w:line="11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If our initial proposed business combination is not completed, we may continue to try to complete a business combination with a different target until 24 months from the closing of this offering.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73" w:lineRule="exact"/>
        <w:rPr>
          <w:sz w:val="20"/>
          <w:szCs w:val="20"/>
          <w:color w:val="auto"/>
        </w:rPr>
      </w:pPr>
    </w:p>
    <w:p>
      <w:pPr>
        <w:ind w:right="400"/>
        <w:spacing w:after="0" w:line="245" w:lineRule="auto"/>
        <w:rPr>
          <w:sz w:val="20"/>
          <w:szCs w:val="20"/>
          <w:color w:val="auto"/>
        </w:rPr>
      </w:pPr>
      <w:r>
        <w:rPr>
          <w:rFonts w:ascii="Arial" w:cs="Arial" w:eastAsia="Arial" w:hAnsi="Arial"/>
          <w:sz w:val="17"/>
          <w:szCs w:val="17"/>
          <w:color w:val="auto"/>
        </w:rPr>
        <w:t>Our amended and restated memorandum and articles of association provide that we will have only 24 months from the closing of this offering to complete our initial business combination. If we are unable to complete our initial business combination within such 24-month period, we will:</w:t>
      </w:r>
    </w:p>
    <w:p>
      <w:pPr>
        <w:spacing w:after="0" w:line="1" w:lineRule="exact"/>
        <w:rPr>
          <w:sz w:val="20"/>
          <w:szCs w:val="20"/>
          <w:color w:val="auto"/>
        </w:rPr>
      </w:pPr>
    </w:p>
    <w:p>
      <w:pPr>
        <w:ind w:right="60" w:firstLine="8"/>
        <w:spacing w:after="0" w:line="234" w:lineRule="auto"/>
        <w:tabs>
          <w:tab w:leader="none" w:pos="199" w:val="left"/>
        </w:tabs>
        <w:numPr>
          <w:ilvl w:val="0"/>
          <w:numId w:val="45"/>
        </w:numPr>
        <w:rPr>
          <w:rFonts w:ascii="Arial" w:cs="Arial" w:eastAsia="Arial" w:hAnsi="Arial"/>
          <w:sz w:val="17"/>
          <w:szCs w:val="17"/>
          <w:color w:val="auto"/>
        </w:rPr>
      </w:pPr>
      <w:r>
        <w:rPr>
          <w:rFonts w:ascii="Arial" w:cs="Arial" w:eastAsia="Arial" w:hAnsi="Arial"/>
          <w:sz w:val="17"/>
          <w:szCs w:val="17"/>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complete our initial business combination within the 24-month time period.</w:t>
      </w:r>
    </w:p>
    <w:p>
      <w:pPr>
        <w:spacing w:after="0" w:line="126" w:lineRule="exact"/>
        <w:rPr>
          <w:sz w:val="20"/>
          <w:szCs w:val="20"/>
          <w:color w:val="auto"/>
        </w:rPr>
      </w:pPr>
    </w:p>
    <w:p>
      <w:pPr>
        <w:ind w:right="580"/>
        <w:spacing w:after="0" w:line="275" w:lineRule="auto"/>
        <w:rPr>
          <w:sz w:val="20"/>
          <w:szCs w:val="20"/>
          <w:color w:val="auto"/>
        </w:rPr>
      </w:pPr>
      <w:r>
        <w:rPr>
          <w:rFonts w:ascii="Arial" w:cs="Arial" w:eastAsia="Arial" w:hAnsi="Arial"/>
          <w:sz w:val="17"/>
          <w:szCs w:val="17"/>
          <w:color w:val="auto"/>
        </w:rPr>
        <w:t>Our sponsor, officers and directors have entered into a letter agreement with us, pursuant to which they have waived their rights to liquidating distributions from the trust account with respect to any founder shares held by them if we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40"/>
          </w:cols>
          <w:pgMar w:left="320" w:top="455"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fail to complete our initial business combination within 24 months from the closing of this offering. However, if our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1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sponsor, officers, directors and director nominees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in an amount that would cause our 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approximately $1,500,000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income taxes on interest income earned on the trust account balance, we may request the trustee to release to us an additional amount of up to $100,000 of such accrued interest to pay those costs and expenses.</w:t>
      </w:r>
    </w:p>
    <w:p>
      <w:pPr>
        <w:spacing w:after="0" w:line="12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WithumSmith+Brown, PC, our independent registered public accounting firm, and the underwriters of this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20"/>
          </w:cols>
          <w:pgMar w:left="320" w:top="455" w:right="3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 xml:space="preserve">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2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for example, the cost of such legal action is deemed by the independent directors to be too high relative to the amount recoverable or if the independent directors determine that a favorable outcome is not likely. Accordingly, we cannot assure you that due to claims of creditors the actual value of the per-share redemption price will not be less than $10.00 per share.</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$1,500,000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27"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If we file a bankruptcy or insolvency petition or an involuntary bankruptcy or insolvency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share to our public shareholders. Additionally, if we file a bankruptcy or insolvency petition or an involuntary bankruptcy or insolvency petition is filed against us that is not dismissed, any distributions received by shareholders could be viewed under applicable debtor/creditor and/or bankruptcy laws as either a “preferential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20"/>
          </w:cols>
          <w:pgMar w:left="320" w:top="455" w:right="3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transfer” or a “fraudulent conveyance.” As a result, a bankruptcy or insolvency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 xml:space="preserve">Our public shareholders will be entitled to receive funds from the trust account only (i) in the event of the redemption of our public shares if we do not complete our initial business combination within 24 months from the closing of this offering, (ii)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or (iii) if they redeem their respective shares for cash upon the completion of our initial business combination.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184" w:lineRule="exact"/>
        <w:rPr>
          <w:sz w:val="20"/>
          <w:szCs w:val="20"/>
          <w:color w:val="auto"/>
        </w:rPr>
      </w:pPr>
    </w:p>
    <w:p>
      <w:pPr>
        <w:ind w:right="340"/>
        <w:spacing w:after="0" w:line="279"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11240"/>
          </w:cols>
          <w:pgMar w:left="320" w:top="455" w:right="339" w:bottom="1440" w:gutter="0" w:footer="0" w:header="0"/>
        </w:sect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REDEMPTIONS IN</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CONNECTION WITH OUR</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INITIAL BUSINESS</w:t>
            </w:r>
          </w:p>
        </w:tc>
        <w:tc>
          <w:tcPr>
            <w:tcW w:w="0" w:type="dxa"/>
            <w:vAlign w:val="bottom"/>
          </w:tcPr>
          <w:p>
            <w:pPr>
              <w:spacing w:after="0"/>
              <w:rPr>
                <w:sz w:val="1"/>
                <w:szCs w:val="1"/>
                <w:color w:val="auto"/>
              </w:rPr>
            </w:pPr>
          </w:p>
        </w:tc>
      </w:tr>
      <w:tr>
        <w:trPr>
          <w:trHeight w:val="191"/>
        </w:trPr>
        <w:tc>
          <w:tcPr>
            <w:tcW w:w="3240" w:type="dxa"/>
            <w:vAlign w:val="bottom"/>
            <w:vMerge w:val="restart"/>
          </w:tcPr>
          <w:p>
            <w:pPr>
              <w:spacing w:after="0"/>
              <w:rPr>
                <w:sz w:val="20"/>
                <w:szCs w:val="20"/>
                <w:color w:val="auto"/>
              </w:rPr>
            </w:pPr>
            <w:r>
              <w:rPr>
                <w:rFonts w:ascii="Arial" w:cs="Arial" w:eastAsia="Arial" w:hAnsi="Arial"/>
                <w:sz w:val="17"/>
                <w:szCs w:val="17"/>
                <w:b w:val="1"/>
                <w:bCs w:val="1"/>
                <w:color w:val="auto"/>
              </w:rPr>
              <w:t>Calculation of redemption price</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COMBINATION</w:t>
            </w:r>
          </w:p>
        </w:tc>
        <w:tc>
          <w:tcPr>
            <w:tcW w:w="0" w:type="dxa"/>
            <w:vAlign w:val="bottom"/>
          </w:tcPr>
          <w:p>
            <w:pPr>
              <w:spacing w:after="0"/>
              <w:rPr>
                <w:sz w:val="1"/>
                <w:szCs w:val="1"/>
                <w:color w:val="auto"/>
              </w:rPr>
            </w:pPr>
          </w:p>
        </w:tc>
      </w:tr>
      <w:tr>
        <w:trPr>
          <w:trHeight w:val="154"/>
        </w:trPr>
        <w:tc>
          <w:tcPr>
            <w:tcW w:w="3240" w:type="dxa"/>
            <w:vAlign w:val="bottom"/>
            <w:vMerge w:val="continue"/>
          </w:tcPr>
          <w:p>
            <w:pPr>
              <w:spacing w:after="0"/>
              <w:rPr>
                <w:sz w:val="13"/>
                <w:szCs w:val="13"/>
                <w:color w:val="auto"/>
              </w:rPr>
            </w:pPr>
          </w:p>
        </w:tc>
        <w:tc>
          <w:tcPr>
            <w:tcW w:w="2700" w:type="dxa"/>
            <w:vAlign w:val="bottom"/>
          </w:tcPr>
          <w:p>
            <w:pPr>
              <w:spacing w:after="0" w:line="154" w:lineRule="exact"/>
              <w:rPr>
                <w:sz w:val="20"/>
                <w:szCs w:val="20"/>
                <w:color w:val="auto"/>
              </w:rPr>
            </w:pPr>
            <w:r>
              <w:rPr>
                <w:rFonts w:ascii="Arial" w:cs="Arial" w:eastAsia="Arial" w:hAnsi="Arial"/>
                <w:sz w:val="17"/>
                <w:szCs w:val="17"/>
                <w:color w:val="auto"/>
              </w:rPr>
              <w:t>Redemptions at the time of our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initial business combination may</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be made pursuant to a tender offer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or in connection with a shareholder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vote. The redemption price will be</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the same whether we conduct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redemptions pursuant to a tender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offer or in connection with a</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shareholder vote. In either case,</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our public shareholders may</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redeem their public shares for cash</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equal to the aggregate amount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then on deposit in the trust account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calculated as of two business days</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prior to the consummation of the</w:t>
            </w:r>
          </w:p>
        </w:tc>
        <w:tc>
          <w:tcPr>
            <w:tcW w:w="0" w:type="dxa"/>
            <w:vAlign w:val="bottom"/>
          </w:tcPr>
          <w:p>
            <w:pPr>
              <w:spacing w:after="0"/>
              <w:rPr>
                <w:sz w:val="1"/>
                <w:szCs w:val="1"/>
                <w:color w:val="auto"/>
              </w:rPr>
            </w:pPr>
          </w:p>
        </w:tc>
      </w:tr>
      <w:tr>
        <w:trPr>
          <w:trHeight w:val="231"/>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initial business</w:t>
            </w:r>
          </w:p>
        </w:tc>
        <w:tc>
          <w:tcPr>
            <w:tcW w:w="0" w:type="dxa"/>
            <w:vAlign w:val="bottom"/>
          </w:tcPr>
          <w:p>
            <w:pPr>
              <w:spacing w:after="0"/>
              <w:rPr>
                <w:sz w:val="1"/>
                <w:szCs w:val="1"/>
                <w:color w:val="auto"/>
              </w:rPr>
            </w:pPr>
          </w:p>
        </w:tc>
      </w:tr>
      <w:tr>
        <w:trPr>
          <w:trHeight w:val="524"/>
        </w:trPr>
        <w:tc>
          <w:tcPr>
            <w:tcW w:w="3240" w:type="dxa"/>
            <w:vAlign w:val="bottom"/>
          </w:tcPr>
          <w:p>
            <w:pPr>
              <w:spacing w:after="0"/>
              <w:rPr>
                <w:sz w:val="24"/>
                <w:szCs w:val="24"/>
                <w:color w:val="auto"/>
              </w:rPr>
            </w:pPr>
          </w:p>
        </w:tc>
        <w:tc>
          <w:tcPr>
            <w:tcW w:w="2700" w:type="dxa"/>
            <w:vAlign w:val="bottom"/>
          </w:tcPr>
          <w:p>
            <w:pPr>
              <w:ind w:left="230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center"/>
        <w:ind w:left="360" w:right="20"/>
        <w:spacing w:after="0" w:line="254"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5684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7"/>
          <w:szCs w:val="17"/>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There is no limit to the prices that our sponsor, directors, officers, advisors or their affiliates may pay in these transactions. If they engage in such transactions, they will not make any such purchases when they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both"/>
        <w:ind w:left="260" w:right="260" w:hanging="8"/>
        <w:spacing w:after="0" w:line="259"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4916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ind w:right="40"/>
        <w:spacing w:after="0" w:line="233" w:lineRule="auto"/>
        <w:rPr>
          <w:sz w:val="20"/>
          <w:szCs w:val="20"/>
          <w:color w:val="auto"/>
        </w:rPr>
      </w:pPr>
      <w:r>
        <w:rPr>
          <w:rFonts w:ascii="Arial" w:cs="Arial" w:eastAsia="Arial" w:hAnsi="Arial"/>
          <w:sz w:val="17"/>
          <w:szCs w:val="17"/>
          <w:color w:val="auto"/>
        </w:rPr>
        <w:t>If we are unable to complete our initial business combination within 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(less taxes payable and up to $100,000 of interest to pay</w:t>
      </w:r>
    </w:p>
    <w:p>
      <w:pPr>
        <w:sectPr>
          <w:pgSz w:w="11900" w:h="16838" w:orient="portrait"/>
          <w:cols w:equalWidth="0" w:num="3">
            <w:col w:w="5940" w:space="380"/>
            <w:col w:w="2460" w:space="120"/>
            <w:col w:w="2340"/>
          </w:cols>
          <w:pgMar w:left="320" w:top="455" w:right="339" w:bottom="1440" w:gutter="0" w:footer="0" w:header="0"/>
          <w:type w:val="continuous"/>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REDEMPTIONS IN</w:t>
            </w: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CONNECTION WITH OUR</w:t>
            </w: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INITIAL BUSINESS</w:t>
            </w:r>
          </w:p>
        </w:tc>
      </w:tr>
      <w:tr>
        <w:trPr>
          <w:trHeight w:val="191"/>
        </w:trPr>
        <w:tc>
          <w:tcPr>
            <w:tcW w:w="3240" w:type="dxa"/>
            <w:vAlign w:val="bottom"/>
          </w:tcPr>
          <w:p>
            <w:pPr>
              <w:spacing w:after="0"/>
              <w:rPr>
                <w:sz w:val="16"/>
                <w:szCs w:val="16"/>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COMBINATION</w:t>
            </w:r>
          </w:p>
        </w:tc>
      </w:tr>
      <w:tr>
        <w:trPr>
          <w:trHeight w:val="154"/>
        </w:trPr>
        <w:tc>
          <w:tcPr>
            <w:tcW w:w="3240" w:type="dxa"/>
            <w:vAlign w:val="bottom"/>
          </w:tcPr>
          <w:p>
            <w:pPr>
              <w:spacing w:after="0"/>
              <w:rPr>
                <w:sz w:val="13"/>
                <w:szCs w:val="13"/>
                <w:color w:val="auto"/>
              </w:rPr>
            </w:pPr>
          </w:p>
        </w:tc>
        <w:tc>
          <w:tcPr>
            <w:tcW w:w="2700" w:type="dxa"/>
            <w:vAlign w:val="bottom"/>
          </w:tcPr>
          <w:p>
            <w:pPr>
              <w:spacing w:after="0" w:line="154" w:lineRule="exact"/>
              <w:rPr>
                <w:sz w:val="20"/>
                <w:szCs w:val="20"/>
                <w:color w:val="auto"/>
              </w:rPr>
            </w:pPr>
            <w:r>
              <w:rPr>
                <w:rFonts w:ascii="Arial" w:cs="Arial" w:eastAsia="Arial" w:hAnsi="Arial"/>
                <w:sz w:val="17"/>
                <w:szCs w:val="17"/>
                <w:color w:val="auto"/>
              </w:rPr>
              <w:t>combination (which is initially</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anticipated to be $10.00 per</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 including interest earned on</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the funds held in the trust account</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and not previously released to us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to pay our taxes, divided by the</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number of then outstanding public</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shares, subject to the limitation that</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no redemptions will take place if all</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of the redemptions would cause</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our net tangible assets to be less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than $5,000,001 and any</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limitations (including but not limited</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to cash requirements) agreed to in</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connection with the negotiation of</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terms of a proposed business</w:t>
            </w:r>
          </w:p>
        </w:tc>
      </w:tr>
      <w:tr>
        <w:trPr>
          <w:trHeight w:val="231"/>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combination.</w:t>
            </w:r>
          </w:p>
        </w:tc>
      </w:tr>
      <w:tr>
        <w:trPr>
          <w:trHeight w:val="633"/>
        </w:trPr>
        <w:tc>
          <w:tcPr>
            <w:tcW w:w="3240" w:type="dxa"/>
            <w:vAlign w:val="bottom"/>
          </w:tcPr>
          <w:p>
            <w:pPr>
              <w:spacing w:after="0"/>
              <w:rPr>
                <w:sz w:val="20"/>
                <w:szCs w:val="20"/>
                <w:color w:val="auto"/>
              </w:rPr>
            </w:pPr>
            <w:r>
              <w:rPr>
                <w:rFonts w:ascii="Arial" w:cs="Arial" w:eastAsia="Arial" w:hAnsi="Arial"/>
                <w:sz w:val="17"/>
                <w:szCs w:val="17"/>
                <w:b w:val="1"/>
                <w:bCs w:val="1"/>
                <w:color w:val="auto"/>
              </w:rPr>
              <w:t>Impact to remaining shareholders</w:t>
            </w:r>
          </w:p>
        </w:tc>
        <w:tc>
          <w:tcPr>
            <w:tcW w:w="2700" w:type="dxa"/>
            <w:vAlign w:val="bottom"/>
          </w:tcPr>
          <w:p>
            <w:pPr>
              <w:spacing w:after="0"/>
              <w:rPr>
                <w:sz w:val="20"/>
                <w:szCs w:val="20"/>
                <w:color w:val="auto"/>
              </w:rPr>
            </w:pPr>
            <w:r>
              <w:rPr>
                <w:rFonts w:ascii="Arial" w:cs="Arial" w:eastAsia="Arial" w:hAnsi="Arial"/>
                <w:sz w:val="17"/>
                <w:szCs w:val="17"/>
                <w:color w:val="auto"/>
              </w:rPr>
              <w:t>The redemptions in connection</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with our initial business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combination will reduce the book</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value per share for our remaining</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shareholders, who will bear the</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burden of the deferred underwriting</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commissions and interest</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withdrawn in order to pay our taxes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(to the extent not paid from</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amounts accrued as interest on the</w:t>
            </w:r>
          </w:p>
        </w:tc>
      </w:tr>
      <w:tr>
        <w:trPr>
          <w:trHeight w:val="231"/>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funds held in the trust account).</w:t>
            </w:r>
          </w:p>
        </w:tc>
      </w:tr>
      <w:tr>
        <w:trPr>
          <w:trHeight w:val="335"/>
        </w:trPr>
        <w:tc>
          <w:tcPr>
            <w:tcW w:w="3240" w:type="dxa"/>
            <w:vAlign w:val="bottom"/>
          </w:tcPr>
          <w:p>
            <w:pPr>
              <w:spacing w:after="0"/>
              <w:rPr>
                <w:sz w:val="24"/>
                <w:szCs w:val="24"/>
                <w:color w:val="auto"/>
              </w:rPr>
            </w:pPr>
          </w:p>
        </w:tc>
        <w:tc>
          <w:tcPr>
            <w:tcW w:w="2700" w:type="dxa"/>
            <w:vAlign w:val="bottom"/>
          </w:tcPr>
          <w:p>
            <w:pPr>
              <w:ind w:left="2300"/>
              <w:spacing w:after="0"/>
              <w:rPr>
                <w:sz w:val="20"/>
                <w:szCs w:val="20"/>
                <w:color w:val="auto"/>
              </w:rPr>
            </w:pPr>
            <w:r>
              <w:rPr>
                <w:rFonts w:ascii="Arial" w:cs="Arial" w:eastAsia="Arial" w:hAnsi="Arial"/>
                <w:sz w:val="16"/>
                <w:szCs w:val="16"/>
                <w:color w:val="auto"/>
              </w:rPr>
              <w:t>95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left="360" w:right="20"/>
        <w:spacing w:after="0" w:line="254"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5684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7"/>
          <w:szCs w:val="17"/>
          <w:color w:val="auto"/>
        </w:rPr>
        <w:t>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7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260" w:right="140" w:hanging="8"/>
        <w:spacing w:after="0" w:line="259"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4916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62" w:lineRule="auto"/>
        <w:rPr>
          <w:sz w:val="20"/>
          <w:szCs w:val="20"/>
          <w:color w:val="auto"/>
        </w:rPr>
      </w:pPr>
      <w:r>
        <w:rPr>
          <w:rFonts w:ascii="Arial" w:cs="Arial" w:eastAsia="Arial" w:hAnsi="Arial"/>
          <w:sz w:val="16"/>
          <w:szCs w:val="16"/>
          <w:color w:val="auto"/>
        </w:rPr>
        <w:t>dissolution expenses) divided by the number of then 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ectPr>
          <w:pgSz w:w="11900" w:h="16838" w:orient="portrait"/>
          <w:cols w:equalWidth="0" w:num="3">
            <w:col w:w="5940" w:space="380"/>
            <w:col w:w="2460" w:space="120"/>
            <w:col w:w="2220"/>
          </w:cols>
          <w:pgMar w:left="320" w:top="455" w:right="4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This Offering to Those of Blank Check Companies Subject to Rule 419</w:t>
      </w:r>
    </w:p>
    <w:p>
      <w:pPr>
        <w:spacing w:after="0" w:line="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200"/>
          </w:cols>
          <w:pgMar w:left="320" w:top="455" w:right="379" w:bottom="1440"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0" w:type="dxa"/>
            <w:vAlign w:val="bottom"/>
            <w:vMerge w:val="restart"/>
          </w:tcPr>
          <w:p>
            <w:pPr>
              <w:spacing w:after="0"/>
              <w:rPr>
                <w:sz w:val="20"/>
                <w:szCs w:val="20"/>
                <w:color w:val="auto"/>
              </w:rPr>
            </w:pPr>
            <w:r>
              <w:rPr>
                <w:rFonts w:ascii="Arial" w:cs="Arial" w:eastAsia="Arial" w:hAnsi="Arial"/>
                <w:sz w:val="17"/>
                <w:szCs w:val="17"/>
                <w:b w:val="1"/>
                <w:bCs w:val="1"/>
                <w:color w:val="auto"/>
              </w:rPr>
              <w:t>Escrow of offering proceeds</w:t>
            </w:r>
          </w:p>
        </w:tc>
        <w:tc>
          <w:tcPr>
            <w:tcW w:w="36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154"/>
        </w:trPr>
        <w:tc>
          <w:tcPr>
            <w:tcW w:w="4200" w:type="dxa"/>
            <w:vAlign w:val="bottom"/>
            <w:vMerge w:val="continue"/>
          </w:tcPr>
          <w:p>
            <w:pPr>
              <w:spacing w:after="0"/>
              <w:rPr>
                <w:sz w:val="13"/>
                <w:szCs w:val="13"/>
                <w:color w:val="auto"/>
              </w:rPr>
            </w:pPr>
          </w:p>
        </w:tc>
        <w:tc>
          <w:tcPr>
            <w:tcW w:w="3620" w:type="dxa"/>
            <w:vAlign w:val="bottom"/>
          </w:tcPr>
          <w:p>
            <w:pPr>
              <w:spacing w:after="0" w:line="154" w:lineRule="exact"/>
              <w:rPr>
                <w:sz w:val="20"/>
                <w:szCs w:val="20"/>
                <w:color w:val="auto"/>
              </w:rPr>
            </w:pPr>
            <w:r>
              <w:rPr>
                <w:rFonts w:ascii="Arial" w:cs="Arial" w:eastAsia="Arial" w:hAnsi="Arial"/>
                <w:sz w:val="17"/>
                <w:szCs w:val="17"/>
                <w:color w:val="auto"/>
              </w:rPr>
              <w:t>$200,000,000 of the net proceeds of this</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offering and the sale of the private placement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warrants will be deposited into a trust account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located in the United States with Continental</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Stock Transfer &amp; Trust Company acting as</w:t>
            </w:r>
          </w:p>
        </w:tc>
        <w:tc>
          <w:tcPr>
            <w:tcW w:w="0" w:type="dxa"/>
            <w:vAlign w:val="bottom"/>
          </w:tcPr>
          <w:p>
            <w:pPr>
              <w:spacing w:after="0"/>
              <w:rPr>
                <w:sz w:val="1"/>
                <w:szCs w:val="1"/>
                <w:color w:val="auto"/>
              </w:rPr>
            </w:pPr>
          </w:p>
        </w:tc>
      </w:tr>
      <w:tr>
        <w:trPr>
          <w:trHeight w:val="231"/>
        </w:trPr>
        <w:tc>
          <w:tcPr>
            <w:tcW w:w="42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7"/>
          <w:szCs w:val="17"/>
          <w:color w:val="auto"/>
        </w:rPr>
        <w:t>Approximately $170,100,000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70" w:lineRule="exact"/>
        <w:rPr>
          <w:sz w:val="20"/>
          <w:szCs w:val="20"/>
          <w:color w:val="auto"/>
        </w:rPr>
      </w:pPr>
    </w:p>
    <w:p>
      <w:pPr>
        <w:sectPr>
          <w:pgSz w:w="11900" w:h="16838" w:orient="portrait"/>
          <w:cols w:equalWidth="0" w:num="2">
            <w:col w:w="7820" w:space="120"/>
            <w:col w:w="3260"/>
          </w:cols>
          <w:pgMar w:left="320" w:top="455" w:right="379" w:bottom="1440" w:gutter="0" w:footer="0" w:header="0"/>
          <w:type w:val="continuous"/>
        </w:sectPr>
      </w:pPr>
    </w:p>
    <w:p>
      <w:pPr>
        <w:spacing w:after="0"/>
        <w:tabs>
          <w:tab w:leader="none" w:pos="4180" w:val="left"/>
        </w:tabs>
        <w:rPr>
          <w:sz w:val="20"/>
          <w:szCs w:val="20"/>
          <w:color w:val="auto"/>
        </w:rPr>
      </w:pPr>
      <w:r>
        <w:rPr>
          <w:rFonts w:ascii="Arial" w:cs="Arial" w:eastAsia="Arial" w:hAnsi="Arial"/>
          <w:sz w:val="17"/>
          <w:szCs w:val="17"/>
          <w:b w:val="1"/>
          <w:bCs w:val="1"/>
          <w:color w:val="auto"/>
        </w:rPr>
        <w:t>Investment of net proceeds</w:t>
      </w:r>
      <w:r>
        <w:rPr>
          <w:sz w:val="20"/>
          <w:szCs w:val="20"/>
          <w:color w:val="auto"/>
        </w:rPr>
        <w:tab/>
      </w:r>
      <w:r>
        <w:rPr>
          <w:rFonts w:ascii="Arial" w:cs="Arial" w:eastAsia="Arial" w:hAnsi="Arial"/>
          <w:sz w:val="17"/>
          <w:szCs w:val="17"/>
          <w:color w:val="auto"/>
        </w:rPr>
        <w:t>$200,000,000 of the net proceeds of this</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offering and the sale of the private placement</w:t>
      </w:r>
    </w:p>
    <w:p>
      <w:pPr>
        <w:ind w:left="4200"/>
        <w:spacing w:after="0" w:line="232" w:lineRule="auto"/>
        <w:rPr>
          <w:sz w:val="20"/>
          <w:szCs w:val="20"/>
          <w:color w:val="auto"/>
        </w:rPr>
      </w:pPr>
      <w:r>
        <w:rPr>
          <w:rFonts w:ascii="Arial" w:cs="Arial" w:eastAsia="Arial" w:hAnsi="Arial"/>
          <w:sz w:val="17"/>
          <w:szCs w:val="17"/>
          <w:color w:val="auto"/>
        </w:rPr>
        <w:t>warrants held in trust will be invested only in</w:t>
      </w:r>
    </w:p>
    <w:p>
      <w:pPr>
        <w:ind w:left="4200"/>
        <w:spacing w:after="0" w:line="232" w:lineRule="auto"/>
        <w:rPr>
          <w:sz w:val="20"/>
          <w:szCs w:val="20"/>
          <w:color w:val="auto"/>
        </w:rPr>
      </w:pPr>
      <w:r>
        <w:rPr>
          <w:rFonts w:ascii="Arial" w:cs="Arial" w:eastAsia="Arial" w:hAnsi="Arial"/>
          <w:sz w:val="17"/>
          <w:szCs w:val="17"/>
          <w:color w:val="auto"/>
        </w:rPr>
        <w:t>U.S. government treasury obligations with a</w:t>
      </w:r>
    </w:p>
    <w:p>
      <w:pPr>
        <w:ind w:left="4200"/>
        <w:spacing w:after="0" w:line="232" w:lineRule="auto"/>
        <w:rPr>
          <w:sz w:val="20"/>
          <w:szCs w:val="20"/>
          <w:color w:val="auto"/>
        </w:rPr>
      </w:pPr>
      <w:r>
        <w:rPr>
          <w:rFonts w:ascii="Arial" w:cs="Arial" w:eastAsia="Arial" w:hAnsi="Arial"/>
          <w:sz w:val="17"/>
          <w:szCs w:val="17"/>
          <w:color w:val="auto"/>
        </w:rPr>
        <w:t>maturity of 185 days or less or in money market</w:t>
      </w:r>
    </w:p>
    <w:p>
      <w:pPr>
        <w:ind w:left="4200"/>
        <w:spacing w:after="0" w:line="232" w:lineRule="auto"/>
        <w:rPr>
          <w:sz w:val="20"/>
          <w:szCs w:val="20"/>
          <w:color w:val="auto"/>
        </w:rPr>
      </w:pPr>
      <w:r>
        <w:rPr>
          <w:rFonts w:ascii="Arial" w:cs="Arial" w:eastAsia="Arial" w:hAnsi="Arial"/>
          <w:sz w:val="17"/>
          <w:szCs w:val="17"/>
          <w:color w:val="auto"/>
        </w:rPr>
        <w:t>funds meeting certain conditions under</w:t>
      </w:r>
    </w:p>
    <w:p>
      <w:pPr>
        <w:ind w:left="4200"/>
        <w:spacing w:after="0" w:line="232" w:lineRule="auto"/>
        <w:rPr>
          <w:sz w:val="20"/>
          <w:szCs w:val="20"/>
          <w:color w:val="auto"/>
        </w:rPr>
      </w:pPr>
      <w:r>
        <w:rPr>
          <w:rFonts w:ascii="Arial" w:cs="Arial" w:eastAsia="Arial" w:hAnsi="Arial"/>
          <w:sz w:val="17"/>
          <w:szCs w:val="17"/>
          <w:color w:val="auto"/>
        </w:rPr>
        <w:t>Rule 2a-7 under the Investment Company Act</w:t>
      </w:r>
    </w:p>
    <w:p>
      <w:pPr>
        <w:ind w:left="4200"/>
        <w:spacing w:after="0" w:line="232" w:lineRule="auto"/>
        <w:rPr>
          <w:sz w:val="20"/>
          <w:szCs w:val="20"/>
          <w:color w:val="auto"/>
        </w:rPr>
      </w:pPr>
      <w:r>
        <w:rPr>
          <w:rFonts w:ascii="Arial" w:cs="Arial" w:eastAsia="Arial" w:hAnsi="Arial"/>
          <w:sz w:val="17"/>
          <w:szCs w:val="17"/>
          <w:color w:val="auto"/>
        </w:rPr>
        <w:t>which invest only in direct U.S. government</w:t>
      </w:r>
    </w:p>
    <w:p>
      <w:pPr>
        <w:ind w:left="4200"/>
        <w:spacing w:after="0"/>
        <w:rPr>
          <w:sz w:val="20"/>
          <w:szCs w:val="20"/>
          <w:color w:val="auto"/>
        </w:rPr>
      </w:pPr>
      <w:r>
        <w:rPr>
          <w:rFonts w:ascii="Arial" w:cs="Arial" w:eastAsia="Arial" w:hAnsi="Arial"/>
          <w:sz w:val="17"/>
          <w:szCs w:val="17"/>
          <w:color w:val="auto"/>
        </w:rPr>
        <w:t>treasury obligations.</w:t>
      </w:r>
    </w:p>
    <w:p>
      <w:pPr>
        <w:spacing w:after="0" w:line="78" w:lineRule="exact"/>
        <w:rPr>
          <w:sz w:val="20"/>
          <w:szCs w:val="20"/>
          <w:color w:val="auto"/>
        </w:rPr>
      </w:pPr>
    </w:p>
    <w:p>
      <w:pPr>
        <w:spacing w:after="0"/>
        <w:tabs>
          <w:tab w:leader="none" w:pos="4180" w:val="left"/>
        </w:tabs>
        <w:rPr>
          <w:sz w:val="20"/>
          <w:szCs w:val="20"/>
          <w:color w:val="auto"/>
        </w:rPr>
      </w:pPr>
      <w:r>
        <w:rPr>
          <w:rFonts w:ascii="Arial" w:cs="Arial" w:eastAsia="Arial" w:hAnsi="Arial"/>
          <w:sz w:val="17"/>
          <w:szCs w:val="17"/>
          <w:b w:val="1"/>
          <w:bCs w:val="1"/>
          <w:color w:val="auto"/>
        </w:rPr>
        <w:t>Receipt of interest on escrowed funds</w:t>
      </w:r>
      <w:r>
        <w:rPr>
          <w:sz w:val="20"/>
          <w:szCs w:val="20"/>
          <w:color w:val="auto"/>
        </w:rPr>
        <w:tab/>
      </w:r>
      <w:r>
        <w:rPr>
          <w:rFonts w:ascii="Arial" w:cs="Arial" w:eastAsia="Arial" w:hAnsi="Arial"/>
          <w:sz w:val="17"/>
          <w:szCs w:val="17"/>
          <w:color w:val="auto"/>
        </w:rPr>
        <w:t>Interest on proceeds from the trust account to</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be paid to shareholders is reduced by (i) any</w:t>
      </w:r>
    </w:p>
    <w:p>
      <w:pPr>
        <w:ind w:left="4200"/>
        <w:spacing w:after="0" w:line="232" w:lineRule="auto"/>
        <w:rPr>
          <w:sz w:val="20"/>
          <w:szCs w:val="20"/>
          <w:color w:val="auto"/>
        </w:rPr>
      </w:pPr>
      <w:r>
        <w:rPr>
          <w:rFonts w:ascii="Arial" w:cs="Arial" w:eastAsia="Arial" w:hAnsi="Arial"/>
          <w:sz w:val="17"/>
          <w:szCs w:val="17"/>
          <w:color w:val="auto"/>
        </w:rPr>
        <w:t>taxes paid or payable and (ii) in the event of our</w:t>
      </w:r>
    </w:p>
    <w:p>
      <w:pPr>
        <w:ind w:left="4200"/>
        <w:spacing w:after="0" w:line="232" w:lineRule="auto"/>
        <w:rPr>
          <w:sz w:val="20"/>
          <w:szCs w:val="20"/>
          <w:color w:val="auto"/>
        </w:rPr>
      </w:pPr>
      <w:r>
        <w:rPr>
          <w:rFonts w:ascii="Arial" w:cs="Arial" w:eastAsia="Arial" w:hAnsi="Arial"/>
          <w:sz w:val="17"/>
          <w:szCs w:val="17"/>
          <w:color w:val="auto"/>
        </w:rPr>
        <w:t>liquidation for failure to complete our initial</w:t>
      </w:r>
    </w:p>
    <w:p>
      <w:pPr>
        <w:ind w:left="4200"/>
        <w:spacing w:after="0" w:line="232" w:lineRule="auto"/>
        <w:rPr>
          <w:sz w:val="20"/>
          <w:szCs w:val="20"/>
          <w:color w:val="auto"/>
        </w:rPr>
      </w:pPr>
      <w:r>
        <w:rPr>
          <w:rFonts w:ascii="Arial" w:cs="Arial" w:eastAsia="Arial" w:hAnsi="Arial"/>
          <w:sz w:val="17"/>
          <w:szCs w:val="17"/>
          <w:color w:val="auto"/>
        </w:rPr>
        <w:t>business combination within the allotted time,</w:t>
      </w:r>
    </w:p>
    <w:p>
      <w:pPr>
        <w:ind w:left="4200"/>
        <w:spacing w:after="0" w:line="232" w:lineRule="auto"/>
        <w:rPr>
          <w:sz w:val="20"/>
          <w:szCs w:val="20"/>
          <w:color w:val="auto"/>
        </w:rPr>
      </w:pPr>
      <w:r>
        <w:rPr>
          <w:rFonts w:ascii="Arial" w:cs="Arial" w:eastAsia="Arial" w:hAnsi="Arial"/>
          <w:sz w:val="17"/>
          <w:szCs w:val="17"/>
          <w:color w:val="auto"/>
        </w:rPr>
        <w:t>up to $100,000 of net interest that may be</w:t>
      </w:r>
    </w:p>
    <w:p>
      <w:pPr>
        <w:ind w:left="4200"/>
        <w:spacing w:after="0" w:line="232" w:lineRule="auto"/>
        <w:rPr>
          <w:sz w:val="20"/>
          <w:szCs w:val="20"/>
          <w:color w:val="auto"/>
        </w:rPr>
      </w:pPr>
      <w:r>
        <w:rPr>
          <w:rFonts w:ascii="Arial" w:cs="Arial" w:eastAsia="Arial" w:hAnsi="Arial"/>
          <w:sz w:val="17"/>
          <w:szCs w:val="17"/>
          <w:color w:val="auto"/>
        </w:rPr>
        <w:t>released to us should we have no or insufficient</w:t>
      </w:r>
    </w:p>
    <w:p>
      <w:pPr>
        <w:ind w:left="4200"/>
        <w:spacing w:after="0" w:line="232" w:lineRule="auto"/>
        <w:rPr>
          <w:sz w:val="20"/>
          <w:szCs w:val="20"/>
          <w:color w:val="auto"/>
        </w:rPr>
      </w:pPr>
      <w:r>
        <w:rPr>
          <w:rFonts w:ascii="Arial" w:cs="Arial" w:eastAsia="Arial" w:hAnsi="Arial"/>
          <w:sz w:val="17"/>
          <w:szCs w:val="17"/>
          <w:color w:val="auto"/>
        </w:rPr>
        <w:t>working capital to fund the costs and expenses</w:t>
      </w:r>
    </w:p>
    <w:p>
      <w:pPr>
        <w:ind w:left="4200"/>
        <w:spacing w:after="0"/>
        <w:rPr>
          <w:sz w:val="20"/>
          <w:szCs w:val="20"/>
          <w:color w:val="auto"/>
        </w:rPr>
      </w:pPr>
      <w:r>
        <w:rPr>
          <w:rFonts w:ascii="Arial" w:cs="Arial" w:eastAsia="Arial" w:hAnsi="Arial"/>
          <w:sz w:val="17"/>
          <w:szCs w:val="17"/>
          <w:color w:val="auto"/>
        </w:rPr>
        <w:t>of our dissolution and liquidation.</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00" w:lineRule="exact"/>
        <w:rPr>
          <w:sz w:val="20"/>
          <w:szCs w:val="20"/>
          <w:color w:val="auto"/>
        </w:rPr>
      </w:pPr>
    </w:p>
    <w:p>
      <w:pPr>
        <w:spacing w:after="0" w:line="246"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Interest on funds in escrow account would be held for the sole benefit of investors, unless and only after the funds held in escrow were released to us in connection with our completion of a business combination.</w:t>
      </w:r>
    </w:p>
    <w:p>
      <w:pPr>
        <w:sectPr>
          <w:pgSz w:w="11900" w:h="16838" w:orient="portrait"/>
          <w:cols w:equalWidth="0" w:num="2">
            <w:col w:w="7800" w:space="140"/>
            <w:col w:w="3260"/>
          </w:cols>
          <w:pgMar w:left="320" w:top="455" w:right="379" w:bottom="1440" w:gutter="0" w:footer="0" w:header="0"/>
          <w:type w:val="continuous"/>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120"/>
        <w:spacing w:after="0" w:line="290" w:lineRule="auto"/>
        <w:rPr>
          <w:sz w:val="20"/>
          <w:szCs w:val="20"/>
          <w:color w:val="auto"/>
        </w:rPr>
      </w:pPr>
      <w:r>
        <w:rPr>
          <w:rFonts w:ascii="Arial" w:cs="Arial" w:eastAsia="Arial" w:hAnsi="Arial"/>
          <w:sz w:val="17"/>
          <w:szCs w:val="17"/>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of the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-734695</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23056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7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4"/>
          <w:szCs w:val="14"/>
          <w:color w:val="auto"/>
        </w:rPr>
        <w:t>nd</w:t>
      </w:r>
      <w:r>
        <w:rPr>
          <w:rFonts w:ascii="Arial" w:cs="Arial" w:eastAsia="Arial" w:hAnsi="Arial"/>
          <w:sz w:val="17"/>
          <w:szCs w:val="17"/>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which closing is anticipated to take place three business days from the date of this prospectus. If the over-allotment option is exercised following the initial filing of such Current Report on Form 8-K, a second or amended Current Report on</w:t>
      </w:r>
    </w:p>
    <w:p>
      <w:pPr>
        <w:spacing w:after="0" w:line="8"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Form 8-K will be filed to provide updated financial information to reflect the exercise of the over-allotment option.</w:t>
      </w:r>
    </w:p>
    <w:p>
      <w:pPr>
        <w:spacing w:after="0" w:line="6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warrants cannot be exercised until the later of 30 days after the completion of our initial business combination or 12 months from the closing of this offering.</w:t>
      </w:r>
    </w:p>
    <w:p>
      <w:pPr>
        <w:spacing w:after="0" w:line="30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ind w:right="240"/>
        <w:spacing w:after="0"/>
        <w:rPr>
          <w:sz w:val="20"/>
          <w:szCs w:val="20"/>
          <w:color w:val="auto"/>
        </w:rPr>
      </w:pPr>
      <w:r>
        <w:rPr>
          <w:rFonts w:ascii="Arial" w:cs="Arial" w:eastAsia="Arial" w:hAnsi="Arial"/>
          <w:sz w:val="17"/>
          <w:szCs w:val="17"/>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No trading of the units or the underlying Class A ordinary shares and warrants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warrants could be exercised prior to the completion of a business combination, but securities received and cash paid in connection with the exercise would be deposited in the escrow or trust account.</w:t>
      </w:r>
    </w:p>
    <w:p>
      <w:pPr>
        <w:sectPr>
          <w:pgSz w:w="11900" w:h="16838" w:orient="portrait"/>
          <w:cols w:equalWidth="0" w:num="3">
            <w:col w:w="3480" w:space="720"/>
            <w:col w:w="3600" w:space="140"/>
            <w:col w:w="3280"/>
          </w:cols>
          <w:pgMar w:left="320" w:top="455" w:right="3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-734695</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23056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will provide our public shareholders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upon the completion of our initial business combination, subject to the limitations and on the conditions described herein. We may not be required by law to hold a shareholder vote. If we are not required by law and do not otherwise decide to hold a shareholder vote, we will, pursuant to our amended and restated memorandum and articles of association, conduct the redemptions pursuant to the tender offer rules of the SEC and file tender offer documents with the SEC which will contain substantially the same financial and other information about the initial business combination and the redemption rights as is required under the SEC’s proxy rules. If, however, we hold a shareholder vote, we will, like many blank check companies, offer to redeem shares in conjunction with a proxy 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Additionally, each public</w:t>
      </w:r>
    </w:p>
    <w:p>
      <w:pPr>
        <w:spacing w:after="0" w:line="13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w:t>
      </w:r>
      <w:r>
        <w:rPr>
          <w:rFonts w:ascii="Arial" w:cs="Arial" w:eastAsia="Arial" w:hAnsi="Arial"/>
          <w:sz w:val="14"/>
          <w:szCs w:val="14"/>
          <w:color w:val="auto"/>
        </w:rPr>
        <w:t>th</w:t>
      </w:r>
      <w:r>
        <w:rPr>
          <w:rFonts w:ascii="Arial" w:cs="Arial" w:eastAsia="Arial" w:hAnsi="Arial"/>
          <w:sz w:val="17"/>
          <w:szCs w:val="17"/>
          <w:color w:val="auto"/>
        </w:rPr>
        <w:t xml:space="preserve">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3">
            <w:col w:w="3480" w:space="720"/>
            <w:col w:w="3620" w:space="120"/>
            <w:col w:w="3280"/>
          </w:cols>
          <w:pgMar w:left="320" w:top="455" w:right="3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right"/>
        <w:ind w:right="1280"/>
        <w:spacing w:after="0"/>
        <w:tabs>
          <w:tab w:leader="none" w:pos="130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6350</wp:posOffset>
            </wp:positionV>
            <wp:extent cx="44748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ind w:left="4200"/>
        <w:spacing w:after="0"/>
        <w:rPr>
          <w:sz w:val="20"/>
          <w:szCs w:val="20"/>
          <w:color w:val="auto"/>
        </w:rPr>
      </w:pPr>
      <w:r>
        <w:rPr>
          <w:rFonts w:ascii="Arial" w:cs="Arial" w:eastAsia="Arial" w:hAnsi="Arial"/>
          <w:sz w:val="17"/>
          <w:szCs w:val="17"/>
          <w:color w:val="auto"/>
        </w:rPr>
        <w:t>shareholder may elect to redeem their public</w:t>
      </w:r>
    </w:p>
    <w:p>
      <w:pPr>
        <w:ind w:left="4200"/>
        <w:spacing w:after="0" w:line="232" w:lineRule="auto"/>
        <w:rPr>
          <w:sz w:val="20"/>
          <w:szCs w:val="20"/>
          <w:color w:val="auto"/>
        </w:rPr>
      </w:pPr>
      <w:r>
        <w:rPr>
          <w:rFonts w:ascii="Arial" w:cs="Arial" w:eastAsia="Arial" w:hAnsi="Arial"/>
          <w:sz w:val="17"/>
          <w:szCs w:val="17"/>
          <w:color w:val="auto"/>
        </w:rPr>
        <w:t>shares irrespective of whether they vote for or</w:t>
      </w:r>
    </w:p>
    <w:p>
      <w:pPr>
        <w:ind w:left="4200"/>
        <w:spacing w:after="0" w:line="232" w:lineRule="auto"/>
        <w:rPr>
          <w:sz w:val="20"/>
          <w:szCs w:val="20"/>
          <w:color w:val="auto"/>
        </w:rPr>
      </w:pPr>
      <w:r>
        <w:rPr>
          <w:rFonts w:ascii="Arial" w:cs="Arial" w:eastAsia="Arial" w:hAnsi="Arial"/>
          <w:sz w:val="17"/>
          <w:szCs w:val="17"/>
          <w:color w:val="auto"/>
        </w:rPr>
        <w:t>against the proposed transaction or whether</w:t>
      </w:r>
    </w:p>
    <w:p>
      <w:pPr>
        <w:ind w:left="4200"/>
        <w:spacing w:after="0" w:line="232" w:lineRule="auto"/>
        <w:rPr>
          <w:sz w:val="20"/>
          <w:szCs w:val="20"/>
          <w:color w:val="auto"/>
        </w:rPr>
      </w:pPr>
      <w:r>
        <w:rPr>
          <w:rFonts w:ascii="Arial" w:cs="Arial" w:eastAsia="Arial" w:hAnsi="Arial"/>
          <w:sz w:val="17"/>
          <w:szCs w:val="17"/>
          <w:color w:val="auto"/>
        </w:rPr>
        <w:t>they were a public shareholder on the record</w:t>
      </w:r>
    </w:p>
    <w:p>
      <w:pPr>
        <w:ind w:left="4200"/>
        <w:spacing w:after="0" w:line="232" w:lineRule="auto"/>
        <w:rPr>
          <w:sz w:val="20"/>
          <w:szCs w:val="20"/>
          <w:color w:val="auto"/>
        </w:rPr>
      </w:pPr>
      <w:r>
        <w:rPr>
          <w:rFonts w:ascii="Arial" w:cs="Arial" w:eastAsia="Arial" w:hAnsi="Arial"/>
          <w:sz w:val="17"/>
          <w:szCs w:val="17"/>
          <w:color w:val="auto"/>
        </w:rPr>
        <w:t>date for the general meeting held to approve</w:t>
      </w:r>
    </w:p>
    <w:p>
      <w:pPr>
        <w:ind w:left="4200"/>
        <w:spacing w:after="0"/>
        <w:rPr>
          <w:sz w:val="20"/>
          <w:szCs w:val="20"/>
          <w:color w:val="auto"/>
        </w:rPr>
      </w:pPr>
      <w:r>
        <w:rPr>
          <w:rFonts w:ascii="Arial" w:cs="Arial" w:eastAsia="Arial" w:hAnsi="Arial"/>
          <w:sz w:val="17"/>
          <w:szCs w:val="17"/>
          <w:color w:val="auto"/>
        </w:rPr>
        <w:t>the proposed transaction.</w:t>
      </w:r>
    </w:p>
    <w:p>
      <w:pPr>
        <w:sectPr>
          <w:pgSz w:w="11900" w:h="16838" w:orient="portrait"/>
          <w:cols w:equalWidth="0" w:num="1">
            <w:col w:w="11240"/>
          </w:cols>
          <w:pgMar w:left="320" w:top="455" w:right="339" w:bottom="1440" w:gutter="0" w:footer="0" w:header="0"/>
        </w:sectPr>
      </w:pPr>
    </w:p>
    <w:p>
      <w:pPr>
        <w:spacing w:after="0" w:line="78" w:lineRule="exact"/>
        <w:rPr>
          <w:sz w:val="20"/>
          <w:szCs w:val="20"/>
          <w:color w:val="auto"/>
        </w:rPr>
      </w:pPr>
    </w:p>
    <w:p>
      <w:pPr>
        <w:spacing w:after="0"/>
        <w:tabs>
          <w:tab w:leader="none" w:pos="4180" w:val="left"/>
        </w:tabs>
        <w:rPr>
          <w:sz w:val="20"/>
          <w:szCs w:val="20"/>
          <w:color w:val="auto"/>
        </w:rPr>
      </w:pPr>
      <w:r>
        <w:rPr>
          <w:rFonts w:ascii="Arial" w:cs="Arial" w:eastAsia="Arial" w:hAnsi="Arial"/>
          <w:sz w:val="17"/>
          <w:szCs w:val="17"/>
          <w:b w:val="1"/>
          <w:bCs w:val="1"/>
          <w:color w:val="auto"/>
        </w:rPr>
        <w:t>Business combination deadline</w:t>
      </w:r>
      <w:r>
        <w:rPr>
          <w:sz w:val="20"/>
          <w:szCs w:val="20"/>
          <w:color w:val="auto"/>
        </w:rPr>
        <w:tab/>
      </w:r>
      <w:r>
        <w:rPr>
          <w:rFonts w:ascii="Arial" w:cs="Arial" w:eastAsia="Arial" w:hAnsi="Arial"/>
          <w:sz w:val="17"/>
          <w:szCs w:val="17"/>
          <w:color w:val="auto"/>
        </w:rPr>
        <w:t>If we are unable to complete an initial business</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combination within 24 months from the closing</w:t>
      </w:r>
    </w:p>
    <w:p>
      <w:pPr>
        <w:ind w:left="4200"/>
        <w:spacing w:after="0" w:line="232" w:lineRule="auto"/>
        <w:rPr>
          <w:sz w:val="20"/>
          <w:szCs w:val="20"/>
          <w:color w:val="auto"/>
        </w:rPr>
      </w:pPr>
      <w:r>
        <w:rPr>
          <w:rFonts w:ascii="Arial" w:cs="Arial" w:eastAsia="Arial" w:hAnsi="Arial"/>
          <w:sz w:val="17"/>
          <w:szCs w:val="17"/>
          <w:color w:val="auto"/>
        </w:rPr>
        <w:t>of this offering, we will (i) cease all operations</w:t>
      </w:r>
    </w:p>
    <w:p>
      <w:pPr>
        <w:ind w:left="4200"/>
        <w:spacing w:after="0" w:line="232" w:lineRule="auto"/>
        <w:rPr>
          <w:sz w:val="20"/>
          <w:szCs w:val="20"/>
          <w:color w:val="auto"/>
        </w:rPr>
      </w:pPr>
      <w:r>
        <w:rPr>
          <w:rFonts w:ascii="Arial" w:cs="Arial" w:eastAsia="Arial" w:hAnsi="Arial"/>
          <w:sz w:val="17"/>
          <w:szCs w:val="17"/>
          <w:color w:val="auto"/>
        </w:rPr>
        <w:t>except for the purpose of winding up, (ii) as</w:t>
      </w:r>
    </w:p>
    <w:p>
      <w:pPr>
        <w:ind w:left="4200"/>
        <w:spacing w:after="0" w:line="232" w:lineRule="auto"/>
        <w:rPr>
          <w:sz w:val="20"/>
          <w:szCs w:val="20"/>
          <w:color w:val="auto"/>
        </w:rPr>
      </w:pPr>
      <w:r>
        <w:rPr>
          <w:rFonts w:ascii="Arial" w:cs="Arial" w:eastAsia="Arial" w:hAnsi="Arial"/>
          <w:sz w:val="17"/>
          <w:szCs w:val="17"/>
          <w:color w:val="auto"/>
        </w:rPr>
        <w:t>promptly as reasonably possible but not more</w:t>
      </w:r>
    </w:p>
    <w:p>
      <w:pPr>
        <w:ind w:left="4200"/>
        <w:spacing w:after="0" w:line="232" w:lineRule="auto"/>
        <w:rPr>
          <w:sz w:val="20"/>
          <w:szCs w:val="20"/>
          <w:color w:val="auto"/>
        </w:rPr>
      </w:pPr>
      <w:r>
        <w:rPr>
          <w:rFonts w:ascii="Arial" w:cs="Arial" w:eastAsia="Arial" w:hAnsi="Arial"/>
          <w:sz w:val="17"/>
          <w:szCs w:val="17"/>
          <w:color w:val="auto"/>
        </w:rPr>
        <w:t>than ten business days thereafter, redeem</w:t>
      </w:r>
    </w:p>
    <w:p>
      <w:pPr>
        <w:ind w:left="4200"/>
        <w:spacing w:after="0" w:line="232" w:lineRule="auto"/>
        <w:rPr>
          <w:sz w:val="20"/>
          <w:szCs w:val="20"/>
          <w:color w:val="auto"/>
        </w:rPr>
      </w:pPr>
      <w:r>
        <w:rPr>
          <w:rFonts w:ascii="Arial" w:cs="Arial" w:eastAsia="Arial" w:hAnsi="Arial"/>
          <w:sz w:val="17"/>
          <w:szCs w:val="17"/>
          <w:color w:val="auto"/>
        </w:rPr>
        <w:t>100% of the public shares, at a per-share price,</w:t>
      </w:r>
    </w:p>
    <w:p>
      <w:pPr>
        <w:ind w:left="4200"/>
        <w:spacing w:after="0" w:line="232" w:lineRule="auto"/>
        <w:rPr>
          <w:sz w:val="20"/>
          <w:szCs w:val="20"/>
          <w:color w:val="auto"/>
        </w:rPr>
      </w:pPr>
      <w:r>
        <w:rPr>
          <w:rFonts w:ascii="Arial" w:cs="Arial" w:eastAsia="Arial" w:hAnsi="Arial"/>
          <w:sz w:val="17"/>
          <w:szCs w:val="17"/>
          <w:color w:val="auto"/>
        </w:rPr>
        <w:t>payable in cash, equal to the aggregate amount</w:t>
      </w:r>
    </w:p>
    <w:p>
      <w:pPr>
        <w:ind w:left="4200"/>
        <w:spacing w:after="0" w:line="232" w:lineRule="auto"/>
        <w:rPr>
          <w:sz w:val="20"/>
          <w:szCs w:val="20"/>
          <w:color w:val="auto"/>
        </w:rPr>
      </w:pPr>
      <w:r>
        <w:rPr>
          <w:rFonts w:ascii="Arial" w:cs="Arial" w:eastAsia="Arial" w:hAnsi="Arial"/>
          <w:sz w:val="17"/>
          <w:szCs w:val="17"/>
          <w:color w:val="auto"/>
        </w:rPr>
        <w:t>then on deposit in the trust account, including</w:t>
      </w:r>
    </w:p>
    <w:p>
      <w:pPr>
        <w:ind w:left="4200"/>
        <w:spacing w:after="0" w:line="232" w:lineRule="auto"/>
        <w:rPr>
          <w:sz w:val="20"/>
          <w:szCs w:val="20"/>
          <w:color w:val="auto"/>
        </w:rPr>
      </w:pPr>
      <w:r>
        <w:rPr>
          <w:rFonts w:ascii="Arial" w:cs="Arial" w:eastAsia="Arial" w:hAnsi="Arial"/>
          <w:sz w:val="17"/>
          <w:szCs w:val="17"/>
          <w:color w:val="auto"/>
        </w:rPr>
        <w:t>interest earned on the funds held in the trust</w:t>
      </w:r>
    </w:p>
    <w:p>
      <w:pPr>
        <w:ind w:left="4200"/>
        <w:spacing w:after="0" w:line="232" w:lineRule="auto"/>
        <w:rPr>
          <w:sz w:val="20"/>
          <w:szCs w:val="20"/>
          <w:color w:val="auto"/>
        </w:rPr>
      </w:pPr>
      <w:r>
        <w:rPr>
          <w:rFonts w:ascii="Arial" w:cs="Arial" w:eastAsia="Arial" w:hAnsi="Arial"/>
          <w:sz w:val="17"/>
          <w:szCs w:val="17"/>
          <w:color w:val="auto"/>
        </w:rPr>
        <w:t>account and not previously released to us (less</w:t>
      </w:r>
    </w:p>
    <w:p>
      <w:pPr>
        <w:ind w:left="4200"/>
        <w:spacing w:after="0" w:line="232" w:lineRule="auto"/>
        <w:rPr>
          <w:sz w:val="20"/>
          <w:szCs w:val="20"/>
          <w:color w:val="auto"/>
        </w:rPr>
      </w:pPr>
      <w:r>
        <w:rPr>
          <w:rFonts w:ascii="Arial" w:cs="Arial" w:eastAsia="Arial" w:hAnsi="Arial"/>
          <w:sz w:val="17"/>
          <w:szCs w:val="17"/>
          <w:color w:val="auto"/>
        </w:rPr>
        <w:t>taxes payable and up to $100,000 of interest to</w:t>
      </w:r>
    </w:p>
    <w:p>
      <w:pPr>
        <w:ind w:left="4200"/>
        <w:spacing w:after="0" w:line="232" w:lineRule="auto"/>
        <w:rPr>
          <w:sz w:val="20"/>
          <w:szCs w:val="20"/>
          <w:color w:val="auto"/>
        </w:rPr>
      </w:pPr>
      <w:r>
        <w:rPr>
          <w:rFonts w:ascii="Arial" w:cs="Arial" w:eastAsia="Arial" w:hAnsi="Arial"/>
          <w:sz w:val="17"/>
          <w:szCs w:val="17"/>
          <w:color w:val="auto"/>
        </w:rPr>
        <w:t>pay dissolution expenses), divided by the</w:t>
      </w:r>
    </w:p>
    <w:p>
      <w:pPr>
        <w:ind w:left="4200"/>
        <w:spacing w:after="0" w:line="232" w:lineRule="auto"/>
        <w:rPr>
          <w:sz w:val="20"/>
          <w:szCs w:val="20"/>
          <w:color w:val="auto"/>
        </w:rPr>
      </w:pPr>
      <w:r>
        <w:rPr>
          <w:rFonts w:ascii="Arial" w:cs="Arial" w:eastAsia="Arial" w:hAnsi="Arial"/>
          <w:sz w:val="17"/>
          <w:szCs w:val="17"/>
          <w:color w:val="auto"/>
        </w:rPr>
        <w:t>number of then outstanding public shares,</w:t>
      </w:r>
    </w:p>
    <w:p>
      <w:pPr>
        <w:ind w:left="4200"/>
        <w:spacing w:after="0" w:line="232" w:lineRule="auto"/>
        <w:rPr>
          <w:sz w:val="20"/>
          <w:szCs w:val="20"/>
          <w:color w:val="auto"/>
        </w:rPr>
      </w:pPr>
      <w:r>
        <w:rPr>
          <w:rFonts w:ascii="Arial" w:cs="Arial" w:eastAsia="Arial" w:hAnsi="Arial"/>
          <w:sz w:val="17"/>
          <w:szCs w:val="17"/>
          <w:color w:val="auto"/>
        </w:rPr>
        <w:t>which redemption will completely extinguish</w:t>
      </w:r>
    </w:p>
    <w:p>
      <w:pPr>
        <w:ind w:left="4200"/>
        <w:spacing w:after="0" w:line="232" w:lineRule="auto"/>
        <w:rPr>
          <w:sz w:val="20"/>
          <w:szCs w:val="20"/>
          <w:color w:val="auto"/>
        </w:rPr>
      </w:pPr>
      <w:r>
        <w:rPr>
          <w:rFonts w:ascii="Arial" w:cs="Arial" w:eastAsia="Arial" w:hAnsi="Arial"/>
          <w:sz w:val="17"/>
          <w:szCs w:val="17"/>
          <w:color w:val="auto"/>
        </w:rPr>
        <w:t>public shareholders’ rights as shareholders</w:t>
      </w:r>
    </w:p>
    <w:p>
      <w:pPr>
        <w:ind w:left="4200"/>
        <w:spacing w:after="0" w:line="232" w:lineRule="auto"/>
        <w:rPr>
          <w:sz w:val="20"/>
          <w:szCs w:val="20"/>
          <w:color w:val="auto"/>
        </w:rPr>
      </w:pPr>
      <w:r>
        <w:rPr>
          <w:rFonts w:ascii="Arial" w:cs="Arial" w:eastAsia="Arial" w:hAnsi="Arial"/>
          <w:sz w:val="17"/>
          <w:szCs w:val="17"/>
          <w:color w:val="auto"/>
        </w:rPr>
        <w:t>(including the right to receive further liquidation</w:t>
      </w:r>
    </w:p>
    <w:p>
      <w:pPr>
        <w:ind w:left="4200"/>
        <w:spacing w:after="0" w:line="232" w:lineRule="auto"/>
        <w:rPr>
          <w:sz w:val="20"/>
          <w:szCs w:val="20"/>
          <w:color w:val="auto"/>
        </w:rPr>
      </w:pPr>
      <w:r>
        <w:rPr>
          <w:rFonts w:ascii="Arial" w:cs="Arial" w:eastAsia="Arial" w:hAnsi="Arial"/>
          <w:sz w:val="17"/>
          <w:szCs w:val="17"/>
          <w:color w:val="auto"/>
        </w:rPr>
        <w:t>distributions, if any) and (iii) as promptly as</w:t>
      </w:r>
    </w:p>
    <w:p>
      <w:pPr>
        <w:ind w:left="4200"/>
        <w:spacing w:after="0" w:line="232" w:lineRule="auto"/>
        <w:rPr>
          <w:sz w:val="20"/>
          <w:szCs w:val="20"/>
          <w:color w:val="auto"/>
        </w:rPr>
      </w:pPr>
      <w:r>
        <w:rPr>
          <w:rFonts w:ascii="Arial" w:cs="Arial" w:eastAsia="Arial" w:hAnsi="Arial"/>
          <w:sz w:val="17"/>
          <w:szCs w:val="17"/>
          <w:color w:val="auto"/>
        </w:rPr>
        <w:t>reasonably possible following such redemption,</w:t>
      </w:r>
    </w:p>
    <w:p>
      <w:pPr>
        <w:ind w:left="4200"/>
        <w:spacing w:after="0" w:line="232" w:lineRule="auto"/>
        <w:rPr>
          <w:sz w:val="20"/>
          <w:szCs w:val="20"/>
          <w:color w:val="auto"/>
        </w:rPr>
      </w:pPr>
      <w:r>
        <w:rPr>
          <w:rFonts w:ascii="Arial" w:cs="Arial" w:eastAsia="Arial" w:hAnsi="Arial"/>
          <w:sz w:val="17"/>
          <w:szCs w:val="17"/>
          <w:color w:val="auto"/>
        </w:rPr>
        <w:t>subject to the approval of our remaining</w:t>
      </w:r>
    </w:p>
    <w:p>
      <w:pPr>
        <w:ind w:left="4200"/>
        <w:spacing w:after="0" w:line="232" w:lineRule="auto"/>
        <w:rPr>
          <w:sz w:val="20"/>
          <w:szCs w:val="20"/>
          <w:color w:val="auto"/>
        </w:rPr>
      </w:pPr>
      <w:r>
        <w:rPr>
          <w:rFonts w:ascii="Arial" w:cs="Arial" w:eastAsia="Arial" w:hAnsi="Arial"/>
          <w:sz w:val="17"/>
          <w:szCs w:val="17"/>
          <w:color w:val="auto"/>
        </w:rPr>
        <w:t>shareholders and our board of directors,</w:t>
      </w:r>
    </w:p>
    <w:p>
      <w:pPr>
        <w:ind w:left="4200"/>
        <w:spacing w:after="0" w:line="233" w:lineRule="auto"/>
        <w:rPr>
          <w:sz w:val="20"/>
          <w:szCs w:val="20"/>
          <w:color w:val="auto"/>
        </w:rPr>
      </w:pPr>
      <w:r>
        <w:rPr>
          <w:rFonts w:ascii="Arial" w:cs="Arial" w:eastAsia="Arial" w:hAnsi="Arial"/>
          <w:sz w:val="17"/>
          <w:szCs w:val="17"/>
          <w:color w:val="auto"/>
        </w:rPr>
        <w:t>liquidate and dissolve, subject in the case of</w:t>
      </w:r>
    </w:p>
    <w:p>
      <w:pPr>
        <w:ind w:left="4200"/>
        <w:spacing w:after="0" w:line="232" w:lineRule="auto"/>
        <w:rPr>
          <w:sz w:val="20"/>
          <w:szCs w:val="20"/>
          <w:color w:val="auto"/>
        </w:rPr>
      </w:pPr>
      <w:r>
        <w:rPr>
          <w:rFonts w:ascii="Arial" w:cs="Arial" w:eastAsia="Arial" w:hAnsi="Arial"/>
          <w:sz w:val="17"/>
          <w:szCs w:val="17"/>
          <w:color w:val="auto"/>
        </w:rPr>
        <w:t>clauses (ii) and (iii) to our obligations under</w:t>
      </w:r>
    </w:p>
    <w:p>
      <w:pPr>
        <w:ind w:left="4200"/>
        <w:spacing w:after="0" w:line="232" w:lineRule="auto"/>
        <w:rPr>
          <w:sz w:val="20"/>
          <w:szCs w:val="20"/>
          <w:color w:val="auto"/>
        </w:rPr>
      </w:pPr>
      <w:r>
        <w:rPr>
          <w:rFonts w:ascii="Arial" w:cs="Arial" w:eastAsia="Arial" w:hAnsi="Arial"/>
          <w:sz w:val="17"/>
          <w:szCs w:val="17"/>
          <w:color w:val="auto"/>
        </w:rPr>
        <w:t>Cayman Islands law to provide for claims of</w:t>
      </w:r>
    </w:p>
    <w:p>
      <w:pPr>
        <w:ind w:left="4200"/>
        <w:spacing w:after="0" w:line="232" w:lineRule="auto"/>
        <w:rPr>
          <w:sz w:val="20"/>
          <w:szCs w:val="20"/>
          <w:color w:val="auto"/>
        </w:rPr>
      </w:pPr>
      <w:r>
        <w:rPr>
          <w:rFonts w:ascii="Arial" w:cs="Arial" w:eastAsia="Arial" w:hAnsi="Arial"/>
          <w:sz w:val="17"/>
          <w:szCs w:val="17"/>
          <w:color w:val="auto"/>
        </w:rPr>
        <w:t>creditors and in all cases subject to the other</w:t>
      </w:r>
    </w:p>
    <w:p>
      <w:pPr>
        <w:ind w:left="4200"/>
        <w:spacing w:after="0"/>
        <w:rPr>
          <w:sz w:val="20"/>
          <w:szCs w:val="20"/>
          <w:color w:val="auto"/>
        </w:rPr>
      </w:pPr>
      <w:r>
        <w:rPr>
          <w:rFonts w:ascii="Arial" w:cs="Arial" w:eastAsia="Arial" w:hAnsi="Arial"/>
          <w:sz w:val="17"/>
          <w:szCs w:val="17"/>
          <w:color w:val="auto"/>
        </w:rPr>
        <w:t>requirements of applicable law.</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800" w:space="140"/>
            <w:col w:w="3300"/>
          </w:cols>
          <w:pgMar w:left="320" w:top="455" w:right="339" w:bottom="1440" w:gutter="0" w:footer="0" w:header="0"/>
          <w:type w:val="continuous"/>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color w:val="auto"/>
        </w:rPr>
        <w:t>Delivering share certificates in connection with the exercise of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-734695</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230568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Except for the withdrawal of interest to pay our taxes, if any, none of the funds held in trust will be released from the trust account until the earliest of (i) the completion of our initial business combination, (ii) the redemption of our public shares if we are unable to complete our initial business combination within 24 months from the closing of this offering, subject to applicable law, or (iii) the redemption of our public shares properly submitted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w:t>
      </w:r>
    </w:p>
    <w:p>
      <w:pPr>
        <w:spacing w:after="0" w:line="6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w:t>
      </w:r>
    </w:p>
    <w:p>
      <w:pPr>
        <w:spacing w:after="0" w:line="12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ind w:right="60"/>
        <w:spacing w:after="0" w:line="236"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Many blank check companies provide that a shareholder can vote against a proposed business combination and check a box on the proxy card indicating that such shareholder is seeking to exercise its redemption rights.</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After the business combination is approved, the company would contact such shareholder to arrange for delivery of its share certificates to verify ownership.</w:t>
      </w:r>
    </w:p>
    <w:p>
      <w:pPr>
        <w:sectPr>
          <w:pgSz w:w="11900" w:h="16838" w:orient="portrait"/>
          <w:cols w:equalWidth="0" w:num="3">
            <w:col w:w="3840" w:space="360"/>
            <w:col w:w="3620" w:space="120"/>
            <w:col w:w="3280"/>
          </w:cols>
          <w:pgMar w:left="320" w:top="455" w:right="3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right"/>
        <w:ind w:right="1220"/>
        <w:spacing w:after="0"/>
        <w:tabs>
          <w:tab w:leader="none" w:pos="130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6350</wp:posOffset>
            </wp:positionV>
            <wp:extent cx="44748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ind w:left="4200"/>
        <w:spacing w:after="0"/>
        <w:rPr>
          <w:sz w:val="20"/>
          <w:szCs w:val="20"/>
          <w:color w:val="auto"/>
        </w:rPr>
      </w:pPr>
      <w:r>
        <w:rPr>
          <w:rFonts w:ascii="Arial" w:cs="Arial" w:eastAsia="Arial" w:hAnsi="Arial"/>
          <w:sz w:val="17"/>
          <w:szCs w:val="17"/>
          <w:color w:val="auto"/>
        </w:rPr>
        <w:t>with a shareholder vote, we intend to require a</w:t>
      </w:r>
    </w:p>
    <w:p>
      <w:pPr>
        <w:ind w:left="4200"/>
        <w:spacing w:after="0" w:line="232" w:lineRule="auto"/>
        <w:rPr>
          <w:sz w:val="20"/>
          <w:szCs w:val="20"/>
          <w:color w:val="auto"/>
        </w:rPr>
      </w:pPr>
      <w:r>
        <w:rPr>
          <w:rFonts w:ascii="Arial" w:cs="Arial" w:eastAsia="Arial" w:hAnsi="Arial"/>
          <w:sz w:val="17"/>
          <w:szCs w:val="17"/>
          <w:color w:val="auto"/>
        </w:rPr>
        <w:t>public shareholder seeking redemption of its</w:t>
      </w:r>
    </w:p>
    <w:p>
      <w:pPr>
        <w:ind w:left="4200"/>
        <w:spacing w:after="0" w:line="232" w:lineRule="auto"/>
        <w:rPr>
          <w:sz w:val="20"/>
          <w:szCs w:val="20"/>
          <w:color w:val="auto"/>
        </w:rPr>
      </w:pPr>
      <w:r>
        <w:rPr>
          <w:rFonts w:ascii="Arial" w:cs="Arial" w:eastAsia="Arial" w:hAnsi="Arial"/>
          <w:sz w:val="17"/>
          <w:szCs w:val="17"/>
          <w:color w:val="auto"/>
        </w:rPr>
        <w:t>public shares to also submit a written request</w:t>
      </w:r>
    </w:p>
    <w:p>
      <w:pPr>
        <w:ind w:left="4200"/>
        <w:spacing w:after="0" w:line="232" w:lineRule="auto"/>
        <w:rPr>
          <w:sz w:val="20"/>
          <w:szCs w:val="20"/>
          <w:color w:val="auto"/>
        </w:rPr>
      </w:pPr>
      <w:r>
        <w:rPr>
          <w:rFonts w:ascii="Arial" w:cs="Arial" w:eastAsia="Arial" w:hAnsi="Arial"/>
          <w:sz w:val="17"/>
          <w:szCs w:val="17"/>
          <w:color w:val="auto"/>
        </w:rPr>
        <w:t>for redemption to our transfer agent two</w:t>
      </w:r>
    </w:p>
    <w:p>
      <w:pPr>
        <w:ind w:left="4200"/>
        <w:spacing w:after="0" w:line="232" w:lineRule="auto"/>
        <w:rPr>
          <w:sz w:val="20"/>
          <w:szCs w:val="20"/>
          <w:color w:val="auto"/>
        </w:rPr>
      </w:pPr>
      <w:r>
        <w:rPr>
          <w:rFonts w:ascii="Arial" w:cs="Arial" w:eastAsia="Arial" w:hAnsi="Arial"/>
          <w:sz w:val="17"/>
          <w:szCs w:val="17"/>
          <w:color w:val="auto"/>
        </w:rPr>
        <w:t>business days prior to the scheduled vote in</w:t>
      </w:r>
    </w:p>
    <w:p>
      <w:pPr>
        <w:ind w:left="4200"/>
        <w:spacing w:after="0" w:line="232" w:lineRule="auto"/>
        <w:rPr>
          <w:sz w:val="20"/>
          <w:szCs w:val="20"/>
          <w:color w:val="auto"/>
        </w:rPr>
      </w:pPr>
      <w:r>
        <w:rPr>
          <w:rFonts w:ascii="Arial" w:cs="Arial" w:eastAsia="Arial" w:hAnsi="Arial"/>
          <w:sz w:val="17"/>
          <w:szCs w:val="17"/>
          <w:color w:val="auto"/>
        </w:rPr>
        <w:t>which the name of the beneficial owner of such</w:t>
      </w:r>
    </w:p>
    <w:p>
      <w:pPr>
        <w:ind w:left="4200"/>
        <w:spacing w:after="0" w:line="232" w:lineRule="auto"/>
        <w:rPr>
          <w:sz w:val="20"/>
          <w:szCs w:val="20"/>
          <w:color w:val="auto"/>
        </w:rPr>
      </w:pPr>
      <w:r>
        <w:rPr>
          <w:rFonts w:ascii="Arial" w:cs="Arial" w:eastAsia="Arial" w:hAnsi="Arial"/>
          <w:sz w:val="17"/>
          <w:szCs w:val="17"/>
          <w:color w:val="auto"/>
        </w:rPr>
        <w:t>shares is included. The proxy materials or</w:t>
      </w:r>
    </w:p>
    <w:p>
      <w:pPr>
        <w:ind w:left="4200"/>
        <w:spacing w:after="0" w:line="232" w:lineRule="auto"/>
        <w:rPr>
          <w:sz w:val="20"/>
          <w:szCs w:val="20"/>
          <w:color w:val="auto"/>
        </w:rPr>
      </w:pPr>
      <w:r>
        <w:rPr>
          <w:rFonts w:ascii="Arial" w:cs="Arial" w:eastAsia="Arial" w:hAnsi="Arial"/>
          <w:sz w:val="17"/>
          <w:szCs w:val="17"/>
          <w:color w:val="auto"/>
        </w:rPr>
        <w:t>tender offer documents, as applicable, that we</w:t>
      </w:r>
    </w:p>
    <w:p>
      <w:pPr>
        <w:ind w:left="4200"/>
        <w:spacing w:after="0" w:line="232" w:lineRule="auto"/>
        <w:rPr>
          <w:sz w:val="20"/>
          <w:szCs w:val="20"/>
          <w:color w:val="auto"/>
        </w:rPr>
      </w:pPr>
      <w:r>
        <w:rPr>
          <w:rFonts w:ascii="Arial" w:cs="Arial" w:eastAsia="Arial" w:hAnsi="Arial"/>
          <w:sz w:val="17"/>
          <w:szCs w:val="17"/>
          <w:color w:val="auto"/>
        </w:rPr>
        <w:t>will furnish to holders of our public shares in</w:t>
      </w:r>
    </w:p>
    <w:p>
      <w:pPr>
        <w:ind w:left="4200"/>
        <w:spacing w:after="0" w:line="232" w:lineRule="auto"/>
        <w:rPr>
          <w:sz w:val="20"/>
          <w:szCs w:val="20"/>
          <w:color w:val="auto"/>
        </w:rPr>
      </w:pPr>
      <w:r>
        <w:rPr>
          <w:rFonts w:ascii="Arial" w:cs="Arial" w:eastAsia="Arial" w:hAnsi="Arial"/>
          <w:sz w:val="17"/>
          <w:szCs w:val="17"/>
          <w:color w:val="auto"/>
        </w:rPr>
        <w:t>connection with our initial business combination</w:t>
      </w:r>
    </w:p>
    <w:p>
      <w:pPr>
        <w:ind w:left="4200"/>
        <w:spacing w:after="0" w:line="232" w:lineRule="auto"/>
        <w:rPr>
          <w:sz w:val="20"/>
          <w:szCs w:val="20"/>
          <w:color w:val="auto"/>
        </w:rPr>
      </w:pPr>
      <w:r>
        <w:rPr>
          <w:rFonts w:ascii="Arial" w:cs="Arial" w:eastAsia="Arial" w:hAnsi="Arial"/>
          <w:sz w:val="17"/>
          <w:szCs w:val="17"/>
          <w:color w:val="auto"/>
        </w:rPr>
        <w:t>will indicate whether we are requiring public</w:t>
      </w:r>
    </w:p>
    <w:p>
      <w:pPr>
        <w:ind w:left="4200"/>
        <w:spacing w:after="0" w:line="232" w:lineRule="auto"/>
        <w:rPr>
          <w:sz w:val="20"/>
          <w:szCs w:val="20"/>
          <w:color w:val="auto"/>
        </w:rPr>
      </w:pPr>
      <w:r>
        <w:rPr>
          <w:rFonts w:ascii="Arial" w:cs="Arial" w:eastAsia="Arial" w:hAnsi="Arial"/>
          <w:sz w:val="17"/>
          <w:szCs w:val="17"/>
          <w:color w:val="auto"/>
        </w:rPr>
        <w:t>shareholders to satisfy such delivery</w:t>
      </w:r>
    </w:p>
    <w:p>
      <w:pPr>
        <w:ind w:left="4200"/>
        <w:spacing w:after="0" w:line="232" w:lineRule="auto"/>
        <w:rPr>
          <w:sz w:val="20"/>
          <w:szCs w:val="20"/>
          <w:color w:val="auto"/>
        </w:rPr>
      </w:pPr>
      <w:r>
        <w:rPr>
          <w:rFonts w:ascii="Arial" w:cs="Arial" w:eastAsia="Arial" w:hAnsi="Arial"/>
          <w:sz w:val="17"/>
          <w:szCs w:val="17"/>
          <w:color w:val="auto"/>
        </w:rPr>
        <w:t>requirements. Accordingly, a public shareholder</w:t>
      </w:r>
    </w:p>
    <w:p>
      <w:pPr>
        <w:ind w:left="4200"/>
        <w:spacing w:after="0" w:line="232" w:lineRule="auto"/>
        <w:rPr>
          <w:sz w:val="20"/>
          <w:szCs w:val="20"/>
          <w:color w:val="auto"/>
        </w:rPr>
      </w:pPr>
      <w:r>
        <w:rPr>
          <w:rFonts w:ascii="Arial" w:cs="Arial" w:eastAsia="Arial" w:hAnsi="Arial"/>
          <w:sz w:val="17"/>
          <w:szCs w:val="17"/>
          <w:color w:val="auto"/>
        </w:rPr>
        <w:t>would have up to two business days prior to the</w:t>
      </w:r>
    </w:p>
    <w:p>
      <w:pPr>
        <w:ind w:left="4200"/>
        <w:spacing w:after="0" w:line="232" w:lineRule="auto"/>
        <w:rPr>
          <w:sz w:val="20"/>
          <w:szCs w:val="20"/>
          <w:color w:val="auto"/>
        </w:rPr>
      </w:pPr>
      <w:r>
        <w:rPr>
          <w:rFonts w:ascii="Arial" w:cs="Arial" w:eastAsia="Arial" w:hAnsi="Arial"/>
          <w:sz w:val="17"/>
          <w:szCs w:val="17"/>
          <w:color w:val="auto"/>
        </w:rPr>
        <w:t>scheduled vote on the initial business</w:t>
      </w:r>
    </w:p>
    <w:p>
      <w:pPr>
        <w:ind w:left="4200"/>
        <w:spacing w:after="0" w:line="232" w:lineRule="auto"/>
        <w:rPr>
          <w:sz w:val="20"/>
          <w:szCs w:val="20"/>
          <w:color w:val="auto"/>
        </w:rPr>
      </w:pPr>
      <w:r>
        <w:rPr>
          <w:rFonts w:ascii="Arial" w:cs="Arial" w:eastAsia="Arial" w:hAnsi="Arial"/>
          <w:sz w:val="17"/>
          <w:szCs w:val="17"/>
          <w:color w:val="auto"/>
        </w:rPr>
        <w:t>combination if we distribute proxy materials, or</w:t>
      </w:r>
    </w:p>
    <w:p>
      <w:pPr>
        <w:ind w:left="4200"/>
        <w:spacing w:after="0" w:line="232" w:lineRule="auto"/>
        <w:rPr>
          <w:sz w:val="20"/>
          <w:szCs w:val="20"/>
          <w:color w:val="auto"/>
        </w:rPr>
      </w:pPr>
      <w:r>
        <w:rPr>
          <w:rFonts w:ascii="Arial" w:cs="Arial" w:eastAsia="Arial" w:hAnsi="Arial"/>
          <w:sz w:val="17"/>
          <w:szCs w:val="17"/>
          <w:color w:val="auto"/>
        </w:rPr>
        <w:t>from the time we send out our tender offer</w:t>
      </w:r>
    </w:p>
    <w:p>
      <w:pPr>
        <w:ind w:left="4200"/>
        <w:spacing w:after="0" w:line="232" w:lineRule="auto"/>
        <w:rPr>
          <w:sz w:val="20"/>
          <w:szCs w:val="20"/>
          <w:color w:val="auto"/>
        </w:rPr>
      </w:pPr>
      <w:r>
        <w:rPr>
          <w:rFonts w:ascii="Arial" w:cs="Arial" w:eastAsia="Arial" w:hAnsi="Arial"/>
          <w:sz w:val="17"/>
          <w:szCs w:val="17"/>
          <w:color w:val="auto"/>
        </w:rPr>
        <w:t>materials until the close of the tender offer</w:t>
      </w:r>
    </w:p>
    <w:p>
      <w:pPr>
        <w:ind w:left="4200"/>
        <w:spacing w:after="0" w:line="232" w:lineRule="auto"/>
        <w:rPr>
          <w:sz w:val="20"/>
          <w:szCs w:val="20"/>
          <w:color w:val="auto"/>
        </w:rPr>
      </w:pPr>
      <w:r>
        <w:rPr>
          <w:rFonts w:ascii="Arial" w:cs="Arial" w:eastAsia="Arial" w:hAnsi="Arial"/>
          <w:sz w:val="17"/>
          <w:szCs w:val="17"/>
          <w:color w:val="auto"/>
        </w:rPr>
        <w:t>period, as applicable, to submit or tender its</w:t>
      </w:r>
    </w:p>
    <w:p>
      <w:pPr>
        <w:ind w:left="4200"/>
        <w:spacing w:after="0" w:line="232" w:lineRule="auto"/>
        <w:rPr>
          <w:sz w:val="20"/>
          <w:szCs w:val="20"/>
          <w:color w:val="auto"/>
        </w:rPr>
      </w:pPr>
      <w:r>
        <w:rPr>
          <w:rFonts w:ascii="Arial" w:cs="Arial" w:eastAsia="Arial" w:hAnsi="Arial"/>
          <w:sz w:val="17"/>
          <w:szCs w:val="17"/>
          <w:color w:val="auto"/>
        </w:rPr>
        <w:t>shares if it wishes to seek to exercise its</w:t>
      </w:r>
    </w:p>
    <w:p>
      <w:pPr>
        <w:spacing w:after="0" w:line="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redemption rights.</w:t>
      </w:r>
    </w:p>
    <w:p>
      <w:pPr>
        <w:sectPr>
          <w:pgSz w:w="11900" w:h="16838" w:orient="portrait"/>
          <w:cols w:equalWidth="0" w:num="1">
            <w:col w:w="11180"/>
          </w:cols>
          <w:pgMar w:left="320" w:top="455" w:right="399" w:bottom="1440" w:gutter="0" w:footer="0" w:header="0"/>
        </w:sectPr>
      </w:pP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as a “group” (as defined under Section 13 of the Exchange Act), will be restricted from seeking redemption rights with respect to Excess Shares without our prior consent. However, we would not restrict our shareholders’ ability to vote all of their shares (including Excess Shares) for or against our initial business combination.</w:t>
      </w:r>
    </w:p>
    <w:p>
      <w:pPr>
        <w:spacing w:after="0" w:line="11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Many blank check companies provide no restrictions on the ability of shareholders to redeem shares based on the number of shares held by such shareholders in connection with an initial business combination.</w:t>
      </w:r>
    </w:p>
    <w:p>
      <w:pPr>
        <w:sectPr>
          <w:pgSz w:w="11900" w:h="16838" w:orient="portrait"/>
          <w:cols w:equalWidth="0" w:num="3">
            <w:col w:w="3940" w:space="260"/>
            <w:col w:w="3580" w:space="160"/>
            <w:col w:w="3240"/>
          </w:cols>
          <w:pgMar w:left="320" w:top="455" w:right="399" w:bottom="1440" w:gutter="0" w:footer="0" w:header="0"/>
          <w:type w:val="continuous"/>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similar or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issued and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60" w:lineRule="exact"/>
        <w:rPr>
          <w:sz w:val="20"/>
          <w:szCs w:val="20"/>
          <w:color w:val="auto"/>
        </w:rPr>
      </w:pPr>
    </w:p>
    <w:p>
      <w:pPr>
        <w:ind w:right="680"/>
        <w:spacing w:after="0" w:line="275" w:lineRule="auto"/>
        <w:rPr>
          <w:sz w:val="20"/>
          <w:szCs w:val="20"/>
          <w:color w:val="auto"/>
        </w:rPr>
      </w:pPr>
      <w:r>
        <w:rPr>
          <w:rFonts w:ascii="Arial" w:cs="Arial" w:eastAsia="Arial" w:hAnsi="Arial"/>
          <w:sz w:val="17"/>
          <w:szCs w:val="17"/>
          <w:color w:val="auto"/>
        </w:rPr>
        <w:t>We currently utilize office space at 150 North Riverside Plaza, Suite 5200, Chicago, Illinois 60606 from our sponsor and the members of our management team as our executive offices. We consider our current office space adequate for our current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60"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currently have [•] officers [•].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73"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11"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materials or tender offer documents sent to shareholders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240"/>
          </w:cols>
          <w:pgMar w:left="320" w:top="455" w:right="3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1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23" w:lineRule="exact"/>
        <w:rPr>
          <w:sz w:val="20"/>
          <w:szCs w:val="20"/>
          <w:color w:val="auto"/>
        </w:rPr>
      </w:pPr>
    </w:p>
    <w:p>
      <w:pPr>
        <w:ind w:right="320"/>
        <w:spacing w:after="0" w:line="239"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2" w:lineRule="exact"/>
        <w:rPr>
          <w:sz w:val="20"/>
          <w:szCs w:val="20"/>
          <w:color w:val="auto"/>
        </w:rPr>
      </w:pPr>
    </w:p>
    <w:p>
      <w:pPr>
        <w:jc w:val="both"/>
        <w:ind w:right="240"/>
        <w:spacing w:after="0" w:line="246"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1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 and (2) the date on which we have issued more than $1.0 billion in non-convertible debt during the prior three-year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7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There is no material litigation, arbitration or governmental proceeding currently pending against us or any members of our management team in their capacities as such.</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220"/>
          </w:cols>
          <w:pgMar w:left="320" w:top="455" w:right="3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Our officers, directors and director nominees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940" w:type="dxa"/>
            <w:vAlign w:val="bottom"/>
            <w:gridSpan w:val="2"/>
          </w:tcPr>
          <w:p>
            <w:pPr>
              <w:ind w:left="70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20"/>
                <w:szCs w:val="20"/>
                <w:color w:val="auto"/>
              </w:rPr>
            </w:pPr>
            <w:r>
              <w:rPr>
                <w:rFonts w:ascii="Arial" w:cs="Arial" w:eastAsia="Arial" w:hAnsi="Arial"/>
                <w:sz w:val="14"/>
                <w:szCs w:val="14"/>
                <w:b w:val="1"/>
                <w:bCs w:val="1"/>
                <w:color w:val="auto"/>
                <w:w w:val="98"/>
              </w:rPr>
              <w:t>AGE</w:t>
            </w:r>
          </w:p>
        </w:tc>
        <w:tc>
          <w:tcPr>
            <w:tcW w:w="120" w:type="dxa"/>
            <w:vAlign w:val="bottom"/>
          </w:tcPr>
          <w:p>
            <w:pPr>
              <w:spacing w:after="0"/>
              <w:rPr>
                <w:sz w:val="16"/>
                <w:szCs w:val="16"/>
                <w:color w:val="auto"/>
              </w:rPr>
            </w:pPr>
          </w:p>
        </w:tc>
        <w:tc>
          <w:tcPr>
            <w:tcW w:w="8860" w:type="dxa"/>
            <w:vAlign w:val="bottom"/>
          </w:tcPr>
          <w:p>
            <w:pPr>
              <w:ind w:left="4080"/>
              <w:spacing w:after="0"/>
              <w:rPr>
                <w:sz w:val="20"/>
                <w:szCs w:val="20"/>
                <w:color w:val="auto"/>
              </w:rPr>
            </w:pPr>
            <w:r>
              <w:rPr>
                <w:rFonts w:ascii="Arial" w:cs="Arial" w:eastAsia="Arial" w:hAnsi="Arial"/>
                <w:sz w:val="14"/>
                <w:szCs w:val="14"/>
                <w:b w:val="1"/>
                <w:bCs w:val="1"/>
                <w:color w:val="auto"/>
              </w:rPr>
              <w:t>POSITION</w:t>
            </w:r>
          </w:p>
        </w:tc>
      </w:tr>
      <w:tr>
        <w:trPr>
          <w:trHeight w:val="154"/>
        </w:trPr>
        <w:tc>
          <w:tcPr>
            <w:tcW w:w="18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John Martin</w:t>
            </w:r>
          </w:p>
        </w:tc>
        <w:tc>
          <w:tcPr>
            <w:tcW w:w="120" w:type="dxa"/>
            <w:vAlign w:val="bottom"/>
          </w:tcPr>
          <w:p>
            <w:pPr>
              <w:spacing w:after="0"/>
              <w:rPr>
                <w:sz w:val="13"/>
                <w:szCs w:val="13"/>
                <w:color w:val="auto"/>
              </w:rPr>
            </w:pPr>
          </w:p>
        </w:tc>
        <w:tc>
          <w:tcPr>
            <w:tcW w:w="32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7"/>
                <w:szCs w:val="17"/>
                <w:color w:val="auto"/>
              </w:rPr>
              <w:t>60</w:t>
            </w:r>
          </w:p>
        </w:tc>
        <w:tc>
          <w:tcPr>
            <w:tcW w:w="120" w:type="dxa"/>
            <w:vAlign w:val="bottom"/>
          </w:tcPr>
          <w:p>
            <w:pPr>
              <w:spacing w:after="0"/>
              <w:rPr>
                <w:sz w:val="13"/>
                <w:szCs w:val="13"/>
                <w:color w:val="auto"/>
              </w:rPr>
            </w:pPr>
          </w:p>
        </w:tc>
        <w:tc>
          <w:tcPr>
            <w:tcW w:w="886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Chairman and Chief Executive Officer</w:t>
            </w:r>
          </w:p>
        </w:tc>
      </w:tr>
      <w:tr>
        <w:trPr>
          <w:trHeight w:val="189"/>
        </w:trPr>
        <w:tc>
          <w:tcPr>
            <w:tcW w:w="1940" w:type="dxa"/>
            <w:vAlign w:val="bottom"/>
            <w:gridSpan w:val="2"/>
          </w:tcPr>
          <w:p>
            <w:pPr>
              <w:spacing w:after="0" w:line="189" w:lineRule="exact"/>
              <w:rPr>
                <w:sz w:val="20"/>
                <w:szCs w:val="20"/>
                <w:color w:val="auto"/>
              </w:rPr>
            </w:pPr>
            <w:r>
              <w:rPr>
                <w:rFonts w:ascii="Arial" w:cs="Arial" w:eastAsia="Arial" w:hAnsi="Arial"/>
                <w:sz w:val="17"/>
                <w:szCs w:val="17"/>
                <w:color w:val="auto"/>
              </w:rPr>
              <w:t>Gordon Watson</w:t>
            </w:r>
          </w:p>
        </w:tc>
        <w:tc>
          <w:tcPr>
            <w:tcW w:w="320" w:type="dxa"/>
            <w:vAlign w:val="bottom"/>
          </w:tcPr>
          <w:p>
            <w:pPr>
              <w:jc w:val="center"/>
              <w:spacing w:after="0" w:line="189" w:lineRule="exact"/>
              <w:rPr>
                <w:sz w:val="20"/>
                <w:szCs w:val="20"/>
                <w:color w:val="auto"/>
              </w:rPr>
            </w:pPr>
            <w:r>
              <w:rPr>
                <w:rFonts w:ascii="Arial" w:cs="Arial" w:eastAsia="Arial" w:hAnsi="Arial"/>
                <w:sz w:val="17"/>
                <w:szCs w:val="17"/>
                <w:color w:val="auto"/>
              </w:rPr>
              <w:t>[•]</w:t>
            </w:r>
          </w:p>
        </w:tc>
        <w:tc>
          <w:tcPr>
            <w:tcW w:w="898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President and Chief Operating Officer</w:t>
            </w:r>
          </w:p>
        </w:tc>
      </w:tr>
      <w:tr>
        <w:trPr>
          <w:trHeight w:val="231"/>
        </w:trPr>
        <w:tc>
          <w:tcPr>
            <w:tcW w:w="1940" w:type="dxa"/>
            <w:vAlign w:val="bottom"/>
            <w:gridSpan w:val="2"/>
          </w:tcPr>
          <w:p>
            <w:pPr>
              <w:spacing w:after="0"/>
              <w:rPr>
                <w:sz w:val="20"/>
                <w:szCs w:val="20"/>
                <w:color w:val="auto"/>
              </w:rPr>
            </w:pPr>
            <w:r>
              <w:rPr>
                <w:rFonts w:ascii="Arial" w:cs="Arial" w:eastAsia="Arial" w:hAnsi="Arial"/>
                <w:sz w:val="17"/>
                <w:szCs w:val="17"/>
                <w:color w:val="auto"/>
              </w:rPr>
              <w:t>Olibia Stamatoglou</w:t>
            </w:r>
          </w:p>
        </w:tc>
        <w:tc>
          <w:tcPr>
            <w:tcW w:w="320" w:type="dxa"/>
            <w:vAlign w:val="bottom"/>
          </w:tcPr>
          <w:p>
            <w:pPr>
              <w:jc w:val="center"/>
              <w:spacing w:after="0"/>
              <w:rPr>
                <w:sz w:val="20"/>
                <w:szCs w:val="20"/>
                <w:color w:val="auto"/>
              </w:rPr>
            </w:pPr>
            <w:r>
              <w:rPr>
                <w:rFonts w:ascii="Arial" w:cs="Arial" w:eastAsia="Arial" w:hAnsi="Arial"/>
                <w:sz w:val="17"/>
                <w:szCs w:val="17"/>
                <w:color w:val="auto"/>
              </w:rPr>
              <w:t>41</w:t>
            </w:r>
          </w:p>
        </w:tc>
        <w:tc>
          <w:tcPr>
            <w:tcW w:w="8980" w:type="dxa"/>
            <w:vAlign w:val="bottom"/>
            <w:gridSpan w:val="2"/>
          </w:tcPr>
          <w:p>
            <w:pPr>
              <w:ind w:left="120"/>
              <w:spacing w:after="0"/>
              <w:rPr>
                <w:sz w:val="20"/>
                <w:szCs w:val="20"/>
                <w:color w:val="auto"/>
              </w:rPr>
            </w:pPr>
            <w:r>
              <w:rPr>
                <w:rFonts w:ascii="Arial" w:cs="Arial" w:eastAsia="Arial" w:hAnsi="Arial"/>
                <w:sz w:val="17"/>
                <w:szCs w:val="17"/>
                <w:color w:val="auto"/>
              </w:rPr>
              <w:t>Chief Financial Officer</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consists of five members and is divided into three classes with only one class of directors being appointed in each year, and with each class (except for those directors appointed prior to our first annual general meeting) serving a three-year term. In accordance with Nasdaq corporate governance requirements, we are not required to hold an annual general meeting until one year after our first fiscal year end following our listing on Nasdaq. The term of office of the first class of directors will expire at our first annual general meeting. The term of office of the second class of directors, consisting of [•], will expire at the second annual general meeting. The term of office of the third class of directors, consisting of [•], will expire at the third annual general meeting.</w:t>
      </w:r>
    </w:p>
    <w:p>
      <w:pPr>
        <w:spacing w:after="0" w:line="12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6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The rules of Nasdaq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Upon the effectiveness of the registration statement of which this prospectus forms a part, we expect to have one “independent director” as defined in the Nasdaq rules and applicable SEC rules prior to completion of this offering. Our board of directors has determined that [•] are “independent directors” as defined in the Nasdaq listing standards and applicable SEC rules. Our independent directors will have regularly scheduled meetings at which only independent directors are present.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None of our officers or directors have received any cash compensation for services rendered to us. Commencing on the date that our securities are first listed on Nasdaq through the earlier of consummation of our initial business combination and our liquidation, we will pay our sponsor $10,000 per month for office space, utilities, secretarial and administrative support services provided to members of our management team. We may elect to make payment of customary fees to members of our board of directors for director service. In addition,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officers and directors, or any of their respective affiliates, prior to completion of our initial business combination.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40"/>
          </w:cols>
          <w:pgMar w:left="320" w:top="455" w:right="3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w:t>
      </w:r>
    </w:p>
    <w:p>
      <w:pPr>
        <w:spacing w:after="0" w:line="123" w:lineRule="exact"/>
        <w:rPr>
          <w:sz w:val="20"/>
          <w:szCs w:val="20"/>
          <w:color w:val="auto"/>
        </w:rPr>
      </w:pPr>
    </w:p>
    <w:p>
      <w:pPr>
        <w:ind w:right="700"/>
        <w:spacing w:after="0" w:line="275" w:lineRule="auto"/>
        <w:rPr>
          <w:sz w:val="20"/>
          <w:szCs w:val="20"/>
          <w:color w:val="auto"/>
        </w:rPr>
      </w:pPr>
      <w:r>
        <w:rPr>
          <w:rFonts w:ascii="Arial" w:cs="Arial" w:eastAsia="Arial" w:hAnsi="Arial"/>
          <w:sz w:val="17"/>
          <w:szCs w:val="17"/>
          <w:color w:val="auto"/>
        </w:rPr>
        <w:t>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9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Upon the effective date of the registration statement of which this prospectus forms a part, our board of directors will have three standing committees: an audit committee, a compensation committee and a nominating and corporate governance committee. Both our audit committee and our compensation committee will be composed solely of independent directors. Subject to phase-in rules, the rules of Nasdaq and Rule 10A-3 of the Exchange Act require that the audit committee of a listed company be comprised solely of independent directors, and the rules of Nasdaq require that the compensation committee and the nominating and corporate governance committee of a listed company be comprised solely of independent directors. Each committee will operate under a charter that will be approved by our board and will have the composition and responsibilities described below. The charter of each committee will be available on our website following the closing of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60"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an audit committee of the board of directors. [•] will serve as the members of the audit committee, and [•] will chair the audit committee. Under the Nasdaq listing standards and applicable SEC rules, we are required to have at least three members of the audit committee, all of whom must be independent. Each of [•], [•] and [•] meet the independent director standard under Nasdaq listing standards and under Rule 10-A-3(b)(1) of the Exchange Act.</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Each member of the audit committee is financially literate and our board of directors has determined that [•] qualifies as an “audit committee financial expert” as defined in applicable SEC rules and has accounting or related financial management expertise.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We will adopt an audit committee charter, which will detail the principal functions of the audit committee, including:</w:t>
      </w:r>
    </w:p>
    <w:p>
      <w:pPr>
        <w:spacing w:after="0" w:line="196" w:lineRule="exact"/>
        <w:rPr>
          <w:sz w:val="20"/>
          <w:szCs w:val="20"/>
          <w:color w:val="auto"/>
        </w:rPr>
      </w:pPr>
    </w:p>
    <w:p>
      <w:pPr>
        <w:ind w:left="880" w:hanging="427"/>
        <w:spacing w:after="0"/>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assisting board oversight of (1) the integrity of our financial statements, (2) our compliance with legal and regulatory requirements,</w:t>
      </w:r>
    </w:p>
    <w:p>
      <w:pPr>
        <w:spacing w:after="0" w:line="15" w:lineRule="exact"/>
        <w:rPr>
          <w:rFonts w:ascii="MS PGothic" w:cs="MS PGothic" w:eastAsia="MS PGothic" w:hAnsi="MS PGothic"/>
          <w:sz w:val="13"/>
          <w:szCs w:val="13"/>
          <w:color w:val="auto"/>
        </w:rPr>
      </w:pPr>
    </w:p>
    <w:p>
      <w:pPr>
        <w:ind w:left="880" w:right="40"/>
        <w:spacing w:after="0"/>
        <w:rPr>
          <w:rFonts w:ascii="MS PGothic" w:cs="MS PGothic" w:eastAsia="MS PGothic" w:hAnsi="MS PGothic"/>
          <w:sz w:val="13"/>
          <w:szCs w:val="13"/>
          <w:color w:val="auto"/>
        </w:rPr>
      </w:pPr>
      <w:r>
        <w:rPr>
          <w:rFonts w:ascii="Arial" w:cs="Arial" w:eastAsia="Arial" w:hAnsi="Arial"/>
          <w:sz w:val="17"/>
          <w:szCs w:val="17"/>
          <w:color w:val="auto"/>
        </w:rPr>
        <w:t>(3)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20"/>
          </w:cols>
          <w:pgMar w:left="320" w:top="455" w:right="3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20" w:hanging="427"/>
        <w:spacing w:after="0" w:line="249" w:lineRule="auto"/>
        <w:tabs>
          <w:tab w:leader="none" w:pos="8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firm has with us in order to evaluate their continued independence;</w:t>
      </w:r>
    </w:p>
    <w:p>
      <w:pPr>
        <w:ind w:left="880" w:right="240" w:hanging="427"/>
        <w:spacing w:after="0" w:line="241" w:lineRule="auto"/>
        <w:tabs>
          <w:tab w:leader="none" w:pos="8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setting clear policies for audit partner rotation in compliance with applicable laws and regulations; obtaining and reviewing a report, at least annually, from the independent registered public accounting firm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4" w:lineRule="exact"/>
        <w:rPr>
          <w:rFonts w:ascii="MS PGothic" w:cs="MS PGothic" w:eastAsia="MS PGothic" w:hAnsi="MS PGothic"/>
          <w:sz w:val="13"/>
          <w:szCs w:val="13"/>
          <w:color w:val="auto"/>
        </w:rPr>
      </w:pPr>
    </w:p>
    <w:p>
      <w:pPr>
        <w:ind w:left="880" w:right="200" w:hanging="427"/>
        <w:spacing w:after="0" w:line="244" w:lineRule="auto"/>
        <w:tabs>
          <w:tab w:leader="none" w:pos="8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1" w:lineRule="exact"/>
        <w:rPr>
          <w:rFonts w:ascii="MS PGothic" w:cs="MS PGothic" w:eastAsia="MS PGothic" w:hAnsi="MS PGothic"/>
          <w:sz w:val="13"/>
          <w:szCs w:val="13"/>
          <w:color w:val="auto"/>
        </w:rPr>
      </w:pPr>
    </w:p>
    <w:p>
      <w:pPr>
        <w:ind w:left="880" w:right="140" w:hanging="427"/>
        <w:spacing w:after="0" w:line="245" w:lineRule="auto"/>
        <w:tabs>
          <w:tab w:leader="none" w:pos="8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7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compensation committee of the board of directors. [•] will serve as the members of the compensation committee, and [•] will chair the compensation committee. Under the Nasdaq listing standards and applicable SEC rules, we are required to have at least two members of the compensation committee, all of whom must be independent. All members of our compensation committee are independent of and unaffiliated with our sponsor and our underwriters.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will adopt a compensation committee charter, which will detail the principal functions of the compensation committee, including:</w:t>
      </w:r>
    </w:p>
    <w:p>
      <w:pPr>
        <w:spacing w:after="0" w:line="196" w:lineRule="exact"/>
        <w:rPr>
          <w:sz w:val="20"/>
          <w:szCs w:val="20"/>
          <w:color w:val="auto"/>
        </w:rPr>
      </w:pPr>
    </w:p>
    <w:p>
      <w:pPr>
        <w:ind w:left="880" w:right="240" w:hanging="427"/>
        <w:spacing w:after="0" w:line="249" w:lineRule="auto"/>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ind w:left="880" w:hanging="427"/>
        <w:spacing w:after="0" w:line="256" w:lineRule="auto"/>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reviewing and making recommendations to our board of directors with respect to the compensation, and any incentive compensation and equity based plans that are subject to board approval of all of our other officers;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reviewing our executive compensation policies and plans;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implementing and administering our incentive compensation equity-based remuneration plans;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assisting management in complying with our proxy statement and annual report disclosure requirements;</w:t>
      </w:r>
    </w:p>
    <w:p>
      <w:pPr>
        <w:spacing w:after="0" w:line="34"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approving all special perquisites, special cash payments and other special compensation and benefit arrangements for our officers and employees;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producing a report on executive compensation to be included in our annual proxy statement; and</w:t>
      </w:r>
    </w:p>
    <w:p>
      <w:pPr>
        <w:spacing w:after="0" w:line="73" w:lineRule="exact"/>
        <w:rPr>
          <w:rFonts w:ascii="MS PGothic" w:cs="MS PGothic" w:eastAsia="MS PGothic" w:hAnsi="MS PGothic"/>
          <w:sz w:val="13"/>
          <w:szCs w:val="13"/>
          <w:color w:val="auto"/>
        </w:rPr>
      </w:pPr>
    </w:p>
    <w:p>
      <w:pPr>
        <w:ind w:left="880" w:hanging="427"/>
        <w:spacing w:after="0"/>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reviewing, evaluating and recommending changes, if appropriate, to the remuneration for directors.</w:t>
      </w:r>
    </w:p>
    <w:p>
      <w:pPr>
        <w:spacing w:after="0" w:line="156"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Notwithstanding the foregoing, as indicated above, other than the payment of customary fees we may elect to make to members of our board of directors for director service and payment to an affiliate of our sponsor of $10,000 per month, for up to 24 months, for office space, utilities and secretarial and administrative support and reimbursement of expenses, no compensation of any kind, including finders, consulting or other similar fees, will be paid to any of our existing shareholders, officers, directors or any of their respective affiliates, prior to, or for any services they render in order to effectuate the consummation of an initial business combination. Accordingly, it is likely that prior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20"/>
          </w:cols>
          <w:pgMar w:left="320" w:top="455" w:right="3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92"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73"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nominating and corporate governance committee of the board of directors. The initial members of our nominating and corporate governance will be [•]. [•] will serve as chair of the nominating and corporate governance committee. Under the Nasdaq listing standards and applicable SEC rules, each member of the nominating and corporate governance committee must be independent. All members of our nominating and corporate governance committee are independent of and unaffiliated with our sponsor and our underwriters.</w:t>
      </w:r>
    </w:p>
    <w:p>
      <w:pPr>
        <w:spacing w:after="0" w:line="121"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We will adopt a nominating and corporate governance committee charter, which will detail the purpose and responsibilities of the nominating and corporate governance committee, including:</w:t>
      </w:r>
    </w:p>
    <w:p>
      <w:pPr>
        <w:spacing w:after="0" w:line="133" w:lineRule="exact"/>
        <w:rPr>
          <w:sz w:val="20"/>
          <w:szCs w:val="20"/>
          <w:color w:val="auto"/>
        </w:rPr>
      </w:pPr>
    </w:p>
    <w:p>
      <w:pPr>
        <w:ind w:left="880" w:right="240" w:hanging="427"/>
        <w:spacing w:after="0" w:line="249" w:lineRule="auto"/>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identifying, screening and reviewing individuals qualified to serve as directors, consistent with criteria approved by the board, and recommending to the board of directors candidates for nomination for election at the annual general meeting or to fill vacancies on the board of directors;</w:t>
      </w:r>
    </w:p>
    <w:p>
      <w:pPr>
        <w:ind w:left="880" w:hanging="427"/>
        <w:spacing w:after="0"/>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developing and recommending to the board of directors and overseeing implementation of our corporate governance guidelines;</w:t>
      </w:r>
    </w:p>
    <w:p>
      <w:pPr>
        <w:spacing w:after="0" w:line="34" w:lineRule="exact"/>
        <w:rPr>
          <w:rFonts w:ascii="MS PGothic" w:cs="MS PGothic" w:eastAsia="MS PGothic" w:hAnsi="MS PGothic"/>
          <w:sz w:val="13"/>
          <w:szCs w:val="13"/>
          <w:color w:val="auto"/>
        </w:rPr>
      </w:pPr>
    </w:p>
    <w:p>
      <w:pPr>
        <w:ind w:left="880" w:right="100" w:hanging="427"/>
        <w:spacing w:after="0" w:line="256" w:lineRule="auto"/>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coordinating and overseeing the annual self-evaluation of the board of directors, its committees, individual directors and management in the governance of the company;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reviewing on a regular basis our overall corporate governance and recommending improvements as and when necessary.</w:t>
      </w:r>
    </w:p>
    <w:p>
      <w:pPr>
        <w:spacing w:after="0" w:line="154"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11"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6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None of our officers currently serves, or in the past year has served, as a member of the compensation committee of any entity that has one or more officers serving on our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6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 xml:space="preserve">Prior to the consummation of this offering, we will have adopted a Code of Business Conduct and Ethics applicable to our directors, officers and employees. We will file a copy of our Code of Business Conduct and Ethics as an exhibit to the registration statement of which this prospectus is a part. You will be able to review this document by accessing our public filings at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 copy of the Code of Business Conduct and Ethics and the charters of the committees of our board of directors will be provided without charge upon request from us. See the section of this prospectus entitled.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40"/>
          </w:cols>
          <w:pgMar w:left="320" w:top="455" w:right="3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“Where You Can Find Additional Information.”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is not incorporated by reference into this Form S-1 or in any other report or document we file with the SEC, and any references to our website are intended to be inactive textual references only.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Under Cayman Islands law, directors and officers owe the following fiduciary duties:</w:t>
      </w:r>
    </w:p>
    <w:p>
      <w:pPr>
        <w:spacing w:after="0" w:line="115" w:lineRule="exact"/>
        <w:rPr>
          <w:sz w:val="20"/>
          <w:szCs w:val="20"/>
          <w:color w:val="auto"/>
        </w:rPr>
      </w:pPr>
    </w:p>
    <w:p>
      <w:pPr>
        <w:ind w:left="900" w:hanging="447"/>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duty to act in good faith in what the director or officer believes to be in the best interests of the company as a whole;</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duty to exercise powers for the purposes for which those powers were conferred and not for a collateral purpose;</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directors should not improperly fetter the exercise of future discretion;</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duty to exercise powers fairly as between different sections of shareholders;</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duty to exercise independent judgment.</w:t>
      </w:r>
    </w:p>
    <w:p>
      <w:pPr>
        <w:spacing w:after="0" w:line="35" w:lineRule="exact"/>
        <w:rPr>
          <w:sz w:val="20"/>
          <w:szCs w:val="20"/>
          <w:color w:val="auto"/>
        </w:rPr>
      </w:pPr>
    </w:p>
    <w:p>
      <w:pPr>
        <w:jc w:val="both"/>
        <w:ind w:right="260"/>
        <w:spacing w:after="0" w:line="244" w:lineRule="auto"/>
        <w:rPr>
          <w:sz w:val="20"/>
          <w:szCs w:val="20"/>
          <w:color w:val="auto"/>
        </w:rPr>
      </w:pPr>
      <w:r>
        <w:rPr>
          <w:rFonts w:ascii="Arial" w:cs="Arial" w:eastAsia="Arial" w:hAnsi="Arial"/>
          <w:sz w:val="17"/>
          <w:szCs w:val="17"/>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18"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there is full disclosure by the directors. This can be done by way of permission granted in the memorandum and articles of association or alternatively by shareholder approval at general meetings.</w:t>
      </w:r>
    </w:p>
    <w:p>
      <w:pPr>
        <w:spacing w:after="0" w:line="11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Below is a table summarizing the entities to which our officers and directors currently have fiduciary duties or contractual obligations: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40" w:type="dxa"/>
            <w:vAlign w:val="bottom"/>
            <w:gridSpan w:val="2"/>
          </w:tcPr>
          <w:p>
            <w:pPr>
              <w:ind w:left="1160"/>
              <w:spacing w:after="0"/>
              <w:rPr>
                <w:sz w:val="20"/>
                <w:szCs w:val="20"/>
                <w:color w:val="auto"/>
              </w:rPr>
            </w:pPr>
            <w:r>
              <w:rPr>
                <w:rFonts w:ascii="Arial" w:cs="Arial" w:eastAsia="Arial" w:hAnsi="Arial"/>
                <w:sz w:val="14"/>
                <w:szCs w:val="14"/>
                <w:b w:val="1"/>
                <w:bCs w:val="1"/>
                <w:color w:val="auto"/>
              </w:rPr>
              <w:t>INDIVIDUAL</w:t>
            </w:r>
          </w:p>
        </w:tc>
        <w:tc>
          <w:tcPr>
            <w:tcW w:w="2700" w:type="dxa"/>
            <w:vAlign w:val="bottom"/>
          </w:tcPr>
          <w:p>
            <w:pPr>
              <w:ind w:left="1100"/>
              <w:spacing w:after="0"/>
              <w:rPr>
                <w:sz w:val="20"/>
                <w:szCs w:val="20"/>
                <w:color w:val="auto"/>
              </w:rPr>
            </w:pPr>
            <w:r>
              <w:rPr>
                <w:rFonts w:ascii="Arial" w:cs="Arial" w:eastAsia="Arial" w:hAnsi="Arial"/>
                <w:sz w:val="14"/>
                <w:szCs w:val="14"/>
                <w:b w:val="1"/>
                <w:bCs w:val="1"/>
                <w:color w:val="auto"/>
              </w:rPr>
              <w:t>ENTITY</w:t>
            </w:r>
          </w:p>
        </w:tc>
        <w:tc>
          <w:tcPr>
            <w:tcW w:w="380" w:type="dxa"/>
            <w:vAlign w:val="bottom"/>
          </w:tcPr>
          <w:p>
            <w:pPr>
              <w:spacing w:after="0"/>
              <w:rPr>
                <w:sz w:val="16"/>
                <w:szCs w:val="16"/>
                <w:color w:val="auto"/>
              </w:rPr>
            </w:pPr>
          </w:p>
        </w:tc>
        <w:tc>
          <w:tcPr>
            <w:tcW w:w="2580" w:type="dxa"/>
            <w:vAlign w:val="bottom"/>
            <w:gridSpan w:val="2"/>
          </w:tcPr>
          <w:p>
            <w:pPr>
              <w:ind w:left="520"/>
              <w:spacing w:after="0"/>
              <w:rPr>
                <w:sz w:val="20"/>
                <w:szCs w:val="20"/>
                <w:color w:val="auto"/>
              </w:rPr>
            </w:pPr>
            <w:r>
              <w:rPr>
                <w:rFonts w:ascii="Arial" w:cs="Arial" w:eastAsia="Arial" w:hAnsi="Arial"/>
                <w:sz w:val="14"/>
                <w:szCs w:val="14"/>
                <w:b w:val="1"/>
                <w:bCs w:val="1"/>
                <w:color w:val="auto"/>
              </w:rPr>
              <w:t>ENTITY’S BUSINESS</w:t>
            </w:r>
          </w:p>
        </w:tc>
        <w:tc>
          <w:tcPr>
            <w:tcW w:w="2340" w:type="dxa"/>
            <w:vAlign w:val="bottom"/>
          </w:tcPr>
          <w:p>
            <w:pPr>
              <w:ind w:left="720"/>
              <w:spacing w:after="0"/>
              <w:rPr>
                <w:sz w:val="20"/>
                <w:szCs w:val="20"/>
                <w:color w:val="auto"/>
              </w:rPr>
            </w:pPr>
            <w:r>
              <w:rPr>
                <w:rFonts w:ascii="Arial" w:cs="Arial" w:eastAsia="Arial" w:hAnsi="Arial"/>
                <w:sz w:val="14"/>
                <w:szCs w:val="14"/>
                <w:b w:val="1"/>
                <w:bCs w:val="1"/>
                <w:color w:val="auto"/>
              </w:rPr>
              <w:t>AFFILIATION</w:t>
            </w:r>
          </w:p>
        </w:tc>
      </w:tr>
      <w:tr>
        <w:trPr>
          <w:trHeight w:val="224"/>
        </w:trPr>
        <w:tc>
          <w:tcPr>
            <w:tcW w:w="31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24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r>
    </w:tbl>
    <w:p>
      <w:pPr>
        <w:spacing w:after="0" w:line="92"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40"/>
          </w:cols>
          <w:pgMar w:left="320" w:top="455" w:right="3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Potential investors should also be aware of the following other potential conflicts of interest:</w:t>
      </w:r>
    </w:p>
    <w:p>
      <w:pPr>
        <w:spacing w:after="0" w:line="196" w:lineRule="exact"/>
        <w:rPr>
          <w:sz w:val="20"/>
          <w:szCs w:val="20"/>
          <w:color w:val="auto"/>
        </w:rPr>
      </w:pPr>
    </w:p>
    <w:p>
      <w:pPr>
        <w:ind w:left="880" w:right="120" w:hanging="427"/>
        <w:spacing w:after="0" w:line="242" w:lineRule="auto"/>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w:t>
      </w:r>
    </w:p>
    <w:p>
      <w:pPr>
        <w:spacing w:after="0" w:line="1" w:lineRule="exact"/>
        <w:rPr>
          <w:rFonts w:ascii="MS PGothic" w:cs="MS PGothic" w:eastAsia="MS PGothic" w:hAnsi="MS PGothic"/>
          <w:sz w:val="13"/>
          <w:szCs w:val="13"/>
          <w:color w:val="auto"/>
        </w:rPr>
      </w:pPr>
    </w:p>
    <w:p>
      <w:pPr>
        <w:ind w:left="880" w:right="40" w:hanging="427"/>
        <w:spacing w:after="0" w:line="235" w:lineRule="auto"/>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Our initial shareholders purchased founder shares prior to the date of this prospectus and will purchase private placement warrants in a transaction that will close simultaneously with the closing of this offering. Our sponsor, officers and directors have entered into a letter agreement with us, pursuant to which they have agreed to waive their redemption rights with respect to their founder shares and public shares in connection with the completion of our initial business combination. Additionally, our sponsor, officers and directors have agreed to waive their rights to liquidating distributions from the trust account with respect to their founder shares if we fail to complete our initial business combination within the prescribed time frame. If we do not complete our initial business combination within the prescribed time frame, the private placement warrants will expire worthless. Furthermore, our sponsor, officers and directors have agreed not to transfer, assign or sell any of their founder shares and any Class A ordinary shares issuable upon conversion thereof until the earlier to occur of:</w:t>
      </w:r>
    </w:p>
    <w:p>
      <w:pPr>
        <w:spacing w:after="0" w:line="1" w:lineRule="exact"/>
        <w:rPr>
          <w:rFonts w:ascii="MS PGothic" w:cs="MS PGothic" w:eastAsia="MS PGothic" w:hAnsi="MS PGothic"/>
          <w:sz w:val="13"/>
          <w:szCs w:val="13"/>
          <w:color w:val="auto"/>
        </w:rPr>
      </w:pPr>
    </w:p>
    <w:p>
      <w:pPr>
        <w:ind w:left="880"/>
        <w:spacing w:after="0" w:line="234" w:lineRule="auto"/>
        <w:rPr>
          <w:rFonts w:ascii="MS PGothic" w:cs="MS PGothic" w:eastAsia="MS PGothic" w:hAnsi="MS PGothic"/>
          <w:sz w:val="13"/>
          <w:szCs w:val="13"/>
          <w:color w:val="auto"/>
        </w:rPr>
      </w:pPr>
      <w:r>
        <w:rPr>
          <w:rFonts w:ascii="Arial" w:cs="Arial" w:eastAsia="Arial" w:hAnsi="Arial"/>
          <w:sz w:val="17"/>
          <w:szCs w:val="17"/>
          <w:color w:val="auto"/>
        </w:rPr>
        <w:t>(i) one year after the completion of our initial business combination or (ii) the date following the completion of our initial business combination on which we complete a liquidation, merger, share exchange or other similar transaction that results in all of our shareholders having the right to exchange their ordinary shares for cash, securities or other property.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 The private placement warrants (including the Class A ordinary shares issuable upon exercise of the private placement warrants) will not be transferable until 30 days following the completion of our initial business combination. Because each of our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pacing w:after="0" w:line="3" w:lineRule="exact"/>
        <w:rPr>
          <w:rFonts w:ascii="MS PGothic" w:cs="MS PGothic" w:eastAsia="MS PGothic" w:hAnsi="MS PGothic"/>
          <w:sz w:val="13"/>
          <w:szCs w:val="13"/>
          <w:color w:val="auto"/>
        </w:rPr>
      </w:pPr>
    </w:p>
    <w:p>
      <w:pPr>
        <w:ind w:left="880" w:right="240" w:hanging="427"/>
        <w:spacing w:after="0" w:line="252" w:lineRule="auto"/>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1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 business combination target that is affiliated with our sponsor,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our sponsor $10,000 per month for office space, utilities, secretarial and administrative services provided to members of our management team.</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We cannot assure you that any of the above mentioned conflicts will be resolved in our favor.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40"/>
          </w:cols>
          <w:pgMar w:left="320" w:top="455" w:right="3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In the event that we submit our initial business combination to our public shareholders for a vote, our sponsor, officers and directors have agreed to vote their founder shares, and they and the other members of our management team have agreed to vote their founder shares and any shares purchased during or after the offering in favor of our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73"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2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17"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believe that these provisions, the insurance and the indemnity agreements are necessary to attract and retain talented and experienced officers and directors.</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00"/>
          </w:cols>
          <w:pgMar w:left="320" w:top="455" w:right="3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151" w:lineRule="exact"/>
        <w:rPr>
          <w:sz w:val="20"/>
          <w:szCs w:val="20"/>
          <w:color w:val="auto"/>
        </w:rPr>
      </w:pPr>
    </w:p>
    <w:p>
      <w:pPr>
        <w:ind w:left="880" w:hanging="427"/>
        <w:spacing w:after="0"/>
        <w:tabs>
          <w:tab w:leader="none" w:pos="8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each person known by us to be the beneficial owner of more than 5% of our issued and outstanding ordinary shares;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each of our officers, directors and director nominees;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all our officers and directors as a group.</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w:t>
      </w:r>
    </w:p>
    <w:p>
      <w:pPr>
        <w:spacing w:after="0" w:line="111"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On August 3, 2020, our sponsor paid $25,000, or approximately $0.004 per share, to cover certain of our offering and formation costs in exchange for 5,750,000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 founder shares will be surrendered for no consideration depending on the extent to which the underwriters’ over-allotment is exercised. The post-offering percentages in the following table assume that the underwriters do not exercise their over-allotment option, that 750,000 founder shares have been surrendered to us for no consideration, and that there are 20,000,000 ordinary shares issued and outstanding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9"/>
        </w:trPr>
        <w:tc>
          <w:tcPr>
            <w:tcW w:w="6640" w:type="dxa"/>
            <w:vAlign w:val="bottom"/>
          </w:tcPr>
          <w:p>
            <w:pPr>
              <w:spacing w:after="0"/>
              <w:rPr>
                <w:sz w:val="13"/>
                <w:szCs w:val="13"/>
                <w:color w:val="auto"/>
              </w:rPr>
            </w:pPr>
          </w:p>
        </w:tc>
        <w:tc>
          <w:tcPr>
            <w:tcW w:w="2380" w:type="dxa"/>
            <w:vAlign w:val="bottom"/>
            <w:gridSpan w:val="4"/>
          </w:tcPr>
          <w:p>
            <w:pPr>
              <w:jc w:val="right"/>
              <w:ind w:right="600"/>
              <w:spacing w:after="0" w:line="159" w:lineRule="exact"/>
              <w:rPr>
                <w:sz w:val="20"/>
                <w:szCs w:val="20"/>
                <w:color w:val="auto"/>
              </w:rPr>
            </w:pPr>
            <w:r>
              <w:rPr>
                <w:rFonts w:ascii="Arial" w:cs="Arial" w:eastAsia="Arial" w:hAnsi="Arial"/>
                <w:sz w:val="14"/>
                <w:szCs w:val="14"/>
                <w:b w:val="1"/>
                <w:bCs w:val="1"/>
                <w:color w:val="auto"/>
              </w:rPr>
              <w:t>NUMBER OF SHARES</w:t>
            </w:r>
          </w:p>
        </w:tc>
        <w:tc>
          <w:tcPr>
            <w:tcW w:w="2220" w:type="dxa"/>
            <w:vAlign w:val="bottom"/>
            <w:gridSpan w:val="3"/>
          </w:tcPr>
          <w:p>
            <w:pPr>
              <w:jc w:val="center"/>
              <w:ind w:right="200"/>
              <w:spacing w:after="0" w:line="15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1"/>
        </w:trPr>
        <w:tc>
          <w:tcPr>
            <w:tcW w:w="6640" w:type="dxa"/>
            <w:vAlign w:val="bottom"/>
          </w:tcPr>
          <w:p>
            <w:pPr>
              <w:spacing w:after="0"/>
              <w:rPr>
                <w:sz w:val="15"/>
                <w:szCs w:val="15"/>
                <w:color w:val="auto"/>
              </w:rPr>
            </w:pPr>
          </w:p>
        </w:tc>
        <w:tc>
          <w:tcPr>
            <w:tcW w:w="2380" w:type="dxa"/>
            <w:vAlign w:val="bottom"/>
            <w:gridSpan w:val="4"/>
          </w:tcPr>
          <w:p>
            <w:pPr>
              <w:ind w:left="120"/>
              <w:spacing w:after="0" w:line="181" w:lineRule="exact"/>
              <w:rPr>
                <w:sz w:val="20"/>
                <w:szCs w:val="20"/>
                <w:color w:val="auto"/>
              </w:rPr>
            </w:pPr>
            <w:r>
              <w:rPr>
                <w:rFonts w:ascii="Arial" w:cs="Arial" w:eastAsia="Arial" w:hAnsi="Arial"/>
                <w:sz w:val="12"/>
                <w:szCs w:val="12"/>
                <w:b w:val="1"/>
                <w:bCs w:val="1"/>
                <w:color w:val="auto"/>
              </w:rPr>
              <w:t>BENEFICIALLY OWNED</w:t>
            </w:r>
            <w:r>
              <w:rPr>
                <w:rFonts w:ascii="Arial" w:cs="Arial" w:eastAsia="Arial" w:hAnsi="Arial"/>
                <w:sz w:val="20"/>
                <w:szCs w:val="20"/>
                <w:b w:val="1"/>
                <w:bCs w:val="1"/>
                <w:color w:val="auto"/>
                <w:vertAlign w:val="superscript"/>
              </w:rPr>
              <w:t>(2)</w:t>
            </w:r>
          </w:p>
        </w:tc>
        <w:tc>
          <w:tcPr>
            <w:tcW w:w="2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40"/>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4"/>
                <w:szCs w:val="24"/>
                <w:b w:val="1"/>
                <w:bCs w:val="1"/>
                <w:color w:val="auto"/>
                <w:vertAlign w:val="superscript"/>
              </w:rPr>
              <w:t>(1)</w:t>
            </w:r>
          </w:p>
        </w:tc>
        <w:tc>
          <w:tcPr>
            <w:tcW w:w="1200" w:type="dxa"/>
            <w:vAlign w:val="bottom"/>
            <w:tcBorders>
              <w:top w:val="single" w:sz="8" w:color="auto"/>
            </w:tcBorders>
            <w:gridSpan w:val="2"/>
          </w:tcPr>
          <w:p>
            <w:pPr>
              <w:ind w:left="120"/>
              <w:spacing w:after="0" w:line="141" w:lineRule="exact"/>
              <w:rPr>
                <w:sz w:val="20"/>
                <w:szCs w:val="20"/>
                <w:color w:val="auto"/>
              </w:rPr>
            </w:pPr>
            <w:r>
              <w:rPr>
                <w:rFonts w:ascii="Arial" w:cs="Arial" w:eastAsia="Arial" w:hAnsi="Arial"/>
                <w:sz w:val="14"/>
                <w:szCs w:val="14"/>
                <w:b w:val="1"/>
                <w:bCs w:val="1"/>
                <w:color w:val="auto"/>
              </w:rPr>
              <w:t>BEFORE</w:t>
            </w:r>
          </w:p>
        </w:tc>
        <w:tc>
          <w:tcPr>
            <w:tcW w:w="820" w:type="dxa"/>
            <w:vAlign w:val="bottom"/>
            <w:tcBorders>
              <w:top w:val="single" w:sz="8" w:color="auto"/>
            </w:tcBorders>
          </w:tcPr>
          <w:p>
            <w:pPr>
              <w:jc w:val="right"/>
              <w:ind w:right="110"/>
              <w:spacing w:after="0" w:line="141" w:lineRule="exact"/>
              <w:rPr>
                <w:sz w:val="20"/>
                <w:szCs w:val="20"/>
                <w:color w:val="auto"/>
              </w:rPr>
            </w:pPr>
            <w:r>
              <w:rPr>
                <w:rFonts w:ascii="Arial" w:cs="Arial" w:eastAsia="Arial" w:hAnsi="Arial"/>
                <w:sz w:val="14"/>
                <w:szCs w:val="14"/>
                <w:b w:val="1"/>
                <w:bCs w:val="1"/>
                <w:color w:val="auto"/>
              </w:rPr>
              <w:t>AFTER</w:t>
            </w:r>
          </w:p>
        </w:tc>
        <w:tc>
          <w:tcPr>
            <w:tcW w:w="360" w:type="dxa"/>
            <w:vAlign w:val="bottom"/>
          </w:tcPr>
          <w:p>
            <w:pPr>
              <w:spacing w:after="0"/>
              <w:rPr>
                <w:sz w:val="12"/>
                <w:szCs w:val="12"/>
                <w:color w:val="auto"/>
              </w:rPr>
            </w:pPr>
          </w:p>
        </w:tc>
        <w:tc>
          <w:tcPr>
            <w:tcW w:w="1260" w:type="dxa"/>
            <w:vAlign w:val="bottom"/>
            <w:tcBorders>
              <w:top w:val="single" w:sz="8" w:color="auto"/>
            </w:tcBorders>
          </w:tcPr>
          <w:p>
            <w:pPr>
              <w:jc w:val="right"/>
              <w:ind w:right="509"/>
              <w:spacing w:after="0" w:line="141" w:lineRule="exact"/>
              <w:rPr>
                <w:sz w:val="20"/>
                <w:szCs w:val="20"/>
                <w:color w:val="auto"/>
              </w:rPr>
            </w:pPr>
            <w:r>
              <w:rPr>
                <w:rFonts w:ascii="Arial" w:cs="Arial" w:eastAsia="Arial" w:hAnsi="Arial"/>
                <w:sz w:val="14"/>
                <w:szCs w:val="14"/>
                <w:b w:val="1"/>
                <w:bCs w:val="1"/>
                <w:color w:val="auto"/>
              </w:rPr>
              <w:t>BEFORE</w:t>
            </w:r>
          </w:p>
        </w:tc>
        <w:tc>
          <w:tcPr>
            <w:tcW w:w="760" w:type="dxa"/>
            <w:vAlign w:val="bottom"/>
            <w:tcBorders>
              <w:top w:val="single" w:sz="8" w:color="auto"/>
            </w:tcBorders>
          </w:tcPr>
          <w:p>
            <w:pPr>
              <w:jc w:val="right"/>
              <w:ind w:right="70"/>
              <w:spacing w:after="0" w:line="141" w:lineRule="exact"/>
              <w:rPr>
                <w:sz w:val="20"/>
                <w:szCs w:val="20"/>
                <w:color w:val="auto"/>
              </w:rPr>
            </w:pPr>
            <w:r>
              <w:rPr>
                <w:rFonts w:ascii="Arial" w:cs="Arial" w:eastAsia="Arial" w:hAnsi="Arial"/>
                <w:sz w:val="14"/>
                <w:szCs w:val="14"/>
                <w:b w:val="1"/>
                <w:bCs w:val="1"/>
                <w:color w:val="auto"/>
              </w:rPr>
              <w:t>AFTER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640" w:type="dxa"/>
            <w:vAlign w:val="bottom"/>
            <w:vMerge w:val="continue"/>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OFFERING</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OFFERING</w:t>
            </w:r>
          </w:p>
        </w:tc>
        <w:tc>
          <w:tcPr>
            <w:tcW w:w="1260" w:type="dxa"/>
            <w:vAlign w:val="bottom"/>
          </w:tcPr>
          <w:p>
            <w:pPr>
              <w:jc w:val="right"/>
              <w:ind w:right="429"/>
              <w:spacing w:after="0"/>
              <w:rPr>
                <w:sz w:val="20"/>
                <w:szCs w:val="20"/>
                <w:color w:val="auto"/>
              </w:rPr>
            </w:pPr>
            <w:r>
              <w:rPr>
                <w:rFonts w:ascii="Arial" w:cs="Arial" w:eastAsia="Arial" w:hAnsi="Arial"/>
                <w:sz w:val="14"/>
                <w:szCs w:val="14"/>
                <w:b w:val="1"/>
                <w:bCs w:val="1"/>
                <w:u w:val="single" w:color="auto"/>
                <w:color w:val="auto"/>
              </w:rPr>
              <w:t>OFFERING</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u w:val="single" w:color="auto"/>
                <w:color w:val="auto"/>
              </w:rPr>
              <w:t>OFFERING</w:t>
            </w:r>
          </w:p>
        </w:tc>
        <w:tc>
          <w:tcPr>
            <w:tcW w:w="0" w:type="dxa"/>
            <w:vAlign w:val="bottom"/>
          </w:tcPr>
          <w:p>
            <w:pPr>
              <w:spacing w:after="0"/>
              <w:rPr>
                <w:sz w:val="1"/>
                <w:szCs w:val="1"/>
                <w:color w:val="auto"/>
              </w:rPr>
            </w:pPr>
          </w:p>
        </w:tc>
      </w:tr>
      <w:tr>
        <w:trPr>
          <w:trHeight w:val="13"/>
        </w:trPr>
        <w:tc>
          <w:tcPr>
            <w:tcW w:w="664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VPC Impact Acquisition Holdings Sponsor, LLC</w:t>
            </w:r>
          </w:p>
        </w:tc>
        <w:tc>
          <w:tcPr>
            <w:tcW w:w="840" w:type="dxa"/>
            <w:vAlign w:val="bottom"/>
            <w:shd w:val="clear" w:color="auto" w:fill="000000"/>
          </w:tcPr>
          <w:p>
            <w:pPr>
              <w:jc w:val="right"/>
              <w:spacing w:after="0" w:line="4" w:lineRule="exact"/>
              <w:rPr>
                <w:sz w:val="20"/>
                <w:szCs w:val="20"/>
                <w:color w:val="auto"/>
              </w:rPr>
            </w:pPr>
            <w:r>
              <w:rPr>
                <w:rFonts w:ascii="Arial" w:cs="Arial" w:eastAsia="Arial" w:hAnsi="Arial"/>
                <w:sz w:val="1"/>
                <w:szCs w:val="1"/>
                <w:color w:val="auto"/>
              </w:rPr>
              <w:t>5,750,000</w:t>
            </w:r>
          </w:p>
        </w:tc>
        <w:tc>
          <w:tcPr>
            <w:tcW w:w="3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jc w:val="right"/>
              <w:spacing w:after="0" w:line="4" w:lineRule="exact"/>
              <w:rPr>
                <w:sz w:val="20"/>
                <w:szCs w:val="20"/>
                <w:color w:val="auto"/>
              </w:rPr>
            </w:pPr>
            <w:r>
              <w:rPr>
                <w:rFonts w:ascii="Arial" w:cs="Arial" w:eastAsia="Arial" w:hAnsi="Arial"/>
                <w:sz w:val="1"/>
                <w:szCs w:val="1"/>
                <w:color w:val="auto"/>
              </w:rPr>
              <w:t>5,000,000</w:t>
            </w:r>
          </w:p>
        </w:tc>
        <w:tc>
          <w:tcPr>
            <w:tcW w:w="3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jc w:val="right"/>
              <w:ind w:right="269"/>
              <w:spacing w:after="0" w:line="4" w:lineRule="exact"/>
              <w:rPr>
                <w:sz w:val="20"/>
                <w:szCs w:val="20"/>
                <w:color w:val="auto"/>
              </w:rPr>
            </w:pPr>
            <w:r>
              <w:rPr>
                <w:rFonts w:ascii="Arial" w:cs="Arial" w:eastAsia="Arial" w:hAnsi="Arial"/>
                <w:sz w:val="1"/>
                <w:szCs w:val="1"/>
                <w:color w:val="auto"/>
              </w:rPr>
              <w:t>100%</w:t>
            </w:r>
          </w:p>
        </w:tc>
        <w:tc>
          <w:tcPr>
            <w:tcW w:w="96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20%</w:t>
            </w:r>
          </w:p>
        </w:tc>
        <w:tc>
          <w:tcPr>
            <w:tcW w:w="0" w:type="dxa"/>
            <w:vAlign w:val="bottom"/>
          </w:tcPr>
          <w:p>
            <w:pPr>
              <w:spacing w:after="0" w:line="20" w:lineRule="exact"/>
              <w:rPr>
                <w:sz w:val="1"/>
                <w:szCs w:val="1"/>
                <w:color w:val="auto"/>
              </w:rPr>
            </w:pPr>
          </w:p>
        </w:tc>
      </w:tr>
      <w:tr>
        <w:trPr>
          <w:trHeight w:val="189"/>
        </w:trPr>
        <w:tc>
          <w:tcPr>
            <w:tcW w:w="6640" w:type="dxa"/>
            <w:vAlign w:val="bottom"/>
            <w:shd w:val="clear" w:color="auto" w:fill="CCEEFF"/>
          </w:tcPr>
          <w:p>
            <w:pPr>
              <w:ind w:left="3580"/>
              <w:spacing w:after="0"/>
              <w:rPr>
                <w:sz w:val="20"/>
                <w:szCs w:val="20"/>
                <w:color w:val="auto"/>
              </w:rPr>
            </w:pPr>
            <w:r>
              <w:rPr>
                <w:rFonts w:ascii="Arial" w:cs="Arial" w:eastAsia="Arial" w:hAnsi="Arial"/>
                <w:sz w:val="15"/>
                <w:szCs w:val="15"/>
                <w:color w:val="auto"/>
              </w:rPr>
              <w:t>(3)(4)</w:t>
            </w: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7"/>
                <w:szCs w:val="17"/>
                <w:color w:val="auto"/>
              </w:rPr>
              <w:t>John Martin</w:t>
            </w:r>
          </w:p>
        </w:tc>
        <w:tc>
          <w:tcPr>
            <w:tcW w:w="12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429"/>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Gordon Watson</w:t>
            </w: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429"/>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7"/>
                <w:szCs w:val="17"/>
                <w:color w:val="auto"/>
              </w:rPr>
              <w:t>Olibia Stamatoglou</w:t>
            </w:r>
          </w:p>
        </w:tc>
        <w:tc>
          <w:tcPr>
            <w:tcW w:w="12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429"/>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All officers, directors and director nominees as a group (3 individuals)</w:t>
            </w: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269"/>
              <w:spacing w:after="0" w:line="189" w:lineRule="exact"/>
              <w:rPr>
                <w:sz w:val="20"/>
                <w:szCs w:val="20"/>
                <w:color w:val="auto"/>
              </w:rPr>
            </w:pPr>
            <w:r>
              <w:rPr>
                <w:rFonts w:ascii="Arial" w:cs="Arial" w:eastAsia="Arial" w:hAnsi="Arial"/>
                <w:sz w:val="17"/>
                <w:szCs w:val="17"/>
                <w:color w:val="auto"/>
              </w:rPr>
              <w:t>100%</w:t>
            </w: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left="440" w:hanging="297"/>
        <w:spacing w:after="0"/>
        <w:tabs>
          <w:tab w:leader="none" w:pos="44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Unless otherwise noted, the business address of each of the following is [•].</w:t>
      </w:r>
    </w:p>
    <w:p>
      <w:pPr>
        <w:ind w:left="440" w:right="140" w:hanging="297"/>
        <w:spacing w:after="0" w:line="195" w:lineRule="auto"/>
        <w:tabs>
          <w:tab w:leader="none" w:pos="44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Interests shown consist solely of founder shares, classified as Class B ordinary shares. Such shares will automatically convert into Class A ordinary shares concurrently with or immediately following the consummation of our initial business combination on a one-for-one basis, subject to adjustment, as described in the section entitled “Description of Securities.”</w:t>
      </w:r>
    </w:p>
    <w:p>
      <w:pPr>
        <w:ind w:left="440" w:right="20" w:hanging="297"/>
        <w:spacing w:after="0" w:line="204" w:lineRule="auto"/>
        <w:tabs>
          <w:tab w:leader="none" w:pos="44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VPC Impact Acquisition Holdings Sponsor, LLC, our sponsor, is the record holder of such shares. [•] are the managers of VPC Impact Acquisition Holdings Sponsor, LLC and share voting and investment discretion with respect to the ordinary shares held of record by VPC Impact Acquisition Holdings Sponsor, LLC. Each of [•] disclaims any beneficial ownership of the securities held by VPC Impact Acquisition Holdings Sponsor, LLC other than to the extent of any pecuniary interest he may have therein, directly or indirectly.</w:t>
      </w:r>
    </w:p>
    <w:p>
      <w:pPr>
        <w:spacing w:after="0" w:line="2" w:lineRule="exact"/>
        <w:rPr>
          <w:rFonts w:ascii="Arial" w:cs="Arial" w:eastAsia="Arial" w:hAnsi="Arial"/>
          <w:sz w:val="24"/>
          <w:szCs w:val="24"/>
          <w:color w:val="auto"/>
          <w:vertAlign w:val="superscript"/>
        </w:rPr>
      </w:pPr>
    </w:p>
    <w:p>
      <w:pPr>
        <w:ind w:left="440" w:hanging="297"/>
        <w:spacing w:after="0" w:line="183" w:lineRule="auto"/>
        <w:tabs>
          <w:tab w:leader="none" w:pos="440" w:val="left"/>
        </w:tabs>
        <w:numPr>
          <w:ilvl w:val="0"/>
          <w:numId w:val="53"/>
        </w:numPr>
        <w:rPr>
          <w:rFonts w:ascii="Arial" w:cs="Arial" w:eastAsia="Arial" w:hAnsi="Arial"/>
          <w:sz w:val="20"/>
          <w:szCs w:val="20"/>
          <w:color w:val="auto"/>
          <w:vertAlign w:val="superscript"/>
        </w:rPr>
      </w:pPr>
      <w:r>
        <w:rPr>
          <w:rFonts w:ascii="Arial" w:cs="Arial" w:eastAsia="Arial" w:hAnsi="Arial"/>
          <w:sz w:val="12"/>
          <w:szCs w:val="12"/>
          <w:color w:val="auto"/>
        </w:rPr>
        <w:t>Includes up to 750,000 founder shares that will be surrendered for no consideration depending on the extent to which the underwriters’ over-allotment option is exercised.</w:t>
      </w:r>
    </w:p>
    <w:p>
      <w:pPr>
        <w:spacing w:after="0" w:line="132"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Immediately after this offering, our initial shareholders will beneficially own 20.0% of the then issued and outstanding ordinary shares (assuming they do not purchase any units in this offering). Only holders of Class B ordinary shares will have the right to appoint directors in any election held prior to or in connection with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40"/>
          </w:cols>
          <w:pgMar w:left="320" w:top="455" w:right="3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completion of our initial business combination. Holders of our public shares will not have the right to appoint any directors to our board of directors prior to our initial business combination. Because of this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pacing w:after="0" w:line="11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sponsor has committed, pursuant to a written agreement, to purchase an aggregate of 6,000,000 private placement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occur simultaneously with the closing of this offering. The private placement warrants will be identical to the warrants sold in this offering except that the private placement warrants, so long as they are held by our sponsor or its permitted transferees, (i) will not be redeemable by us, except as described under “</w:t>
      </w:r>
      <w:r>
        <w:rPr>
          <w:rFonts w:ascii="Arial" w:cs="Arial" w:eastAsia="Arial" w:hAnsi="Arial"/>
          <w:sz w:val="17"/>
          <w:szCs w:val="17"/>
          <w:i w:val="1"/>
          <w:iCs w:val="1"/>
          <w:color w:val="auto"/>
        </w:rPr>
        <w:t>Description of Securities—Warrants—Public Warrants—Redemption of warrants when the price per</w:t>
      </w:r>
      <w:r>
        <w:rPr>
          <w:rFonts w:ascii="Arial" w:cs="Arial" w:eastAsia="Arial" w:hAnsi="Arial"/>
          <w:sz w:val="17"/>
          <w:szCs w:val="17"/>
          <w:color w:val="auto"/>
        </w:rPr>
        <w:t xml:space="preserve"> </w:t>
      </w:r>
      <w:r>
        <w:rPr>
          <w:rFonts w:ascii="Arial" w:cs="Arial" w:eastAsia="Arial" w:hAnsi="Arial"/>
          <w:sz w:val="17"/>
          <w:szCs w:val="17"/>
          <w:i w:val="1"/>
          <w:iCs w:val="1"/>
          <w:color w:val="auto"/>
        </w:rPr>
        <w:t>Class A ordinary share equals or exceeds $10.00,</w:t>
      </w:r>
      <w:r>
        <w:rPr>
          <w:rFonts w:ascii="Arial" w:cs="Arial" w:eastAsia="Arial" w:hAnsi="Arial"/>
          <w:sz w:val="17"/>
          <w:szCs w:val="17"/>
          <w:color w:val="auto"/>
        </w:rPr>
        <w:t>” (ii) may not (including the Class A ordinary shares issuable upon exercise of these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certain limited exceptions, be transferred, assigned or sold by the holders until 30 days after the completion of our initial business combination, (iii) may be exercised by the holders on a cashless basis and (iv) will be entitled to registration rights. The private placement warrants may not, subject to certain limited exceptions, be transferred, assigned or sold by the holder. A portion of the purchase price of the private placement warrants will be added to the proceeds from this offering to be held in the trust account such that at the time of closing of this offering $200 million (or $230 million if the underwriters exercise their over-allotment option in full) will be held in the trust account. If we do not complete our initial business combination within 24 months from the closing of this offering, the private placement warrants will expire worthless. The private placement warrants are subject to the transfer restrictions described below.</w:t>
      </w:r>
    </w:p>
    <w:p>
      <w:pPr>
        <w:spacing w:after="0" w:line="128"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color w:val="auto"/>
        </w:rPr>
        <w:t>VPC Impact Acquisition Holdings Sponsor, LLC, our sponsor, and our officers and directors are deemed to be our “promoters” as such term is defined under the federal securities laws.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founder shares, private placement warrants and any Class A ordinary shares issued upon conversion or exercise thereof are each subject to transfer restrictions pursuant to lock-up provisions in the agreement entered into by our sponsor and management team. Those lock-up provisions provide that such securities are not transferable or salable (i) in the case of the founder shares, until the earlier of (A) one year after the completion of our initial business combination or earlier if, subsequent to our initial business combination, the closing price of the Class A ordinary shares equals or exceeds $12.00 per share (as adjusted for share sub-divisions, share capitalizations, reorganizations, recapitalizations and the like) for any</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shareholders having the right to exchange their Class A ordinary shares for cash, securities or other property and (ii) in the case of the private placement warrants and any Class A ordinary shares issuable upon conversion or exercise thereof, until 30 days after the completion of our initial business combination except in each case (a) to our officers or directors, any affiliate or family member of any of our officers or directors, any members or partners of the Sponsor or their affiliates, any affiliates of the Sponsor, or any employees of such affiliates, (b) in the case of an individual, as a gift to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shares or warrants were originally purchased; (f) by virtue of the laws of the State of Delaware or our Sponsor’s limited liability company agreement upon dissolution of our Sponsor, (g) in the event of our liquidation prior to our consummation of our initial business combination; or (h) in the event that, subsequent to our consummation of an initial business combination, we complete a liquidation, merger, share exchange or other similar transaction which results in all of our shareholders having the right to exchange their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40"/>
          </w:cols>
          <w:pgMar w:left="320" w:top="455" w:right="3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 xml:space="preserve">Class A ordinary shares for cash, securities or other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in the case of clauses (a) through (f) these permitted transferees must enter into a written agreement agreeing to be bound by these transfer restrictions and the other restrictions contained in the letter agreements.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holders of the (i) founder shares, which were issued in a private placement prior to the closing of this offering, (ii) private placement warrants, which will be issued in a private placement simultaneously with the closing of this offering and the Class A ordinary shares underlying such private placement warrants and (iii) private placement warrants that may be issued upon conversion of working capital loans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13,850,000 Class A ordinary shares and 8,100,000 warrants. The number of Class A ordinary shares includes (i) 5,750,000 Class A ordinary shares to be issued upon conversion of the founder shares, (ii) 6,600,000 Class A ordinary shares underlying the private placement warrants and (iii) 1,500,000 Class A ordinary shares underlying the private placement warrants issued upon conversion of working capital loans. The number of warrants includes 6,600,000 private placement warrants.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220"/>
          </w:cols>
          <w:pgMar w:left="320" w:top="455" w:right="3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31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On August 3, 2020, our sponsor paid $25,000, or approximately $0.004 per share, to cover certain of our offering and formation costs in exchange for 5,750,000 founder shares.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 founder shares will be surrendered for no consideration depending on the extent to which the underwriters’ over-allotment is exercised. If we increase or decrease the size of the offering, we will effect a share capitalization or a share repurchase or redemption or other appropriate mechanism, as applicable, with respect to our Class B ordinary shares immediately prior to the consummation of this offering in such amount as to maintain the number of founder shares at 20.0% of our issued and outstanding ordinary shares upon the consummation of this offering.</w:t>
      </w:r>
    </w:p>
    <w:p>
      <w:pPr>
        <w:spacing w:after="0" w:line="12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sponsor has committed to, pursuant to a written agreement, to purchase an aggregate of 6,000,000 private placement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close simultaneously with the closing of this offering. The private placement warrants will be identical to the warrants sold in this offering except that the private placement warrants, so long as they are held by our sponsor or its permitted transferees, (i) will not be redeemable by us, except as described under “</w:t>
      </w:r>
      <w:r>
        <w:rPr>
          <w:rFonts w:ascii="Arial" w:cs="Arial" w:eastAsia="Arial" w:hAnsi="Arial"/>
          <w:sz w:val="17"/>
          <w:szCs w:val="17"/>
          <w:i w:val="1"/>
          <w:iCs w:val="1"/>
          <w:color w:val="auto"/>
        </w:rPr>
        <w:t>Description of Securities—Warrants—Public Warrants—Redemption of warrants when the price per</w:t>
      </w:r>
      <w:r>
        <w:rPr>
          <w:rFonts w:ascii="Arial" w:cs="Arial" w:eastAsia="Arial" w:hAnsi="Arial"/>
          <w:sz w:val="17"/>
          <w:szCs w:val="17"/>
          <w:color w:val="auto"/>
        </w:rPr>
        <w:t xml:space="preserve"> </w:t>
      </w:r>
      <w:r>
        <w:rPr>
          <w:rFonts w:ascii="Arial" w:cs="Arial" w:eastAsia="Arial" w:hAnsi="Arial"/>
          <w:sz w:val="17"/>
          <w:szCs w:val="17"/>
          <w:i w:val="1"/>
          <w:iCs w:val="1"/>
          <w:color w:val="auto"/>
        </w:rPr>
        <w:t>Class A ordinary share equals or exceeds $10.00,</w:t>
      </w:r>
      <w:r>
        <w:rPr>
          <w:rFonts w:ascii="Arial" w:cs="Arial" w:eastAsia="Arial" w:hAnsi="Arial"/>
          <w:sz w:val="17"/>
          <w:szCs w:val="17"/>
          <w:color w:val="auto"/>
        </w:rPr>
        <w:t>” (ii) may not (including the Class A ordinary shares issuable upon exercise of these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certain limited exceptions, be transferred, assigned or sold by the holders until 30 days after the completion of our initial business combination, (iii) may be exercised by the holders on a cashless basis and (iv) will be entitled to registration rights. The private placement warrants (including the Class A ordinary shares issuable upon exercise thereof) may not, subject to certain limited exceptions, be transferred, assigned or sold by the holder.</w:t>
      </w:r>
    </w:p>
    <w:p>
      <w:pPr>
        <w:spacing w:after="0" w:line="127"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We currently utilize office space at 150 North Riverside Plaza, Suite 5200, Chicago, Illinois 60606 from our sponsor as our executive offices. Commencing on the date of this prospectus, we will pay our sponsor $10,000 per month for office space, utilities, secretarial and administrative support services provided to members of our management team. Upon completion of our initial business combination or our liquidation, we will cease paying these monthly fees.</w:t>
      </w:r>
    </w:p>
    <w:p>
      <w:pPr>
        <w:spacing w:after="0" w:line="117"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No compensation of any kind, including finder’s and consulting fees, will be paid by the company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w:t>
      </w:r>
    </w:p>
    <w:p>
      <w:pPr>
        <w:spacing w:after="0" w:line="12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Prior to the closing of this offering, our sponsor may loan us funds to be used for a portion of the expenses of this offering. These loans would be non-interest bearing, unsecured and are due at the earlier of December 31, 2020 or the closing of this offering.</w:t>
      </w:r>
    </w:p>
    <w:p>
      <w:pPr>
        <w:spacing w:after="0" w:line="9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warrants of the post business combination entity at a price of $1.00 per warrant at the option of the lender. Such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220"/>
          </w:cols>
          <w:pgMar w:left="320" w:top="455" w:right="3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60"/>
        <w:spacing w:after="0" w:line="245" w:lineRule="auto"/>
        <w:rPr>
          <w:sz w:val="20"/>
          <w:szCs w:val="20"/>
          <w:color w:val="auto"/>
        </w:rPr>
      </w:pPr>
      <w:r>
        <w:rPr>
          <w:rFonts w:ascii="Arial" w:cs="Arial" w:eastAsia="Arial" w:hAnsi="Arial"/>
          <w:sz w:val="17"/>
          <w:szCs w:val="17"/>
          <w:color w:val="auto"/>
        </w:rPr>
        <w:t>our sponsor as we do not believe third parties will be willing to loan such funds and provide a waiver against any and all rights to seek access to funds in our trust account.</w:t>
      </w:r>
    </w:p>
    <w:p>
      <w:pPr>
        <w:spacing w:after="0" w:line="1" w:lineRule="exact"/>
        <w:rPr>
          <w:sz w:val="20"/>
          <w:szCs w:val="20"/>
          <w:color w:val="auto"/>
        </w:rPr>
      </w:pPr>
    </w:p>
    <w:p>
      <w:pPr>
        <w:ind w:right="520"/>
        <w:spacing w:after="0" w:line="248" w:lineRule="auto"/>
        <w:rPr>
          <w:sz w:val="20"/>
          <w:szCs w:val="20"/>
          <w:color w:val="auto"/>
        </w:rPr>
      </w:pPr>
      <w:r>
        <w:rPr>
          <w:rFonts w:ascii="Arial" w:cs="Arial" w:eastAsia="Arial" w:hAnsi="Arial"/>
          <w:sz w:val="17"/>
          <w:szCs w:val="17"/>
          <w:color w:val="auto"/>
        </w:rPr>
        <w:t>Any of the foregoing payments to our sponsor, repayments of loans from our sponsor or repayments of working capital loans prior to our initial business combination will be made using funds held outside the trust account.</w:t>
      </w:r>
    </w:p>
    <w:p>
      <w:pPr>
        <w:spacing w:after="0" w:line="114"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proxy solicitation or tender offer materials, as applicable, furnished to our shareholders. It is unlikely the amount of such compensation will be known at the time of distribution of such tender offer materials or at the time of a general meeting held to consider our initial business combination, as applicable, as it will be up to the directors of the post-combination business to determine executive and director compensation.</w:t>
      </w:r>
    </w:p>
    <w:p>
      <w:pPr>
        <w:spacing w:after="0" w:line="12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have entered into a registration rights agreement with respect to the founder shares and private placement warrants, which is described under the heading “Principal Shareholders—Registration Rights.”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w:t>
      </w:r>
    </w:p>
    <w:p>
      <w:pPr>
        <w:spacing w:after="0" w:line="3" w:lineRule="exact"/>
        <w:rPr>
          <w:sz w:val="20"/>
          <w:szCs w:val="20"/>
          <w:color w:val="auto"/>
        </w:rPr>
      </w:pPr>
    </w:p>
    <w:p>
      <w:pPr>
        <w:ind w:firstLine="8"/>
        <w:spacing w:after="0" w:line="234" w:lineRule="auto"/>
        <w:tabs>
          <w:tab w:leader="none" w:pos="199"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shareholders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officer to participate in the discussion of, or decision concerning, a related person transaction in which he or she is the related party.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20"/>
          </w:cols>
          <w:pgMar w:left="320" w:top="455" w:right="3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We are a Cayman Islands exempted company (company number 364819) and our affairs are governed by our amended and restated memorandum and articles of association, the Companies Law and the common law of the Cayman Islands. Pursuant to our amended and restated memorandum and articles of association which will be adopted upon the consummation of this offering, we will be authorized to issue 200,000,000 ordinary shares, $0.0001 par value each, including 200,000,000 Class A ordinary shares and 20,000,000 Class B ordinary shares, as well as 1,000,000 preferred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6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Each unit has an offering price of $10.00 and consists of one Class A ordinary share and one-half of one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 For example, if a warrant holder holds one-half of one warrant to purchase a Class A ordinary share, such warrant will not be exercisable. If a warrant holder holds two-halves of one warrant, such whole warrant will be exercisable for one Class A ordinary share at a price of $11.50 per share. The Class A ordinary shares and warrants comprising the units are expected to begin separate trading on the 52</w:t>
      </w:r>
      <w:r>
        <w:rPr>
          <w:rFonts w:ascii="Arial" w:cs="Arial" w:eastAsia="Arial" w:hAnsi="Arial"/>
          <w:sz w:val="14"/>
          <w:szCs w:val="14"/>
          <w:color w:val="auto"/>
        </w:rPr>
        <w:t>nd</w:t>
      </w:r>
      <w:r>
        <w:rPr>
          <w:rFonts w:ascii="Arial" w:cs="Arial" w:eastAsia="Arial" w:hAnsi="Arial"/>
          <w:sz w:val="17"/>
          <w:szCs w:val="17"/>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2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which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6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Prior to the date of this prospectus, there were 5,750,000 Class B ordinary shares outstanding, all of which were held of record by our initial shareholders, so that our initial shareholders will own 20% of our issued and outstanding shares after this offering (assuming our initial shareholders do not purchase any units in this offering). Up to 750,000 of the founder shares will be surrendered for no consideration depending on the extent to which the underwriters’ over-allotment is exercised. Upon the closing of this offering, 25,000,000 of our ordinary shares will be outstanding (assuming no exercise of the underwriters’ over-allotment option and the corresponding surrender for no consideration of 750,000 founder shares) including:</w:t>
      </w:r>
    </w:p>
    <w:p>
      <w:pPr>
        <w:spacing w:after="0" w:line="164" w:lineRule="exact"/>
        <w:rPr>
          <w:sz w:val="20"/>
          <w:szCs w:val="20"/>
          <w:color w:val="auto"/>
        </w:rPr>
      </w:pPr>
    </w:p>
    <w:p>
      <w:pPr>
        <w:ind w:left="880" w:hanging="427"/>
        <w:spacing w:after="0"/>
        <w:tabs>
          <w:tab w:leader="none" w:pos="8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20,000,000 Class A ordinary shares underlying units issued as part of this offering; and</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5,750,000 Class B ordinary shares held by our initial shareholders.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20"/>
          </w:cols>
          <w:pgMar w:left="320" w:top="455" w:right="3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securities</w:t>
      </w:r>
    </w:p>
    <w:p>
      <w:pPr>
        <w:spacing w:after="0" w:line="73"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If we increase or decrease the size of this offering, we will effect a share capitalization or share repurchase or redemption or other appropriate mechanism, as applicable, with respect to our Class B ordinary shares immediately prior to the consummation of the offering in such amount as to maintain the ownership of our initial shareholders at 20.0% of our issued and outstanding ordinary shares upon the consummation of this offering.</w:t>
      </w:r>
    </w:p>
    <w:p>
      <w:pPr>
        <w:spacing w:after="0" w:line="11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Law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the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appointed in each year. There is no cumulative voting with respect to the appointment of directors, with the result that the holders of more than 50% of the shares voted for the appointment of directors can elect all of the directors. However, only holders of Class B ordinary shares will have the right to appoint directors in any election held prior to or in connection with the completion of our initial business combination, meaning that holders of Class A ordinary shares will not have the right to appoint any directors until after the completion of our initial business combination. Our shareholders are entitled to receive ratable dividends when, as and if declared by the board of directors out of funds legally available therefor.</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Because our amended and restated memorandum and articles of association authorize the issuance of up to 200,000,000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 Our board of directors is divided into three classes with only one class of directors being appointed in each year and each class (except for those directors appointed prior to our first annual general meeting) serving a three-year term.</w:t>
      </w:r>
    </w:p>
    <w:p>
      <w:pPr>
        <w:spacing w:after="0" w:line="123"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In accordance with Nasdaq corporate governance requirements, we are not required to hold an annual general meeting until one year after our first fiscal year end following our listing on Nasdaq. There is no requirement under the Companies Law for us to hold annual or general meetings or appoint directors. We may not hold an annual general meeting to appoint new directors prior to the consummation of our initial business combination.</w:t>
      </w:r>
    </w:p>
    <w:p>
      <w:pPr>
        <w:spacing w:after="0" w:line="11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 rights with respect to their founder shares and public shares in connection with the completion of our initial business combination. Unlike many special purpose acquisition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40"/>
          </w:cols>
          <w:pgMar w:left="320" w:top="455" w:right="3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completing our initial business combination. Our amended and restated memorandum and articles of association require these tender offer documents to contain substantially the same financial and other information about our initial business combination and the redemption rights as is required under the SEC’s proxy rules. If, however, a shareholder approval of the transaction is required by law, or we decide to obtain shareholder approval for business or other reasons, we will, like many special purpose acquisition companies, offer to redeem shares in conjunction with a proxy 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an ordinary resolution, non-votes will have no effect on the approval of our initial business combination once a quorum is obtained. Our amended and restated memorandum and articles of association require that at least five days’ notice will be given of any general meeting.</w:t>
      </w:r>
    </w:p>
    <w:p>
      <w:pPr>
        <w:spacing w:after="0" w:line="12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20% and, in order to dispose such shares would be required to sell their shares in open market transactions, potentially at a loss.</w:t>
      </w:r>
    </w:p>
    <w:p>
      <w:pPr>
        <w:spacing w:after="0" w:line="12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If we seek shareholder approval in connection with our initial business combination, our sponsor, officers and directors have agreed to vote their founder shares and any public shares purchased during or after this offering (including in open market and privately-negotiated transactions) in favor of our initial business combination.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 Additionally, each public shareholder may elect to redeem their public shares irrespective of whether they vote for or against the proposed transaction or whether they were a public shareholder on the record date for the general meeting held to approve the proposed transaction.</w:t>
      </w:r>
    </w:p>
    <w:p>
      <w:pPr>
        <w:spacing w:after="0" w:line="12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Pursuant to our amended and restated memorandum and articles of association, 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Our sponsor, officers and directors have entered into a letter agreement with us, pursuant to which they have agreed to waive their rights to liquidating distributions from the trust account with respect to their founder shares if we fail to complete our initial business combination within 24 months from the closing of this offering. However, if our sponsor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40"/>
          </w:cols>
          <w:pgMar w:left="320" w:top="455" w:right="3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and on the conditions described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7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founder shares are designated as Class B ordinary shares and, except as described below, are identical to the Class A ordinary shares included in the units being sold in this offering, and holders of founder shares have the same shareholder rights as public shareholders, except that (i) the founder shares are subject to certain transfer restrictions, as described in more detail below, (ii) the founder shares are entitled to registration rights;</w:t>
      </w:r>
    </w:p>
    <w:p>
      <w:pPr>
        <w:jc w:val="center"/>
        <w:ind w:right="560" w:firstLine="8"/>
        <w:spacing w:after="0" w:line="232" w:lineRule="auto"/>
        <w:tabs>
          <w:tab w:leader="none" w:pos="275"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sponsor, officers and directors have entered into a letter agreement with us, pursuant to which they have agreed to (A) waive their redemption rights with respect to their founder shares and public shares in connection with the completion of our initial business combination,</w:t>
      </w:r>
    </w:p>
    <w:p>
      <w:pPr>
        <w:ind w:right="20"/>
        <w:spacing w:after="0" w:line="233" w:lineRule="auto"/>
        <w:rPr>
          <w:rFonts w:ascii="Arial" w:cs="Arial" w:eastAsia="Arial" w:hAnsi="Arial"/>
          <w:sz w:val="17"/>
          <w:szCs w:val="17"/>
          <w:color w:val="auto"/>
        </w:rPr>
      </w:pPr>
      <w:r>
        <w:rPr>
          <w:rFonts w:ascii="Arial" w:cs="Arial" w:eastAsia="Arial" w:hAnsi="Arial"/>
          <w:sz w:val="17"/>
          <w:szCs w:val="17"/>
          <w:color w:val="auto"/>
        </w:rPr>
        <w:t>(B) waive their redemption rights with respect to their founder shares and public shares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(C) waive their rights to liquidating distributions from the trust account with respect to their founder shares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such time period and (D) vote any founder shares held by them and any public shares purchased during or after this offering (including in open market and privately-negotiated transactions) in favor of our initial business combination, (iv) the founder shares are automatically convertible into Class A ordinary shares concurrently with or immediately following the consummation of our initial business combination on a one-for-one basis, subject to adjustment as described herein and in our amended and restated memorandum and articles of association, and (v) only holders of Class B ordinary shares will have the right to appoint directors in any election held prior to or in connection with the completion of our initial business combination.</w:t>
      </w:r>
    </w:p>
    <w:p>
      <w:pPr>
        <w:spacing w:after="0" w:line="13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 xml:space="preserve">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officers or directors upon conversion of working capital loans;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conversion of founder shares will never occur on a less than one-for-one basis.</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20"/>
          </w:cols>
          <w:pgMar w:left="320" w:top="455" w:right="3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rPr>
          <w:sz w:val="20"/>
          <w:szCs w:val="20"/>
          <w:color w:val="auto"/>
        </w:rPr>
      </w:pPr>
      <w:r>
        <w:rPr>
          <w:rFonts w:ascii="Arial" w:cs="Arial" w:eastAsia="Arial" w:hAnsi="Arial"/>
          <w:sz w:val="17"/>
          <w:szCs w:val="17"/>
          <w:color w:val="auto"/>
        </w:rPr>
        <w:t>earlier if, subsequent to our initial business combination, the closing price of the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shareholders having the right to exchange their Class A ordinary shares for cash, securities or other property. Up to 750,000 founder shares will be surrendered to us for no consideration depending on the exercise of the over-allotment 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Under Cayman Islands law, we must keep a register of members and there will be entered therein:</w:t>
      </w:r>
    </w:p>
    <w:p>
      <w:pPr>
        <w:spacing w:after="0" w:line="196" w:lineRule="exact"/>
        <w:rPr>
          <w:sz w:val="20"/>
          <w:szCs w:val="20"/>
          <w:color w:val="auto"/>
        </w:rPr>
      </w:pPr>
    </w:p>
    <w:p>
      <w:pPr>
        <w:ind w:left="880" w:right="360" w:hanging="427"/>
        <w:spacing w:after="0" w:line="257" w:lineRule="auto"/>
        <w:tabs>
          <w:tab w:leader="none" w:pos="8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names and addresses of the members, a statement of the shares held by each member, and of the amount paid or agreed to be considered as paid, on the shares of each member and the voting rights of the shares of each member;</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date on which the name of any person was entered on the register as a member;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date on which any person ceased to be a member.</w:t>
      </w:r>
    </w:p>
    <w:p>
      <w:pPr>
        <w:spacing w:after="0" w:line="154"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6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amended and restated memorandum and articles of association authorize 1,000,000 preferred shares and provide that preferred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preferred shares with voting and other rights that could adversely affect the voting power and other rights of the holders of the ordinary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outstanding at the date hereof. Although we do not currently intend to issue any preferred shares, we cannot assure you that we will not do so in the future. No preferred shares are being issued or registered in this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Each whole warrant entitles the registered holder to purchase one Class A ordinary share at a price of $11.50 per share, subject to adjustment as discussed below, at any time commencing on the later of one year from the closing of this offering or 30 days after the completion of our initial business combination, provided in each case that we have an effective registration statement under the Securities Act covering the Class A ordinary shares issuable upon exercise of the warrants and a current prospectus relating to them is available (or we permit holders to exercise their warrants on a cashless basis under the circumstances specified in the warrant agreement) and such shares 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00"/>
          </w:cols>
          <w:pgMar w:left="320" w:top="455" w:right="3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registered, qualified or exempt from registration under the securities, or blue sky, laws of the state of residence of the holder.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2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w:t>
      </w:r>
      <w:r>
        <w:rPr>
          <w:rFonts w:ascii="Arial" w:cs="Arial" w:eastAsia="Arial" w:hAnsi="Arial"/>
          <w:sz w:val="14"/>
          <w:szCs w:val="14"/>
          <w:color w:val="auto"/>
        </w:rPr>
        <w:t>th</w:t>
      </w:r>
      <w:r>
        <w:rPr>
          <w:rFonts w:ascii="Arial" w:cs="Arial" w:eastAsia="Arial" w:hAnsi="Arial"/>
          <w:sz w:val="17"/>
          <w:szCs w:val="17"/>
          <w:color w:val="auto"/>
        </w:rPr>
        <w:t>)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w:t>
      </w:r>
    </w:p>
    <w:p>
      <w:pPr>
        <w:ind w:right="180"/>
        <w:spacing w:after="0" w:line="238" w:lineRule="auto"/>
        <w:rPr>
          <w:sz w:val="20"/>
          <w:szCs w:val="20"/>
          <w:color w:val="auto"/>
        </w:rPr>
      </w:pPr>
      <w:r>
        <w:rPr>
          <w:rFonts w:ascii="Arial" w:cs="Arial" w:eastAsia="Arial" w:hAnsi="Arial"/>
          <w:sz w:val="17"/>
          <w:szCs w:val="17"/>
          <w:color w:val="auto"/>
        </w:rPr>
        <w:t>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21"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i w:val="1"/>
          <w:iCs w:val="1"/>
          <w:color w:val="auto"/>
        </w:rPr>
        <w:t xml:space="preserve">Redemption of warrants when the price per Class A ordinary share equals or exceeds $18.00. </w:t>
      </w:r>
      <w:r>
        <w:rPr>
          <w:rFonts w:ascii="Arial" w:cs="Arial" w:eastAsia="Arial" w:hAnsi="Arial"/>
          <w:sz w:val="17"/>
          <w:szCs w:val="17"/>
          <w:color w:val="auto"/>
        </w:rPr>
        <w:t>Once the warrants become exercisable, we may</w:t>
      </w:r>
      <w:r>
        <w:rPr>
          <w:rFonts w:ascii="Arial" w:cs="Arial" w:eastAsia="Arial" w:hAnsi="Arial"/>
          <w:sz w:val="17"/>
          <w:szCs w:val="17"/>
          <w:i w:val="1"/>
          <w:iCs w:val="1"/>
          <w:color w:val="auto"/>
        </w:rPr>
        <w:t xml:space="preserve"> </w:t>
      </w:r>
      <w:r>
        <w:rPr>
          <w:rFonts w:ascii="Arial" w:cs="Arial" w:eastAsia="Arial" w:hAnsi="Arial"/>
          <w:sz w:val="17"/>
          <w:szCs w:val="17"/>
          <w:color w:val="auto"/>
        </w:rPr>
        <w:t>redeem the outstanding warrants (except as described herein with respect to the private placement warrants):</w:t>
      </w:r>
    </w:p>
    <w:p>
      <w:pPr>
        <w:spacing w:after="0" w:line="133" w:lineRule="exact"/>
        <w:rPr>
          <w:sz w:val="20"/>
          <w:szCs w:val="20"/>
          <w:color w:val="auto"/>
        </w:rPr>
      </w:pPr>
    </w:p>
    <w:p>
      <w:pPr>
        <w:ind w:left="880" w:hanging="427"/>
        <w:spacing w:after="0"/>
        <w:tabs>
          <w:tab w:leader="none" w:pos="8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in whole and not in part;</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at a price of $0.01 per warrant;</w:t>
      </w:r>
    </w:p>
    <w:p>
      <w:pPr>
        <w:spacing w:after="0" w:line="14" w:lineRule="exact"/>
        <w:rPr>
          <w:rFonts w:ascii="MS PGothic" w:cs="MS PGothic" w:eastAsia="MS PGothic" w:hAnsi="MS PGothic"/>
          <w:sz w:val="13"/>
          <w:szCs w:val="13"/>
          <w:color w:val="auto"/>
        </w:rPr>
      </w:pPr>
    </w:p>
    <w:p>
      <w:pPr>
        <w:ind w:left="880" w:hanging="427"/>
        <w:spacing w:after="0"/>
        <w:tabs>
          <w:tab w:leader="none" w:pos="8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upon a minimum of 30 days’ prior written notice of redemption (the “</w:t>
      </w:r>
      <w:r>
        <w:rPr>
          <w:rFonts w:ascii="Arial" w:cs="Arial" w:eastAsia="Arial" w:hAnsi="Arial"/>
          <w:sz w:val="17"/>
          <w:szCs w:val="17"/>
          <w:b w:val="1"/>
          <w:bCs w:val="1"/>
          <w:color w:val="auto"/>
        </w:rPr>
        <w:t>30-day redemption period</w:t>
      </w:r>
      <w:r>
        <w:rPr>
          <w:rFonts w:ascii="Arial" w:cs="Arial" w:eastAsia="Arial" w:hAnsi="Arial"/>
          <w:sz w:val="17"/>
          <w:szCs w:val="17"/>
          <w:color w:val="auto"/>
        </w:rPr>
        <w:t>”); and</w:t>
      </w:r>
    </w:p>
    <w:p>
      <w:pPr>
        <w:spacing w:after="0" w:line="23" w:lineRule="exact"/>
        <w:rPr>
          <w:rFonts w:ascii="MS PGothic" w:cs="MS PGothic" w:eastAsia="MS PGothic" w:hAnsi="MS PGothic"/>
          <w:sz w:val="13"/>
          <w:szCs w:val="13"/>
          <w:color w:val="auto"/>
        </w:rPr>
      </w:pPr>
    </w:p>
    <w:p>
      <w:pPr>
        <w:ind w:left="880" w:right="140" w:hanging="427"/>
        <w:spacing w:after="0" w:line="241" w:lineRule="auto"/>
        <w:tabs>
          <w:tab w:leader="none" w:pos="8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if, and only if, the closing price of the Class A ordinary shares equals or exceeds $18.00 per share (as adjusted for adjustments to the number of shares issuable upon exercise or the exercise price of a warrant as described under the heading “—Redemption Procedures —Anti-dilution Adjustments”) for any 20 trading days within a 30-trading day period ending three business days before we send the notice of redemption to the warrant holders.</w:t>
      </w:r>
    </w:p>
    <w:p>
      <w:pPr>
        <w:spacing w:after="0" w:line="12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If and when the warrants become redeemable by us, we may exercise our redemption right even if we are unable to register or qualify the underlying securities for sale under all applicable state securities laws.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40"/>
          </w:cols>
          <w:pgMar w:left="320" w:top="455" w:right="3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21"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i w:val="1"/>
          <w:iCs w:val="1"/>
          <w:color w:val="auto"/>
        </w:rPr>
        <w:t>Redemption of warrants when the price per Class A ordinary share equals or exceeds $10.00</w:t>
      </w:r>
      <w:r>
        <w:rPr>
          <w:rFonts w:ascii="Arial" w:cs="Arial" w:eastAsia="Arial" w:hAnsi="Arial"/>
          <w:sz w:val="17"/>
          <w:szCs w:val="17"/>
          <w:color w:val="auto"/>
        </w:rPr>
        <w:t>. Once the warrants become exercisable, we may</w:t>
      </w:r>
      <w:r>
        <w:rPr>
          <w:rFonts w:ascii="Arial" w:cs="Arial" w:eastAsia="Arial" w:hAnsi="Arial"/>
          <w:sz w:val="17"/>
          <w:szCs w:val="17"/>
          <w:i w:val="1"/>
          <w:iCs w:val="1"/>
          <w:color w:val="auto"/>
        </w:rPr>
        <w:t xml:space="preserve"> </w:t>
      </w:r>
      <w:r>
        <w:rPr>
          <w:rFonts w:ascii="Arial" w:cs="Arial" w:eastAsia="Arial" w:hAnsi="Arial"/>
          <w:sz w:val="17"/>
          <w:szCs w:val="17"/>
          <w:color w:val="auto"/>
        </w:rPr>
        <w:t>redeem the outstanding warrants (except as described herein with respect to the private placement warrants):</w:t>
      </w:r>
    </w:p>
    <w:p>
      <w:pPr>
        <w:spacing w:after="0" w:line="133" w:lineRule="exact"/>
        <w:rPr>
          <w:sz w:val="20"/>
          <w:szCs w:val="20"/>
          <w:color w:val="auto"/>
        </w:rPr>
      </w:pPr>
    </w:p>
    <w:p>
      <w:pPr>
        <w:ind w:left="880" w:hanging="427"/>
        <w:spacing w:after="0"/>
        <w:tabs>
          <w:tab w:leader="none" w:pos="8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in whole and not in part;</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at a price of $0.10 per warrant;</w:t>
      </w:r>
    </w:p>
    <w:p>
      <w:pPr>
        <w:spacing w:after="0" w:line="34" w:lineRule="exact"/>
        <w:rPr>
          <w:rFonts w:ascii="MS PGothic" w:cs="MS PGothic" w:eastAsia="MS PGothic" w:hAnsi="MS PGothic"/>
          <w:sz w:val="13"/>
          <w:szCs w:val="13"/>
          <w:color w:val="auto"/>
        </w:rPr>
      </w:pPr>
    </w:p>
    <w:p>
      <w:pPr>
        <w:ind w:left="880" w:right="20" w:hanging="427"/>
        <w:spacing w:after="0" w:line="252" w:lineRule="auto"/>
        <w:tabs>
          <w:tab w:leader="none" w:pos="8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 xml:space="preserve">upon a minimum of 30 days’ prior written notice of redemption;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holders will be able to exercise their warrants on a cashless basis prior to redemption and receive that number of shares determined by reference to the table below, based on the redemption date and the “</w:t>
      </w:r>
      <w:r>
        <w:rPr>
          <w:rFonts w:ascii="Arial" w:cs="Arial" w:eastAsia="Arial" w:hAnsi="Arial"/>
          <w:sz w:val="17"/>
          <w:szCs w:val="17"/>
          <w:b w:val="1"/>
          <w:bCs w:val="1"/>
          <w:color w:val="auto"/>
        </w:rPr>
        <w:t>fair market value</w:t>
      </w:r>
      <w:r>
        <w:rPr>
          <w:rFonts w:ascii="Arial" w:cs="Arial" w:eastAsia="Arial" w:hAnsi="Arial"/>
          <w:sz w:val="17"/>
          <w:szCs w:val="17"/>
          <w:color w:val="auto"/>
        </w:rPr>
        <w:t>” (as defined below) of our Class A ordinary shares except as otherwise described below; and</w:t>
      </w:r>
    </w:p>
    <w:p>
      <w:pPr>
        <w:spacing w:after="0" w:line="1" w:lineRule="exact"/>
        <w:rPr>
          <w:rFonts w:ascii="MS PGothic" w:cs="MS PGothic" w:eastAsia="MS PGothic" w:hAnsi="MS PGothic"/>
          <w:sz w:val="13"/>
          <w:szCs w:val="13"/>
          <w:color w:val="auto"/>
        </w:rPr>
      </w:pPr>
    </w:p>
    <w:p>
      <w:pPr>
        <w:ind w:left="880" w:right="100" w:hanging="427"/>
        <w:spacing w:after="0" w:line="241" w:lineRule="auto"/>
        <w:tabs>
          <w:tab w:leader="none" w:pos="8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if, and only if, the closing price of our Class A ordinary shares equals or exceeds $10.00 per share (as adjusted for adjustments to the number of shares issuable upon exercise or the exercise price of a warrant as described under the heading “—Redemption Procedures —Anti-dilution Adjustments”) for any 20 trading days within the 30-trading day period ending three trading days before we send the notice of redemption to the warrant holders; and</w:t>
      </w:r>
    </w:p>
    <w:p>
      <w:pPr>
        <w:spacing w:after="0" w:line="1" w:lineRule="exact"/>
        <w:rPr>
          <w:rFonts w:ascii="MS PGothic" w:cs="MS PGothic" w:eastAsia="MS PGothic" w:hAnsi="MS PGothic"/>
          <w:sz w:val="13"/>
          <w:szCs w:val="13"/>
          <w:color w:val="auto"/>
        </w:rPr>
      </w:pPr>
    </w:p>
    <w:p>
      <w:pPr>
        <w:ind w:left="880" w:right="180" w:hanging="427"/>
        <w:spacing w:after="0" w:line="242" w:lineRule="auto"/>
        <w:tabs>
          <w:tab w:leader="none" w:pos="8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Securities—Warrants—Public Warrants—Anti-dilution Adjustments”), the private placement warrants must also be concurrently called for redemption on the same terms as the outstanding public warrants, as described above.</w:t>
      </w:r>
    </w:p>
    <w:p>
      <w:pPr>
        <w:spacing w:after="0" w:line="12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Beginning on the date the notice of redemption is given and until the warrants are redeemed or exercised,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on the corresponding redemption date (assuming holders elect to exercise their warrants and such warrants are not redeemed for $0.10 per warrant), determined for these purposes based on the volume-weighted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23"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Pursuant to the warrant agreement, references above to Class A ordinary shares shall include a security other than Class A ordinary shares into which the Class A ordinary shares have been converted or for which they have been exchanged in the event we are not the surviving company in our initial business combination.</w:t>
      </w:r>
    </w:p>
    <w:p>
      <w:pPr>
        <w:spacing w:after="0" w:line="11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share prices set forth in the column headings of the table below will be adjusted as of any date on which the number of shares issuable upon exercise of a warrant or the exercise price of a warrant is adjusted as set forth under the heading “—Redemption Procedures—Anti-dilution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00"/>
          </w:cols>
          <w:pgMar w:left="320" w:top="455" w:right="37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paragraph under the heading “—Redemption Procedures—Anti-dilution Adjustments” below, the adjusted share prices in the column headings will equal the unadjusted share prices multiplied by a fraction, the numerator of which is the higher of the Market Value and the Newly Issued Price as set forth under the heading “—Redemption Procedures—Anti-dilution Adjustments” and the denominator of which is $10.00 and (b) in the case of an adjustment pursuant to the second paragraph under the heading “—Redemption Procedures—Anti-dilution Adjustments” below, the adjusted share prices in the column headings will equal the unadjusted share prices less the decrease in the exercise price of a warrant pursuant to such exercise price adjustment.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20"/>
                <w:szCs w:val="20"/>
                <w:color w:val="auto"/>
              </w:rPr>
            </w:pPr>
            <w:r>
              <w:rPr>
                <w:rFonts w:ascii="Arial" w:cs="Arial" w:eastAsia="Arial" w:hAnsi="Arial"/>
                <w:sz w:val="17"/>
                <w:szCs w:val="17"/>
                <w:b w:val="1"/>
                <w:bCs w:val="1"/>
                <w:color w:val="auto"/>
              </w:rPr>
              <w:t>REDEMPTION</w:t>
            </w: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line="192" w:lineRule="exact"/>
              <w:rPr>
                <w:sz w:val="20"/>
                <w:szCs w:val="20"/>
                <w:color w:val="auto"/>
              </w:rPr>
            </w:pPr>
            <w:r>
              <w:rPr>
                <w:rFonts w:ascii="Arial" w:cs="Arial" w:eastAsia="Arial" w:hAnsi="Arial"/>
                <w:sz w:val="17"/>
                <w:szCs w:val="17"/>
                <w:b w:val="1"/>
                <w:bCs w:val="1"/>
                <w:color w:val="auto"/>
              </w:rPr>
              <w:t>DATE (PERIOD</w:t>
            </w: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60" w:type="dxa"/>
            <w:vAlign w:val="bottom"/>
            <w:gridSpan w:val="10"/>
          </w:tcPr>
          <w:p>
            <w:pPr>
              <w:ind w:left="20"/>
              <w:spacing w:after="0" w:line="192" w:lineRule="exact"/>
              <w:rPr>
                <w:sz w:val="20"/>
                <w:szCs w:val="20"/>
                <w:color w:val="auto"/>
              </w:rPr>
            </w:pPr>
            <w:r>
              <w:rPr>
                <w:rFonts w:ascii="Arial" w:cs="Arial" w:eastAsia="Arial" w:hAnsi="Arial"/>
                <w:sz w:val="17"/>
                <w:szCs w:val="17"/>
                <w:b w:val="1"/>
                <w:bCs w:val="1"/>
                <w:color w:val="auto"/>
              </w:rPr>
              <w:t>FAIR MARKET VALUE OF CLASS A ORDINARY SHARES</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340" w:type="dxa"/>
            <w:vAlign w:val="bottom"/>
            <w:vMerge w:val="restart"/>
          </w:tcPr>
          <w:p>
            <w:pPr>
              <w:spacing w:after="0" w:line="186" w:lineRule="exact"/>
              <w:rPr>
                <w:sz w:val="20"/>
                <w:szCs w:val="20"/>
                <w:color w:val="auto"/>
              </w:rPr>
            </w:pPr>
            <w:r>
              <w:rPr>
                <w:rFonts w:ascii="Arial" w:cs="Arial" w:eastAsia="Arial" w:hAnsi="Arial"/>
                <w:sz w:val="17"/>
                <w:szCs w:val="17"/>
                <w:b w:val="1"/>
                <w:bCs w:val="1"/>
                <w:color w:val="auto"/>
                <w:w w:val="99"/>
              </w:rPr>
              <w:t>TO EXPIRATION</w:t>
            </w:r>
          </w:p>
        </w:tc>
        <w:tc>
          <w:tcPr>
            <w:tcW w:w="13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13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9"/>
              </w:rPr>
              <w:t>OF WARRANTS)</w:t>
            </w:r>
          </w:p>
        </w:tc>
        <w:tc>
          <w:tcPr>
            <w:tcW w:w="216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b w:val="1"/>
                <w:bCs w:val="1"/>
                <w:color w:val="auto"/>
              </w:rPr>
              <w:t>$10.00</w:t>
            </w:r>
          </w:p>
        </w:tc>
        <w:tc>
          <w:tcPr>
            <w:tcW w:w="18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$11.00</w:t>
            </w:r>
          </w:p>
        </w:tc>
        <w:tc>
          <w:tcPr>
            <w:tcW w:w="18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$12.00</w:t>
            </w:r>
          </w:p>
        </w:tc>
        <w:tc>
          <w:tcPr>
            <w:tcW w:w="18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$13.00</w:t>
            </w:r>
          </w:p>
        </w:tc>
        <w:tc>
          <w:tcPr>
            <w:tcW w:w="20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$14.00</w:t>
            </w:r>
          </w:p>
        </w:tc>
        <w:tc>
          <w:tcPr>
            <w:tcW w:w="18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$15.00</w:t>
            </w:r>
          </w:p>
        </w:tc>
        <w:tc>
          <w:tcPr>
            <w:tcW w:w="20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$16.00</w:t>
            </w:r>
          </w:p>
        </w:tc>
        <w:tc>
          <w:tcPr>
            <w:tcW w:w="200" w:type="dxa"/>
            <w:vAlign w:val="bottom"/>
          </w:tcPr>
          <w:p>
            <w:pPr>
              <w:spacing w:after="0"/>
              <w:rPr>
                <w:sz w:val="20"/>
                <w:szCs w:val="20"/>
                <w:color w:val="auto"/>
              </w:rPr>
            </w:pPr>
          </w:p>
        </w:tc>
        <w:tc>
          <w:tcPr>
            <w:tcW w:w="780" w:type="dxa"/>
            <w:vAlign w:val="bottom"/>
          </w:tcPr>
          <w:p>
            <w:pPr>
              <w:jc w:val="right"/>
              <w:ind w:right="95"/>
              <w:spacing w:after="0"/>
              <w:rPr>
                <w:sz w:val="20"/>
                <w:szCs w:val="20"/>
                <w:color w:val="auto"/>
              </w:rPr>
            </w:pPr>
            <w:r>
              <w:rPr>
                <w:rFonts w:ascii="Arial" w:cs="Arial" w:eastAsia="Arial" w:hAnsi="Arial"/>
                <w:sz w:val="14"/>
                <w:szCs w:val="14"/>
                <w:b w:val="1"/>
                <w:bCs w:val="1"/>
                <w:color w:val="auto"/>
              </w:rPr>
              <w:t>$17.00</w:t>
            </w:r>
          </w:p>
        </w:tc>
        <w:tc>
          <w:tcPr>
            <w:tcW w:w="180" w:type="dxa"/>
            <w:vAlign w:val="bottom"/>
          </w:tcPr>
          <w:p>
            <w:pPr>
              <w:spacing w:after="0"/>
              <w:rPr>
                <w:sz w:val="20"/>
                <w:szCs w:val="20"/>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³</w:t>
            </w:r>
            <w:r>
              <w:rPr>
                <w:rFonts w:ascii="Arial" w:cs="Arial" w:eastAsia="Arial" w:hAnsi="Arial"/>
                <w:sz w:val="14"/>
                <w:szCs w:val="14"/>
                <w:b w:val="1"/>
                <w:bCs w:val="1"/>
                <w:color w:val="auto"/>
              </w:rPr>
              <w:t>$18.00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3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60 months</w:t>
            </w:r>
          </w:p>
        </w:tc>
        <w:tc>
          <w:tcPr>
            <w:tcW w:w="13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0.261</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0.281</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0.297</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0.311</w:t>
            </w: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0.324</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340"/>
              <w:spacing w:after="0" w:line="176" w:lineRule="exact"/>
              <w:rPr>
                <w:sz w:val="20"/>
                <w:szCs w:val="20"/>
                <w:color w:val="auto"/>
              </w:rPr>
            </w:pPr>
            <w:r>
              <w:rPr>
                <w:rFonts w:ascii="Arial" w:cs="Arial" w:eastAsia="Arial" w:hAnsi="Arial"/>
                <w:sz w:val="17"/>
                <w:szCs w:val="17"/>
                <w:color w:val="auto"/>
                <w:w w:val="93"/>
              </w:rPr>
              <w:t>0.337</w:t>
            </w: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340"/>
              <w:spacing w:after="0" w:line="176" w:lineRule="exact"/>
              <w:rPr>
                <w:sz w:val="20"/>
                <w:szCs w:val="20"/>
                <w:color w:val="auto"/>
              </w:rPr>
            </w:pPr>
            <w:r>
              <w:rPr>
                <w:rFonts w:ascii="Arial" w:cs="Arial" w:eastAsia="Arial" w:hAnsi="Arial"/>
                <w:sz w:val="17"/>
                <w:szCs w:val="17"/>
                <w:color w:val="auto"/>
                <w:w w:val="93"/>
              </w:rPr>
              <w:t>0.348</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0.358</w:t>
            </w:r>
          </w:p>
        </w:tc>
        <w:tc>
          <w:tcPr>
            <w:tcW w:w="1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0.361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57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0.257</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0.277</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0.294</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0.310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0.324</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0.337</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0.348</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0.358</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54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0.272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0.291</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0.307</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0.322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0.335</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0.347</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0.357</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51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0.246</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0.268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0.287</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0.304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0.320</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0.333</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0.346</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0.357</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48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0.241</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0.263</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0.283</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0.301</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0.317</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0.344</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0.356</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45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0.235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0.258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0.279</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0.298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0.315</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0.330</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0.343</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0.356</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42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0.228</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0.274</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0.294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0.312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0.328</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0.342</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0.355</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39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0.221</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0.246</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0.269</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0.290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0.309</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0.325</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0.340</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0.354</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36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0.213</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0.239</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0.263</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0.285</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0.305</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0.323</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0.339</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0.353</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33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0.205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0.232</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0.257</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0.280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0.301</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0.320</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0.337</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0.352</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30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0.196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0.224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0.250</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0.274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0.297</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0.316</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0.335</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0.351</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27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0.185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0.214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0.242</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0.268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0.291</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0.313</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0.332</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0.350</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24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0.173</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0.204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0.233</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0.260</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0.285</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0.308</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0.329</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0.348</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21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0.161</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0.193</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0.223</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0.252</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0.279</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0.304</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0.326</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0.347</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18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0.146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0.179</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0.211</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0.242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0.271</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0.298</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0.322</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0.345</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15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0.130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0.164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0.197</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0.230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0.262</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0.291</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0.317</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0.342</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12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0.111</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0.146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0.181</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0.216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0.250</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0.282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0.312</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0.339</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9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0.090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0.125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0.162</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0.199</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0.237</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0.272</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0.305</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0.336</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6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0.065</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0.099</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0.137</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0.178</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0.219</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0.259</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0.296</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0.331</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3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0.034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0.065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0.104</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0.150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0.197</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0.243</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0.286</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0.326</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0 months</w:t>
            </w:r>
          </w:p>
        </w:tc>
        <w:tc>
          <w:tcPr>
            <w:tcW w:w="1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0.042</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0.115</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0.179</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0.233</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0.281</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0.323</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 For an example where the exact fair market value and redemption date are not as set forth in the table above, if the volume-weighted average price of our Class A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on a cashless basis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spacing w:after="0" w:line="12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This redemption feature differs from the typical warrant redemption features used in many other blank check company offerings, which typically only provide for a redemption of warrants for cash (other than the private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40"/>
          </w:cols>
          <w:pgMar w:left="320" w:top="455" w:right="3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placement warrants) when the trading price for the Class A ordinary shares exceeds $18.00 per share for a specified period of time. This redemption feature is structured to allow for all of the outstanding warrants to be redeemed when the Class A ordinary shares are trading at or above $10.00 per public share, which may be at a time when the trading price of our Class A ordinary shares is below the exercise price of the warrants. We have established this redemption feature to provide us with the flexibility to redeem the warrants without the warrants having to reach the $18.00 per share threshold set forth above under “—Redemption of warrants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23" w:lineRule="exact"/>
        <w:rPr>
          <w:sz w:val="20"/>
          <w:szCs w:val="20"/>
          <w:color w:val="auto"/>
        </w:rPr>
      </w:pPr>
    </w:p>
    <w:p>
      <w:pPr>
        <w:ind w:right="40"/>
        <w:spacing w:after="0"/>
        <w:rPr>
          <w:sz w:val="20"/>
          <w:szCs w:val="20"/>
          <w:color w:val="auto"/>
        </w:rPr>
      </w:pPr>
      <w:r>
        <w:rPr>
          <w:rFonts w:ascii="Arial" w:cs="Arial" w:eastAsia="Arial" w:hAnsi="Arial"/>
          <w:sz w:val="17"/>
          <w:szCs w:val="17"/>
          <w:color w:val="auto"/>
        </w:rPr>
        <w:t>No fractional Class A ordinary shares will be issued upon exercise. If, upon exercise, a holder would be entitled to receive a fractional interest in a share, we will round down to the nearest whole number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 procedures.</w:t>
      </w:r>
    </w:p>
    <w:p>
      <w:pPr>
        <w:spacing w:after="0" w:line="33"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ordinary shares outstanding immediately after giving effect to such exercise.</w:t>
      </w:r>
    </w:p>
    <w:p>
      <w:pPr>
        <w:spacing w:after="0" w:line="11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i w:val="1"/>
          <w:iCs w:val="1"/>
          <w:color w:val="auto"/>
        </w:rPr>
        <w:t xml:space="preserve">Anti-dilution Adjustments. </w:t>
      </w:r>
      <w:r>
        <w:rPr>
          <w:rFonts w:ascii="Arial" w:cs="Arial" w:eastAsia="Arial" w:hAnsi="Arial"/>
          <w:sz w:val="17"/>
          <w:szCs w:val="17"/>
          <w:color w:val="auto"/>
        </w:rPr>
        <w:t>If the number of outstanding Class A ordinary shares is increased by a share capitalization payable in Class A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w:t>
      </w:r>
    </w:p>
    <w:p>
      <w:pPr>
        <w:spacing w:after="0" w:line="2" w:lineRule="exact"/>
        <w:rPr>
          <w:sz w:val="20"/>
          <w:szCs w:val="20"/>
          <w:color w:val="auto"/>
        </w:rPr>
      </w:pPr>
    </w:p>
    <w:p>
      <w:pPr>
        <w:ind w:right="20" w:firstLine="8"/>
        <w:spacing w:after="0" w:line="236" w:lineRule="auto"/>
        <w:tabs>
          <w:tab w:leader="none" w:pos="199"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20"/>
          </w:cols>
          <w:pgMar w:left="320" w:top="455" w:right="3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reported during the ten (10) trading day period ending on the trading day prior to the first date on which the Class A ordinary shares trade on the applicable exchange or in the applicable market, regular way, without the right to receive such rights.</w:t>
      </w:r>
    </w:p>
    <w:p>
      <w:pPr>
        <w:spacing w:after="0" w:line="9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all or substantially all the holders of Class A ordinary shares on account of such Class A ordinary shares (or other securities into which the warrants are convertible), other than (a) as described above, (b) certain ordinary cash dividends, (c) to satisfy the redemption rights of the holders of Class A ordinary shares in connection with a proposed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22"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If the number of outstanding Class A ordinary shares is decreased by a consolidation, combination, reverse share sub-division or reclassification of Class A ordinary shares or other similar event, then, on the effective date of such consolidation, combination, reverse share sub-division, reclassification or similar event, the number of Class A ordinary shares issuable on exercise of each warrant will be decreased in proportion to such decrease in outstanding Class A ordinary shares.</w:t>
      </w:r>
    </w:p>
    <w:p>
      <w:pPr>
        <w:spacing w:after="0" w:line="117"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addition, if (x) we issue additional Class A ordinary shares or equity-linked securities for capital raising purposes in connection with the closing of our initial business combination at a Newly Issued Price of less than $9.20 per Class A ordinary share,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of our Class A ordinary shares is below $9.20 per share, then the exercise price of the warrants will be adjusted (to the nearest cent) to be equal to 115% of the higher of the Market Value and the Newly Issued Price, the $18.00 per share redemption trigger prices described above under “Description of Securities—Warrants— Public Warrants—Redemption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above under “Description of Securities—Warrants— Public Warrants—Redemption of warrants when the price per Class A ordinary share equals or exceeds $10.00” will be adjusted (to the nearest cent) to be equal to the higher of the Market Value and the Newly Issued Price.</w:t>
      </w:r>
    </w:p>
    <w:p>
      <w:pPr>
        <w:spacing w:after="0" w:line="12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40"/>
          </w:cols>
          <w:pgMar w:left="320" w:top="455" w:right="3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17"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for the purpose of</w:t>
      </w:r>
    </w:p>
    <w:p>
      <w:pPr>
        <w:spacing w:after="0" w:line="1" w:lineRule="exact"/>
        <w:rPr>
          <w:sz w:val="20"/>
          <w:szCs w:val="20"/>
          <w:color w:val="auto"/>
        </w:rPr>
      </w:pPr>
    </w:p>
    <w:p>
      <w:pPr>
        <w:ind w:right="40" w:firstLine="8"/>
        <w:spacing w:after="0" w:line="234" w:lineRule="auto"/>
        <w:tabs>
          <w:tab w:leader="none" w:pos="199"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curing any ambiguity or to correct any defective provision or mistake, including to conform the provisions of the warrant agreement to the description of the terms of the warrants and the warrant agreement set forth in this prospectus,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approval by the holders of at least 50% of the then-outstanding public warrants is required to make any change that adversely affects the interests of the registered holders of public warrants, and, solely with respect to any amendment to the terms of the private placement warrants, 50% of the then outstanding private placement warrants. You should review a copy of the warrant agreement, which will be filed as an exhibit to the registration statement of which this prospectus is a part, for a complete description of the terms and conditions applicable to the warrants.</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Warrants</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private placement warrants (including the Class A ordinary shares issuable upon exercise of such warrants) will not be transferable, assignable or salable until 30 days after the completion of our initial business combination (except, among other limited exceptions as described under “Principal Shareholders—Transfers of Founder Shares and Private Placement Warrants,” to our officers and directors and other persons or entities affiliated with our sponsor) and they will not be redeemable by us so long as they are held by our sponsor, members of our sponsor or their permitted transferees, except as described above under “</w:t>
      </w:r>
      <w:r>
        <w:rPr>
          <w:rFonts w:ascii="Arial" w:cs="Arial" w:eastAsia="Arial" w:hAnsi="Arial"/>
          <w:sz w:val="17"/>
          <w:szCs w:val="17"/>
          <w:i w:val="1"/>
          <w:iCs w:val="1"/>
          <w:color w:val="auto"/>
        </w:rPr>
        <w:t>—Warrants—Public Warrants—Redemption of warrants when the price per Class A ordinary share</w:t>
      </w:r>
      <w:r>
        <w:rPr>
          <w:rFonts w:ascii="Arial" w:cs="Arial" w:eastAsia="Arial" w:hAnsi="Arial"/>
          <w:sz w:val="17"/>
          <w:szCs w:val="17"/>
          <w:color w:val="auto"/>
        </w:rPr>
        <w:t xml:space="preserve"> </w:t>
      </w:r>
      <w:r>
        <w:rPr>
          <w:rFonts w:ascii="Arial" w:cs="Arial" w:eastAsia="Arial" w:hAnsi="Arial"/>
          <w:sz w:val="17"/>
          <w:szCs w:val="17"/>
          <w:i w:val="1"/>
          <w:iCs w:val="1"/>
          <w:color w:val="auto"/>
        </w:rPr>
        <w:t>equals or exceeds $10.00</w:t>
      </w:r>
      <w:r>
        <w:rPr>
          <w:rFonts w:ascii="Arial" w:cs="Arial" w:eastAsia="Arial" w:hAnsi="Arial"/>
          <w:sz w:val="17"/>
          <w:szCs w:val="17"/>
          <w:color w:val="auto"/>
        </w:rPr>
        <w:t>”. The sponsor or its permitted transferees, have the option to exercise the private placement warrants on a cashless</w:t>
      </w:r>
      <w:r>
        <w:rPr>
          <w:rFonts w:ascii="Arial" w:cs="Arial" w:eastAsia="Arial" w:hAnsi="Arial"/>
          <w:sz w:val="17"/>
          <w:szCs w:val="17"/>
          <w:i w:val="1"/>
          <w:iCs w:val="1"/>
          <w:color w:val="auto"/>
        </w:rPr>
        <w:t xml:space="preserve"> </w:t>
      </w:r>
      <w:r>
        <w:rPr>
          <w:rFonts w:ascii="Arial" w:cs="Arial" w:eastAsia="Arial" w:hAnsi="Arial"/>
          <w:sz w:val="17"/>
          <w:szCs w:val="17"/>
          <w:color w:val="auto"/>
        </w:rPr>
        <w:t>basis. Except as described below, the private placement warrants have terms and provisions that are identical to those of the warrants being sold as part of the units in this offering. If the private placement warrants are held by holders other than the sponsor or its permitted transferees, the private placement warrants will be redeemable by us and exercisable by the holders on the same basis as the warrants included in the units being sold in this offering.</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Except as described above under “</w:t>
      </w:r>
      <w:r>
        <w:rPr>
          <w:rFonts w:ascii="Arial" w:cs="Arial" w:eastAsia="Arial" w:hAnsi="Arial"/>
          <w:sz w:val="17"/>
          <w:szCs w:val="17"/>
          <w:i w:val="1"/>
          <w:iCs w:val="1"/>
          <w:color w:val="auto"/>
        </w:rPr>
        <w:t>—Warrants—Public Warrants—Redemption of warrants when the price per Class A ordinary share equals or</w:t>
      </w:r>
      <w:r>
        <w:rPr>
          <w:rFonts w:ascii="Arial" w:cs="Arial" w:eastAsia="Arial" w:hAnsi="Arial"/>
          <w:sz w:val="17"/>
          <w:szCs w:val="17"/>
          <w:color w:val="auto"/>
        </w:rPr>
        <w:t xml:space="preserve"> </w:t>
      </w:r>
      <w:r>
        <w:rPr>
          <w:rFonts w:ascii="Arial" w:cs="Arial" w:eastAsia="Arial" w:hAnsi="Arial"/>
          <w:sz w:val="17"/>
          <w:szCs w:val="17"/>
          <w:i w:val="1"/>
          <w:iCs w:val="1"/>
          <w:color w:val="auto"/>
        </w:rPr>
        <w:t>exceeds $10.00,</w:t>
      </w:r>
      <w:r>
        <w:rPr>
          <w:rFonts w:ascii="Arial" w:cs="Arial" w:eastAsia="Arial" w:hAnsi="Arial"/>
          <w:sz w:val="17"/>
          <w:szCs w:val="17"/>
          <w:color w:val="auto"/>
        </w:rPr>
        <w:t>” if holders of the private placement warrants elect to exercise them on a cashless basis, they would pay the exercise price by</w:t>
      </w:r>
      <w:r>
        <w:rPr>
          <w:rFonts w:ascii="Arial" w:cs="Arial" w:eastAsia="Arial" w:hAnsi="Arial"/>
          <w:sz w:val="17"/>
          <w:szCs w:val="17"/>
          <w:i w:val="1"/>
          <w:iCs w:val="1"/>
          <w:color w:val="auto"/>
        </w:rPr>
        <w:t xml:space="preserve"> </w:t>
      </w:r>
      <w:r>
        <w:rPr>
          <w:rFonts w:ascii="Arial" w:cs="Arial" w:eastAsia="Arial" w:hAnsi="Arial"/>
          <w:sz w:val="17"/>
          <w:szCs w:val="17"/>
          <w:color w:val="auto"/>
        </w:rPr>
        <w:t>surrendering his, her or its warrants for that number of Class A ordinary shares equal to the quotient obtained by dividing (x) the product of the number of Class A ordinary shares underlying the warrants, multiplied by the excess of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(defined below) over the exercise price of the warrants by (y) the fair market value. The “</w:t>
      </w:r>
      <w:r>
        <w:rPr>
          <w:rFonts w:ascii="Arial" w:cs="Arial" w:eastAsia="Arial" w:hAnsi="Arial"/>
          <w:sz w:val="17"/>
          <w:szCs w:val="17"/>
          <w:b w:val="1"/>
          <w:bCs w:val="1"/>
          <w:color w:val="auto"/>
        </w:rPr>
        <w:t>fair market value</w:t>
      </w:r>
      <w:r>
        <w:rPr>
          <w:rFonts w:ascii="Arial" w:cs="Arial" w:eastAsia="Arial" w:hAnsi="Arial"/>
          <w:sz w:val="17"/>
          <w:szCs w:val="17"/>
          <w:color w:val="auto"/>
        </w:rPr>
        <w:t>” will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the sponsor or its permitted transferees is because it is not known at this time whether they will be affiliated with us following a business combination. If they remain affiliated with us, their ability to sell our securities in the open market will be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40"/>
          </w:cols>
          <w:pgMar w:left="320" w:top="455" w:right="3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73"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the size of this offering, then we will effect a share capitalization or a share repurchase or redemption or other appropriate mechanism, as applicable, with respect to our founder shares immediately prior to the consummation of the offering in such amount as to maintain the number of founder shares at 20.0% of our issued and outstanding ordinary shares upon the consummation of this offering. Further, if we incur any indebtedness, our ability to declare dividends may be limited by restrictive covenants we may agree to in connection therewith.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6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Differences in Corporate Law</w:t>
      </w:r>
    </w:p>
    <w:p>
      <w:pPr>
        <w:spacing w:after="0" w:line="60" w:lineRule="exact"/>
        <w:rPr>
          <w:sz w:val="20"/>
          <w:szCs w:val="20"/>
          <w:color w:val="auto"/>
        </w:rPr>
      </w:pPr>
    </w:p>
    <w:p>
      <w:pPr>
        <w:ind w:right="540"/>
        <w:spacing w:after="0" w:line="246" w:lineRule="auto"/>
        <w:rPr>
          <w:sz w:val="20"/>
          <w:szCs w:val="20"/>
          <w:color w:val="auto"/>
        </w:rPr>
      </w:pPr>
      <w:r>
        <w:rPr>
          <w:rFonts w:ascii="Arial" w:cs="Arial" w:eastAsia="Arial" w:hAnsi="Arial"/>
          <w:sz w:val="17"/>
          <w:szCs w:val="17"/>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 xml:space="preserve">Mergers and Similar Arrangements. </w:t>
      </w:r>
      <w:r>
        <w:rPr>
          <w:rFonts w:ascii="Arial" w:cs="Arial" w:eastAsia="Arial" w:hAnsi="Arial"/>
          <w:sz w:val="17"/>
          <w:szCs w:val="17"/>
          <w:color w:val="auto"/>
        </w:rPr>
        <w:t>In certain circumstances, the Companies Law allows for mergers or consolidations between two Cayman</w:t>
      </w:r>
      <w:r>
        <w:rPr>
          <w:rFonts w:ascii="Arial" w:cs="Arial" w:eastAsia="Arial" w:hAnsi="Arial"/>
          <w:sz w:val="17"/>
          <w:szCs w:val="17"/>
          <w:i w:val="1"/>
          <w:iCs w:val="1"/>
          <w:color w:val="auto"/>
        </w:rPr>
        <w:t xml:space="preserve"> </w:t>
      </w:r>
      <w:r>
        <w:rPr>
          <w:rFonts w:ascii="Arial" w:cs="Arial" w:eastAsia="Arial" w:hAnsi="Arial"/>
          <w:sz w:val="17"/>
          <w:szCs w:val="17"/>
          <w:color w:val="auto"/>
        </w:rPr>
        <w:t>Islands companies, or between a Cayman Islands exempted company and a company incorporated in another jurisdiction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is facilitated by the laws of that other jurisdiction).</w:t>
      </w:r>
    </w:p>
    <w:p>
      <w:pPr>
        <w:spacing w:after="0" w:line="111"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 xml:space="preserve">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 </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in value of the voting shares voted at a general meeting) of the shareholders of each company; or</w:t>
      </w:r>
    </w:p>
    <w:p>
      <w:pPr>
        <w:ind w:right="40" w:firstLine="8"/>
        <w:spacing w:after="0" w:line="236" w:lineRule="auto"/>
        <w:tabs>
          <w:tab w:leader="none" w:pos="256" w:val="left"/>
        </w:tabs>
        <w:numPr>
          <w:ilvl w:val="0"/>
          <w:numId w:val="62"/>
        </w:numPr>
        <w:rPr>
          <w:rFonts w:ascii="Arial" w:cs="Arial" w:eastAsia="Arial" w:hAnsi="Arial"/>
          <w:sz w:val="17"/>
          <w:szCs w:val="17"/>
          <w:color w:val="auto"/>
        </w:rPr>
      </w:pPr>
      <w:r>
        <w:rPr>
          <w:rFonts w:ascii="Arial" w:cs="Arial" w:eastAsia="Arial" w:hAnsi="Arial"/>
          <w:sz w:val="17"/>
          <w:szCs w:val="17"/>
          <w:color w:val="auto"/>
        </w:rPr>
        <w:t>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20"/>
          </w:cols>
          <w:pgMar w:left="320" w:top="455" w:right="3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(iv) that no scheme, order, compromise or other similar arrangement has been entered into or made in any jurisdiction whereby the rights of creditors of the foreign company are and continue to be suspended or restricted.</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 xml:space="preserve">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26"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Where the above procedures are adopted, the Companies Law provides for a right of dissenting shareholders to be paid a payment of the fair value of his shares upon their dissenting to the merger or consolidation if they follow a prescribed procedure. In essence, that procedure is as follows</w:t>
      </w:r>
    </w:p>
    <w:p>
      <w:pPr>
        <w:spacing w:after="0" w:line="1" w:lineRule="exact"/>
        <w:rPr>
          <w:sz w:val="20"/>
          <w:szCs w:val="20"/>
          <w:color w:val="auto"/>
        </w:rPr>
      </w:pPr>
    </w:p>
    <w:p>
      <w:pPr>
        <w:ind w:firstLine="8"/>
        <w:spacing w:after="0" w:line="233" w:lineRule="auto"/>
        <w:tabs>
          <w:tab w:leader="none" w:pos="25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20"/>
          </w:cols>
          <w:pgMar w:left="320" w:top="455" w:right="3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162" w:lineRule="exact"/>
        <w:rPr>
          <w:sz w:val="20"/>
          <w:szCs w:val="20"/>
          <w:color w:val="auto"/>
        </w:rPr>
      </w:pPr>
    </w:p>
    <w:p>
      <w:pPr>
        <w:ind w:left="880" w:right="120" w:hanging="427"/>
        <w:spacing w:after="0" w:line="257" w:lineRule="auto"/>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we are not proposing to act illegally or beyond the scope of our corporate authority and the statutory provisions as to majority vote have been complied with;</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shareholders have been fairly represented at the meeting in question;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arrangement is such as a businessman would reasonably approve; and</w:t>
      </w:r>
    </w:p>
    <w:p>
      <w:pPr>
        <w:spacing w:after="0" w:line="34" w:lineRule="exact"/>
        <w:rPr>
          <w:rFonts w:ascii="MS PGothic" w:cs="MS PGothic" w:eastAsia="MS PGothic" w:hAnsi="MS PGothic"/>
          <w:sz w:val="13"/>
          <w:szCs w:val="13"/>
          <w:color w:val="auto"/>
        </w:rPr>
      </w:pPr>
    </w:p>
    <w:p>
      <w:pPr>
        <w:ind w:left="880" w:right="360" w:hanging="427"/>
        <w:spacing w:after="0" w:line="273" w:lineRule="auto"/>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arrangement is not one that would more properly be sanctioned under some other provision of the Companies Law or that would amount to a “fraud on the minority.”</w:t>
      </w:r>
    </w:p>
    <w:p>
      <w:pPr>
        <w:spacing w:after="0" w:line="94"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1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color w:val="auto"/>
        </w:rPr>
        <w:t xml:space="preserve">Squeeze-out Provisions. </w:t>
      </w:r>
      <w:r>
        <w:rPr>
          <w:rFonts w:ascii="Arial" w:cs="Arial" w:eastAsia="Arial" w:hAnsi="Arial"/>
          <w:sz w:val="17"/>
          <w:szCs w:val="17"/>
          <w:color w:val="auto"/>
        </w:rPr>
        <w:t>When a takeover offer is made and accepted by holders of 90% of the shares to whom the offer relates is made within four</w:t>
      </w:r>
      <w:r>
        <w:rPr>
          <w:rFonts w:ascii="Arial" w:cs="Arial" w:eastAsia="Arial" w:hAnsi="Arial"/>
          <w:sz w:val="17"/>
          <w:szCs w:val="17"/>
          <w:i w:val="1"/>
          <w:iCs w:val="1"/>
          <w:color w:val="auto"/>
        </w:rPr>
        <w:t xml:space="preserve"> </w:t>
      </w:r>
      <w:r>
        <w:rPr>
          <w:rFonts w:ascii="Arial" w:cs="Arial" w:eastAsia="Arial" w:hAnsi="Arial"/>
          <w:sz w:val="17"/>
          <w:szCs w:val="17"/>
          <w:color w:val="auto"/>
        </w:rPr>
        <w:t>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11" w:lineRule="exact"/>
        <w:rPr>
          <w:sz w:val="20"/>
          <w:szCs w:val="20"/>
          <w:color w:val="auto"/>
        </w:rPr>
      </w:pPr>
    </w:p>
    <w:p>
      <w:pPr>
        <w:ind w:right="60"/>
        <w:spacing w:after="0"/>
        <w:rPr>
          <w:sz w:val="20"/>
          <w:szCs w:val="20"/>
          <w:color w:val="auto"/>
        </w:rPr>
      </w:pPr>
      <w:r>
        <w:rPr>
          <w:rFonts w:ascii="Arial" w:cs="Arial" w:eastAsia="Arial" w:hAnsi="Arial"/>
          <w:sz w:val="17"/>
          <w:szCs w:val="17"/>
          <w:i w:val="1"/>
          <w:iCs w:val="1"/>
          <w:color w:val="auto"/>
        </w:rPr>
        <w:t xml:space="preserve">Shareholders’ Suits. </w:t>
      </w:r>
      <w:r>
        <w:rPr>
          <w:rFonts w:ascii="Arial" w:cs="Arial" w:eastAsia="Arial" w:hAnsi="Arial"/>
          <w:sz w:val="17"/>
          <w:szCs w:val="17"/>
          <w:color w:val="auto"/>
        </w:rPr>
        <w:t>Maples and Calder, our Cayman Islands legal counsel, is not aware of any reported class action having been brought in a</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164" w:lineRule="exact"/>
        <w:rPr>
          <w:sz w:val="20"/>
          <w:szCs w:val="20"/>
          <w:color w:val="auto"/>
        </w:rPr>
      </w:pPr>
    </w:p>
    <w:p>
      <w:pPr>
        <w:ind w:left="880" w:hanging="427"/>
        <w:spacing w:after="0"/>
        <w:tabs>
          <w:tab w:leader="none" w:pos="8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a company is acting, or proposing to act, illegally or beyond the scope of its authority;</w:t>
      </w:r>
    </w:p>
    <w:p>
      <w:pPr>
        <w:spacing w:after="0" w:line="35" w:lineRule="exact"/>
        <w:rPr>
          <w:rFonts w:ascii="MS PGothic" w:cs="MS PGothic" w:eastAsia="MS PGothic" w:hAnsi="MS PGothic"/>
          <w:sz w:val="13"/>
          <w:szCs w:val="13"/>
          <w:color w:val="auto"/>
        </w:rPr>
      </w:pPr>
    </w:p>
    <w:p>
      <w:pPr>
        <w:ind w:left="880" w:right="240" w:hanging="427"/>
        <w:spacing w:after="0" w:line="256" w:lineRule="auto"/>
        <w:tabs>
          <w:tab w:leader="none" w:pos="8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the act complained of, although not beyond the scope of the authority, could be effected if duly authorized by more than the number of votes which have actually been obtained; or</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those who control the company are perpetrating a “fraud on the minority.”</w:t>
      </w:r>
    </w:p>
    <w:p>
      <w:pPr>
        <w:spacing w:after="0" w:line="154"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A shareholder may have a direct right of action against us where the individual rights of that shareholder have been infringed or are about to be infringed.</w:t>
      </w:r>
    </w:p>
    <w:p>
      <w:pPr>
        <w:spacing w:after="0" w:line="92"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i w:val="1"/>
          <w:iCs w:val="1"/>
          <w:color w:val="auto"/>
        </w:rPr>
        <w:t xml:space="preserve">Enforcement of Civil Liabilities. </w:t>
      </w:r>
      <w:r>
        <w:rPr>
          <w:rFonts w:ascii="Arial" w:cs="Arial" w:eastAsia="Arial" w:hAnsi="Arial"/>
          <w:sz w:val="17"/>
          <w:szCs w:val="17"/>
          <w:color w:val="auto"/>
        </w:rPr>
        <w:t>The Cayman Islands has a different body of securities laws as compared to the United States and provides less</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to investors. Additionally, Cayman Islands companies may not have standing to sue before the Federal courts of the United States.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20"/>
          </w:cols>
          <w:pgMar w:left="320" w:top="455" w:right="3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23"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i w:val="1"/>
          <w:iCs w:val="1"/>
          <w:color w:val="auto"/>
        </w:rPr>
        <w:t xml:space="preserve">Special Considerations for Exempted Companies. </w:t>
      </w:r>
      <w:r>
        <w:rPr>
          <w:rFonts w:ascii="Arial" w:cs="Arial" w:eastAsia="Arial" w:hAnsi="Arial"/>
          <w:sz w:val="17"/>
          <w:szCs w:val="17"/>
          <w:color w:val="auto"/>
        </w:rPr>
        <w:t>We are an exempted company with limited liability (meaning our public shareholders have no</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w:t>
      </w:r>
    </w:p>
    <w:p>
      <w:pPr>
        <w:spacing w:after="0" w:line="162" w:lineRule="exact"/>
        <w:rPr>
          <w:sz w:val="20"/>
          <w:szCs w:val="20"/>
          <w:color w:val="auto"/>
        </w:rPr>
      </w:pPr>
    </w:p>
    <w:p>
      <w:pPr>
        <w:ind w:left="880" w:right="440" w:hanging="427"/>
        <w:spacing w:after="0" w:line="257" w:lineRule="auto"/>
        <w:tabs>
          <w:tab w:leader="none" w:pos="8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annual reporting requirements are minimal and consist mainly of a statement that the company has conducted its operations mainly outside of the Cayman Islands and has complied with the provisions of the Companies Law;</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an exempted company’s register of members is not open to inspection;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an exempted company does not have to hold an annual general meeting;</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an exempted company may issue negotiable or bearer shares or shares with no par value;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an exempted company may obtain an undertaking against the imposition of any future taxation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(such undertakings are usually given for 20 years in the first instance);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an exempted company may register by way of continuation in another jurisdiction and be deregistered in the Cayman Islands;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an exempted company may register as a limited duration company;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an exempted company may register as a segregated portfolio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73"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Business Combination Article of our amended and restated memorandum and articles of association contains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(i) at least two-thirds (or any higher threshold specified in a company’s articles of association) of a company’s shareholders at a general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provide that special resolutions must be approved either by at least two-thirds of our shareholders (i.e., the lowest threshold permissible under Cayman Islands law), or by a unanimous written resolution of all of our shareholders.</w:t>
      </w:r>
    </w:p>
    <w:p>
      <w:pPr>
        <w:spacing w:after="0" w:line="123"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Our initial shareholders, who will collectively beneficially own 20% of our ordinary shares upon the closing of this offering (assuming they do not purchase any units in this offering), will participate in any vote to amend our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40"/>
          </w:cols>
          <w:pgMar w:left="320" w:top="455" w:right="3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amended and restated memorandum and articles of association and will have the discretion to vote in any manner they choose. Specifically, our amended and restated memorandum and articles of association provide, among other things, that:</w:t>
      </w:r>
    </w:p>
    <w:p>
      <w:pPr>
        <w:spacing w:after="0" w:line="133" w:lineRule="exact"/>
        <w:rPr>
          <w:sz w:val="20"/>
          <w:szCs w:val="20"/>
          <w:color w:val="auto"/>
        </w:rPr>
      </w:pPr>
    </w:p>
    <w:p>
      <w:pPr>
        <w:ind w:left="880" w:right="180" w:hanging="427"/>
        <w:spacing w:after="0" w:line="237" w:lineRule="auto"/>
        <w:tabs>
          <w:tab w:leader="none" w:pos="8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5"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Prior to our initial business combination, we may not issue additional securities that would entitle the holders thereof to (i) receive funds from the trust account or (ii) vote on our initial business combination;</w:t>
      </w:r>
    </w:p>
    <w:p>
      <w:pPr>
        <w:spacing w:after="0" w:line="1" w:lineRule="exact"/>
        <w:rPr>
          <w:rFonts w:ascii="MS PGothic" w:cs="MS PGothic" w:eastAsia="MS PGothic" w:hAnsi="MS PGothic"/>
          <w:sz w:val="13"/>
          <w:szCs w:val="13"/>
          <w:color w:val="auto"/>
        </w:rPr>
      </w:pPr>
    </w:p>
    <w:p>
      <w:pPr>
        <w:ind w:left="880" w:right="180" w:hanging="427"/>
        <w:spacing w:after="0" w:line="244" w:lineRule="auto"/>
        <w:tabs>
          <w:tab w:leader="none" w:pos="8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Although we do not intend to enter into a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which is a member of FINRA or a valuation or appraisal firm that such a business combination is fair to our company from a financial point of view;</w:t>
      </w:r>
    </w:p>
    <w:p>
      <w:pPr>
        <w:spacing w:after="0" w:line="1" w:lineRule="exact"/>
        <w:rPr>
          <w:rFonts w:ascii="MS PGothic" w:cs="MS PGothic" w:eastAsia="MS PGothic" w:hAnsi="MS PGothic"/>
          <w:sz w:val="13"/>
          <w:szCs w:val="13"/>
          <w:color w:val="auto"/>
        </w:rPr>
      </w:pPr>
    </w:p>
    <w:p>
      <w:pPr>
        <w:ind w:left="880" w:right="120" w:hanging="427"/>
        <w:spacing w:after="0" w:line="241" w:lineRule="auto"/>
        <w:tabs>
          <w:tab w:leader="none" w:pos="8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If a shareholder vote on our initial business combination is not required by law and we do not decide to hold a shareholder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4" w:lineRule="exact"/>
        <w:rPr>
          <w:rFonts w:ascii="MS PGothic" w:cs="MS PGothic" w:eastAsia="MS PGothic" w:hAnsi="MS PGothic"/>
          <w:sz w:val="13"/>
          <w:szCs w:val="13"/>
          <w:color w:val="auto"/>
        </w:rPr>
      </w:pPr>
    </w:p>
    <w:p>
      <w:pPr>
        <w:ind w:left="880" w:right="120" w:hanging="427"/>
        <w:spacing w:after="0" w:line="238" w:lineRule="auto"/>
        <w:tabs>
          <w:tab w:leader="none" w:pos="8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If our shareholders approve an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we will provide our public shareholders with the opportunity to redeem all or a portion of their Class A ordinary shares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and on the conditions described herein;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We will not effectuate our initial business combination with another blank check company or a similar company with nominal operations.</w:t>
      </w:r>
    </w:p>
    <w:p>
      <w:pPr>
        <w:spacing w:after="0" w:line="154"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In addition, our amended and restated memorandum and articles of association provide we will not redeem our public shares in an amount that would cause our net tangible assets to be less than $5,000,001.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requirement.</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Companies Law permits a company incorporated in the Cayman Islands to amend its memorandum and articles of association with the approval of a special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provides otherwise. Accordingly, although we could amend any of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240"/>
          </w:cols>
          <w:pgMar w:left="320" w:top="455" w:right="3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Anti-Money Laundering—Cayman Islands</w:t>
      </w:r>
    </w:p>
    <w:p>
      <w:pPr>
        <w:spacing w:after="0" w:line="73"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In order to comply with legislation or regulations aimed at the prevention of money laundering, we are required to adopt and maintain anti-money laundering procedures, and may require subscribers to provide evidence to verify their identity, the identity of their beneficial owners/controllers and source of funds. Where permitted, and subject to certain conditions, we may also delegate the maintenance of our anti-money laundering procedures (including the acquisition of due diligence information) to a suitable person.</w:t>
      </w:r>
    </w:p>
    <w:p>
      <w:pPr>
        <w:spacing w:after="0" w:line="117"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(2020 Revision) of the Cayman Islands, as amended and revised from time to time (the “</w:t>
      </w:r>
      <w:r>
        <w:rPr>
          <w:rFonts w:ascii="Arial" w:cs="Arial" w:eastAsia="Arial" w:hAnsi="Arial"/>
          <w:sz w:val="17"/>
          <w:szCs w:val="17"/>
          <w:b w:val="1"/>
          <w:bCs w:val="1"/>
          <w:color w:val="auto"/>
        </w:rPr>
        <w:t>Regulations</w:t>
      </w:r>
      <w:r>
        <w:rPr>
          <w:rFonts w:ascii="Arial" w:cs="Arial" w:eastAsia="Arial" w:hAnsi="Arial"/>
          <w:sz w:val="17"/>
          <w:szCs w:val="17"/>
          <w:color w:val="auto"/>
        </w:rPr>
        <w:t>”). Depending on the circumstances of each application, a detailed verification of identity might not be required where:</w:t>
      </w:r>
    </w:p>
    <w:p>
      <w:pPr>
        <w:spacing w:after="0" w:line="157" w:lineRule="exact"/>
        <w:rPr>
          <w:sz w:val="20"/>
          <w:szCs w:val="20"/>
          <w:color w:val="auto"/>
        </w:rPr>
      </w:pPr>
    </w:p>
    <w:p>
      <w:pPr>
        <w:ind w:left="900" w:right="780" w:hanging="447"/>
        <w:spacing w:after="0" w:line="257"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subscriber makes the payment for their investment from an account held in the subscriber’s name at a recognized financial institution;</w:t>
      </w:r>
    </w:p>
    <w:p>
      <w:pPr>
        <w:spacing w:after="0" w:line="1" w:lineRule="exact"/>
        <w:rPr>
          <w:rFonts w:ascii="Arial" w:cs="Arial" w:eastAsia="Arial" w:hAnsi="Arial"/>
          <w:sz w:val="17"/>
          <w:szCs w:val="17"/>
          <w:color w:val="auto"/>
        </w:rPr>
      </w:pPr>
    </w:p>
    <w:p>
      <w:pPr>
        <w:ind w:left="900" w:hanging="447"/>
        <w:spacing w:after="0" w:line="256"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subscriber is regulated by a recognized regulatory authority and is based or incorporated in, or formed under the law of, a recognized jurisdiction; or</w:t>
      </w:r>
    </w:p>
    <w:p>
      <w:pPr>
        <w:spacing w:after="0" w:line="1" w:lineRule="exact"/>
        <w:rPr>
          <w:rFonts w:ascii="Arial" w:cs="Arial" w:eastAsia="Arial" w:hAnsi="Arial"/>
          <w:sz w:val="17"/>
          <w:szCs w:val="17"/>
          <w:color w:val="auto"/>
        </w:rPr>
      </w:pPr>
    </w:p>
    <w:p>
      <w:pPr>
        <w:ind w:left="900" w:right="140" w:hanging="447"/>
        <w:spacing w:after="0" w:line="252"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12"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1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9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also reserve the right to refuse to make any payment to a shareholder if our directors or officers suspect or are advised that the payment to such shareholder may be non-compliant with applicable anti-money laundering or other laws or regulations, or if such refusal is considered necessary or appropriate to ensure our compliance with any such laws or regulations in any applicable jurisdiction.</w:t>
      </w:r>
    </w:p>
    <w:p>
      <w:pPr>
        <w:spacing w:after="0" w:line="11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(2020 Revision) of the Cayman Islands if the disclosure relates to criminal conduct or money laundering, or (ii) a police officer of the rank of constable or higher, or the Financial Reporting Authority, pursuant to the Terrorism Law (2018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Data Protection</w:t>
      </w:r>
    </w:p>
    <w:p>
      <w:pPr>
        <w:spacing w:after="0" w:line="58"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We have certain duties under the Data Protection Law, 2017 of the Cayman Islands (the “</w:t>
      </w:r>
      <w:r>
        <w:rPr>
          <w:rFonts w:ascii="Arial" w:cs="Arial" w:eastAsia="Arial" w:hAnsi="Arial"/>
          <w:sz w:val="17"/>
          <w:szCs w:val="17"/>
          <w:b w:val="1"/>
          <w:bCs w:val="1"/>
          <w:color w:val="auto"/>
        </w:rPr>
        <w:t>DPL</w:t>
      </w:r>
      <w:r>
        <w:rPr>
          <w:rFonts w:ascii="Arial" w:cs="Arial" w:eastAsia="Arial" w:hAnsi="Arial"/>
          <w:sz w:val="17"/>
          <w:szCs w:val="17"/>
          <w:color w:val="auto"/>
        </w:rPr>
        <w:t>”) based on internationally accepted principles of data privacy.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220"/>
          </w:cols>
          <w:pgMar w:left="320" w:top="455" w:right="3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Notice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6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This privacy notice puts our shareholders on notice that through your investment in the company you will provide us with certain personal information which constitutes personal data within the meaning of the DPL (“</w:t>
      </w:r>
      <w:r>
        <w:rPr>
          <w:rFonts w:ascii="Arial" w:cs="Arial" w:eastAsia="Arial" w:hAnsi="Arial"/>
          <w:sz w:val="17"/>
          <w:szCs w:val="17"/>
          <w:b w:val="1"/>
          <w:bCs w:val="1"/>
          <w:color w:val="auto"/>
        </w:rPr>
        <w:t>personal data</w:t>
      </w:r>
      <w:r>
        <w:rPr>
          <w:rFonts w:ascii="Arial" w:cs="Arial" w:eastAsia="Arial" w:hAnsi="Arial"/>
          <w:sz w:val="17"/>
          <w:szCs w:val="17"/>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 the following discussion, the “</w:t>
      </w:r>
      <w:r>
        <w:rPr>
          <w:rFonts w:ascii="Arial" w:cs="Arial" w:eastAsia="Arial" w:hAnsi="Arial"/>
          <w:sz w:val="17"/>
          <w:szCs w:val="17"/>
          <w:b w:val="1"/>
          <w:bCs w:val="1"/>
          <w:color w:val="auto"/>
        </w:rPr>
        <w:t>company</w:t>
      </w:r>
      <w:r>
        <w:rPr>
          <w:rFonts w:ascii="Arial" w:cs="Arial" w:eastAsia="Arial" w:hAnsi="Arial"/>
          <w:sz w:val="17"/>
          <w:szCs w:val="17"/>
          <w:color w:val="auto"/>
        </w:rPr>
        <w:t>” refers to us and our affiliates and/or delegates, except where the context requires otherwise.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Data</w:t>
      </w:r>
    </w:p>
    <w:p>
      <w:pPr>
        <w:spacing w:after="0" w:line="60"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2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11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this Affects</w:t>
      </w:r>
    </w:p>
    <w:p>
      <w:pPr>
        <w:spacing w:after="0" w:line="7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Company May Use Your Personal Data</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company, as the data controller, may collect, store and use personal data for lawful purposes, including, in particular:</w:t>
      </w:r>
    </w:p>
    <w:p>
      <w:pPr>
        <w:spacing w:after="0" w:line="196" w:lineRule="exact"/>
        <w:rPr>
          <w:sz w:val="20"/>
          <w:szCs w:val="20"/>
          <w:color w:val="auto"/>
        </w:rPr>
      </w:pPr>
    </w:p>
    <w:p>
      <w:pPr>
        <w:ind w:left="900" w:hanging="447"/>
        <w:spacing w:after="0"/>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where this is necessary for the performance of our rights and obligations under any purchase agreements;</w:t>
      </w:r>
    </w:p>
    <w:p>
      <w:pPr>
        <w:spacing w:after="0" w:line="35" w:lineRule="exact"/>
        <w:rPr>
          <w:rFonts w:ascii="Arial" w:cs="Arial" w:eastAsia="Arial" w:hAnsi="Arial"/>
          <w:sz w:val="17"/>
          <w:szCs w:val="17"/>
          <w:color w:val="auto"/>
        </w:rPr>
      </w:pPr>
    </w:p>
    <w:p>
      <w:pPr>
        <w:ind w:left="900" w:right="420" w:hanging="447"/>
        <w:spacing w:after="0" w:line="25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where this is necessary for compliance with a legal and regulatory obligation to which we are subject (such as compliance with anti-money laundering and FATCA/CRS requirements); and/or</w:t>
      </w:r>
    </w:p>
    <w:p>
      <w:pPr>
        <w:spacing w:after="0" w:line="1" w:lineRule="exact"/>
        <w:rPr>
          <w:rFonts w:ascii="Arial" w:cs="Arial" w:eastAsia="Arial" w:hAnsi="Arial"/>
          <w:sz w:val="17"/>
          <w:szCs w:val="17"/>
          <w:color w:val="auto"/>
        </w:rPr>
      </w:pPr>
    </w:p>
    <w:p>
      <w:pPr>
        <w:ind w:left="900" w:right="120" w:hanging="447"/>
        <w:spacing w:after="0" w:line="273"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where this is necessary for the purposes of our legitimate interests and such interests are not overridden by your interests, fundamental rights or freedoms.</w:t>
      </w:r>
    </w:p>
    <w:p>
      <w:pPr>
        <w:spacing w:after="0" w:line="94"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Should we wish to use personal data for other specific purposes (including, if applicable, any purpose that requires your consent), we will contact you.</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 May Transfer Your Personal Data</w:t>
      </w:r>
    </w:p>
    <w:p>
      <w:pPr>
        <w:spacing w:after="0" w:line="60"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40"/>
          </w:cols>
          <w:pgMar w:left="320" w:top="455" w:right="3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We anticipates disclosing personal data to persons who provide services to us and their respective affiliates (which may include certain entities located outside the US, the Cayman Islands or the European Economic Area), who will process your personal data on our behalf.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Data Protection Measures We Take</w:t>
      </w:r>
    </w:p>
    <w:p>
      <w:pPr>
        <w:spacing w:after="0" w:line="7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Any transfer of personal data by us or our duly authorized affiliates and/or delegates outside of the Cayman Islands shall be in accordance with the requirements of the DPL.</w:t>
      </w:r>
    </w:p>
    <w:p>
      <w:pPr>
        <w:spacing w:after="0" w:line="92"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9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shall notify you of any personal data breach that is reasonably likely to result in a risk to your interests, fundamental rights or freedoms or those data subjects to whom the relevant personal data relates.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6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Our amended and restated memorandum and articles of association provide that our board of directors will be classified into three classes of directors. As a result, in most circumstances, a person can gain control of our board only by successfully engaging in a proxy contest at two or more annual general meetings.</w:t>
      </w:r>
    </w:p>
    <w:p>
      <w:pPr>
        <w:spacing w:after="0" w:line="11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authorized but unissued Class A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preferred shares could render more difficult or discourage an attempt to obtain control of us by means of a proxy contest, tender offer, merger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4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Immediately after this offering we will have 20,000,000 (or 23,000,000 if the underwriters’ over-allotment option is exercised in full) ordinary shares outstanding. Of these shares, the Class A ordinary shares sold in this offering (20,000,000 Class A ordinary shares if the underwriters’ over-allotment option is not exercised and 23,000,000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(5,000,000 founder shares if the underwriters’ over-allotment option is not exercised and 5,750,000 founder shares if the underwriters’ over-allotment option is exercised in full) and all of the outstanding private placement warrants (6,000,000 warrants if the underwriters’ over-allotment option is not exercised and 6,600,000 warrants if the underwriters’ over-allotment option is exercised in full) will be restricted securities under Rule 144, in that they were issued in private transactions not involving a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6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 xml:space="preserve">Pursuant to Rule 144, a person who has beneficially owned restricted shares or warrants for at least six months would be entitled to sell their securities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51" w:lineRule="exact"/>
        <w:rPr>
          <w:sz w:val="20"/>
          <w:szCs w:val="20"/>
          <w:color w:val="auto"/>
        </w:rPr>
      </w:pPr>
    </w:p>
    <w:p>
      <w:pPr>
        <w:ind w:left="880" w:right="80" w:hanging="427"/>
        <w:spacing w:after="0" w:line="275" w:lineRule="auto"/>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1% of the total number of ordinary shares then outstanding, which will equal 200,000 shares immediately after this offering (or 230,000 if the underwriters exercise in full their over-allotment option); or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40"/>
          </w:cols>
          <w:pgMar w:left="320" w:top="455" w:right="3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line="275" w:lineRule="auto"/>
        <w:tabs>
          <w:tab w:leader="none" w:pos="8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average weekly reported trading volume of the Class A ordinary shares during the four calendar weeks preceding the filing of a notice on Form 144 with respect to the sale.</w:t>
      </w:r>
    </w:p>
    <w:p>
      <w:pPr>
        <w:spacing w:after="0" w:line="9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Sales by our affiliates under Rule 144 are also limited by manner of sale provisions and notice requirements and to the availability of current public information about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7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51" w:lineRule="exact"/>
        <w:rPr>
          <w:sz w:val="20"/>
          <w:szCs w:val="20"/>
          <w:color w:val="auto"/>
        </w:rPr>
      </w:pPr>
    </w:p>
    <w:p>
      <w:pPr>
        <w:ind w:left="880" w:hanging="427"/>
        <w:spacing w:after="0"/>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issuer of the securities that was formerly a shell company has ceased to be a shell company;</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issuer of the securities is subject to the reporting requirements of Section 13 or 15(d) of the Exchange Act;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issuer of the securities has filed all Exchange Act reports and material required to be filed, as applicable, during the preceding</w:t>
      </w:r>
    </w:p>
    <w:p>
      <w:pPr>
        <w:spacing w:after="0" w:line="14" w:lineRule="exact"/>
        <w:rPr>
          <w:rFonts w:ascii="MS PGothic" w:cs="MS PGothic" w:eastAsia="MS PGothic" w:hAnsi="MS PGothic"/>
          <w:sz w:val="13"/>
          <w:szCs w:val="13"/>
          <w:color w:val="auto"/>
        </w:rPr>
      </w:pPr>
    </w:p>
    <w:p>
      <w:pPr>
        <w:ind w:left="880" w:right="260"/>
        <w:spacing w:after="0" w:line="244" w:lineRule="auto"/>
        <w:rPr>
          <w:rFonts w:ascii="MS PGothic" w:cs="MS PGothic" w:eastAsia="MS PGothic" w:hAnsi="MS PGothic"/>
          <w:sz w:val="13"/>
          <w:szCs w:val="13"/>
          <w:color w:val="auto"/>
        </w:rPr>
      </w:pPr>
      <w:r>
        <w:rPr>
          <w:rFonts w:ascii="Arial" w:cs="Arial" w:eastAsia="Arial" w:hAnsi="Arial"/>
          <w:sz w:val="17"/>
          <w:szCs w:val="17"/>
          <w:color w:val="auto"/>
        </w:rPr>
        <w:t>12 months (or such shorter period that the issuer was required to file such reports and materials), other than Current Reports on Form 8-K; and</w:t>
      </w:r>
    </w:p>
    <w:p>
      <w:pPr>
        <w:ind w:left="880" w:right="100" w:hanging="427"/>
        <w:spacing w:after="0" w:line="273" w:lineRule="auto"/>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94"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As a result, our initial shareholders will be able to sell their founder shares and private placement warrants, as applicable, pursuant to Rule 144 without registration one year after we have completed our initial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6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holders of the (i) founder shares, which were issued in a private placement prior to the closing of this offering, (ii) private placement warrants, which will be issued in a private placement simultaneously with the closing of this offering and the Class A ordinary shares underlying such private placement warrants and (iii) private placement warrants that may be issued upon conversion of working capital loans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13,850,000 Class A ordinary shares and 8,100,000 warrants. The number of Class A ordinary shares includes (i) 5,750,000 Class A ordinary shares to be issued upon conversion of the founder shares, (ii) 6,600,000 Class A ordinary shares underlying the private placement warrants and (iii) 1,500,000 Class A ordinary shares underlying the private placement warrants issued upon conversion of working capital loans. The number of warrants includes 6,600,000 private placement warrants.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6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We intend to apply to have our units listed on Nasdaq under the symbol “VIHHU” commencing on or promptly after the date of this prospectus. We cannot guarantee that our securities will be approved for listing on Nasdaq. Once the securities comprising the units begin separate trading, we expect that the Class A ordinary shares and warrants will be listed on Nasdaq under the symbols “VIH” and “VIHHW,”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240"/>
          </w:cols>
          <w:pgMar w:left="320" w:top="455" w:right="3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TAXATION</w:t>
      </w:r>
    </w:p>
    <w:p>
      <w:pPr>
        <w:spacing w:after="0" w:line="316"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The following summary of certain Cayman Islands and United States federal income tax consequences of an investment in our units, each consisting of one Class A ordinary share and one-half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Prospective investors should consult their advisors on the possible tax consequences of investing in our securities under the laws of their country of citizenship, residence or domicile.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 Considerations</w:t>
      </w:r>
    </w:p>
    <w:p>
      <w:pPr>
        <w:spacing w:after="0" w:line="73"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Existing Cayman Islands Laws:</w:t>
      </w:r>
    </w:p>
    <w:p>
      <w:pPr>
        <w:spacing w:after="0" w:line="4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corporation or capital gains tax and no estate duty, inheritance tax or gift tax.</w:t>
      </w:r>
    </w:p>
    <w:p>
      <w:pPr>
        <w:spacing w:after="0" w:line="121"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No stamp duty is payable in respect of the issue of the warrants. An instrument of transfer in respect of a warrant is stampable if executed in or brought into the Cayman Islands.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No stamp duty is payable in respect of the issue of our Class A ordinary shares or on an instrument of transfer in respect of such shares.</w:t>
      </w:r>
    </w:p>
    <w:p>
      <w:pPr>
        <w:spacing w:after="0" w:line="1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Tax Concessions Law (2018 Revision)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Undertaking as to Tax Concessions</w:t>
      </w:r>
    </w:p>
    <w:p>
      <w:pPr>
        <w:spacing w:after="0" w:line="15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 accordance with the provision of Section 6 of The Tax Concessions Law (2018 Revision), the Financial Secretary undertakes with VPC Impact Acquisition Holdings (“the Company”):</w:t>
      </w:r>
    </w:p>
    <w:p>
      <w:pPr>
        <w:spacing w:after="0" w:line="133" w:lineRule="exact"/>
        <w:rPr>
          <w:sz w:val="20"/>
          <w:szCs w:val="20"/>
          <w:color w:val="auto"/>
        </w:rPr>
      </w:pPr>
    </w:p>
    <w:p>
      <w:pPr>
        <w:ind w:left="460" w:right="260" w:hanging="452"/>
        <w:spacing w:after="0" w:line="257"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That no law which is hereafter enacted in the Cayman Islands imposing any tax to be levied on profits, income, gains or appreciations shall apply to the Company or its operations; and</w:t>
      </w:r>
    </w:p>
    <w:p>
      <w:pPr>
        <w:spacing w:after="0" w:line="1" w:lineRule="exact"/>
        <w:rPr>
          <w:rFonts w:ascii="Arial" w:cs="Arial" w:eastAsia="Arial" w:hAnsi="Arial"/>
          <w:sz w:val="17"/>
          <w:szCs w:val="17"/>
          <w:color w:val="auto"/>
        </w:rPr>
      </w:pPr>
    </w:p>
    <w:p>
      <w:pPr>
        <w:ind w:left="460" w:right="40" w:hanging="452"/>
        <w:spacing w:after="0" w:line="256"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addition, that no tax to be levied on profits, income, gains or appreciations or which is in the nature of estate duty or inheritance tax shall be payable:</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2.1    On or in respect of the shares, debentures or other obligations of the Company; or</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2.2    by way of the withholding in whole or part, of any relevant payment as defined in the Tax Concessions Law (2018 Revision).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These concessions shall be for a period of twenty years from the date hereof.</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180"/>
          </w:cols>
          <w:pgMar w:left="320" w:top="455" w:right="39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following discussion summarizes certain United States federal income tax considerations generally applicable to the acquisition, ownership and disposition of our units (each consisting of one Class A ordinary share and one-half of one redeemable warrant) that are purchased in this offering by U.S. Holders (as defined below) and Non-U.S. Holders (as defined below). Because the components of a unit are generally separable at the option of the holder, the holder of a unit generally should be treated, for United States federal income tax purposes, as the owner of the underlying Class A ordinary share and warrant components of the unit. As a result, the discussion below with respect to actual holders of Class A ordinary shares and warrants also should apply to holders of units (as the deemed owners of the underlying Class A ordinary shares and warrants that constitute the units).</w:t>
      </w:r>
    </w:p>
    <w:p>
      <w:pPr>
        <w:spacing w:after="0" w:line="123"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This discussion is limited to certain United States federal income tax considerations to beneficial owners of our securities who are initial purchasers of a unit pursuant to this offering and hold the unit and each component of the unit as a capital asset within the meaning of Section 1221 of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w:t>
      </w:r>
    </w:p>
    <w:p>
      <w:pPr>
        <w:spacing w:after="0" w:line="121" w:lineRule="exact"/>
        <w:rPr>
          <w:sz w:val="20"/>
          <w:szCs w:val="20"/>
          <w:color w:val="auto"/>
        </w:rPr>
      </w:pPr>
    </w:p>
    <w:p>
      <w:pPr>
        <w:ind w:right="400"/>
        <w:spacing w:after="0" w:line="246" w:lineRule="auto"/>
        <w:rPr>
          <w:sz w:val="20"/>
          <w:szCs w:val="20"/>
          <w:color w:val="auto"/>
        </w:rPr>
      </w:pPr>
      <w:r>
        <w:rPr>
          <w:rFonts w:ascii="Arial" w:cs="Arial" w:eastAsia="Arial" w:hAnsi="Arial"/>
          <w:sz w:val="17"/>
          <w:szCs w:val="17"/>
          <w:color w:val="auto"/>
        </w:rPr>
        <w:t>This discussion is a summary only and does not describe all of the tax consequences that may be relevant to the acquisition, ownership and disposition of a unit by a prospective investor in light of its particular circumstances, including but not limited to, the alternative minimum tax, the Medicare tax on net investment income and the different consequences that may apply to investors that are subject to special rules under U.S. federal income tax laws, including but not limited to:</w:t>
      </w:r>
    </w:p>
    <w:p>
      <w:pPr>
        <w:spacing w:after="0" w:line="157" w:lineRule="exact"/>
        <w:rPr>
          <w:sz w:val="20"/>
          <w:szCs w:val="20"/>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financial institutions or financial services entities;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broker-dealers;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taxpayers that are subject to the mark-to-market tax accounting rules;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tax-exempt entities;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governments or agencies or instrumentalities thereof;</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insurance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regulated investment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real estate investment trusts;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expatriates or former long-term residents of the United States;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persons that actually or constructively own five percent or more (by vote or value) of our shares;</w:t>
      </w:r>
    </w:p>
    <w:p>
      <w:pPr>
        <w:spacing w:after="0" w:line="34" w:lineRule="exact"/>
        <w:rPr>
          <w:rFonts w:ascii="MS PGothic" w:cs="MS PGothic" w:eastAsia="MS PGothic" w:hAnsi="MS PGothic"/>
          <w:sz w:val="13"/>
          <w:szCs w:val="13"/>
          <w:color w:val="auto"/>
        </w:rPr>
      </w:pPr>
    </w:p>
    <w:p>
      <w:pPr>
        <w:ind w:left="880" w:right="340" w:hanging="427"/>
        <w:spacing w:after="0" w:line="256" w:lineRule="auto"/>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persons that acquired our securities pursuant to an exercise of employee share options, in connection with employee share incentive plans or otherwise as compensation;</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persons that hold our securities as part of a straddle, constructive sale, hedge, conversion or other integrated or similar transaction;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U.S. Holders (as defined below) whose functional currency is not the U.S. dollar;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w:t>
      </w:r>
    </w:p>
    <w:p>
      <w:pPr>
        <w:spacing w:after="0" w:line="14" w:lineRule="exact"/>
        <w:rPr>
          <w:rFonts w:ascii="MS PGothic" w:cs="MS PGothic" w:eastAsia="MS PGothic" w:hAnsi="MS PGothic"/>
          <w:sz w:val="13"/>
          <w:szCs w:val="13"/>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passive foreign investment companies; and</w:t>
      </w:r>
    </w:p>
    <w:p>
      <w:pPr>
        <w:spacing w:after="0" w:line="13" w:lineRule="exact"/>
        <w:rPr>
          <w:rFonts w:ascii="MS PGothic" w:cs="MS PGothic" w:eastAsia="MS PGothic" w:hAnsi="MS PGothic"/>
          <w:sz w:val="13"/>
          <w:szCs w:val="13"/>
          <w:color w:val="auto"/>
        </w:rPr>
      </w:pPr>
    </w:p>
    <w:p>
      <w:pPr>
        <w:ind w:left="880" w:right="160" w:hanging="427"/>
        <w:spacing w:after="0" w:line="273" w:lineRule="auto"/>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partnerships (or entities or arrangements classified as partnerships or other pass-through entities for U.S. federal income tax purposes) and any beneficial owners of such partnerships</w:t>
      </w:r>
    </w:p>
    <w:p>
      <w:pPr>
        <w:spacing w:after="0" w:line="94"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which may result in United States federal income tax consequences different from those discussed below. Furthermore, this discussion does not address any aspect of United States federal non-income tax laws, such as gift or estate tax laws, or state, local or non-United States tax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240"/>
          </w:cols>
          <w:pgMar w:left="320" w:top="455" w:right="3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360"/>
        <w:spacing w:after="0" w:line="247" w:lineRule="auto"/>
        <w:rPr>
          <w:sz w:val="20"/>
          <w:szCs w:val="20"/>
          <w:color w:val="auto"/>
        </w:rPr>
      </w:pPr>
      <w:r>
        <w:rPr>
          <w:rFonts w:ascii="Arial" w:cs="Arial" w:eastAsia="Arial" w:hAnsi="Arial"/>
          <w:sz w:val="17"/>
          <w:szCs w:val="17"/>
          <w:color w:val="auto"/>
        </w:rPr>
        <w:t>We have not sought, and do not expect to seek, a ruling from the United States Internal Revenue Service (“</w:t>
      </w:r>
      <w:r>
        <w:rPr>
          <w:rFonts w:ascii="Arial" w:cs="Arial" w:eastAsia="Arial" w:hAnsi="Arial"/>
          <w:sz w:val="17"/>
          <w:szCs w:val="17"/>
          <w:b w:val="1"/>
          <w:bCs w:val="1"/>
          <w:color w:val="auto"/>
        </w:rPr>
        <w:t>IRS</w:t>
      </w:r>
      <w:r>
        <w:rPr>
          <w:rFonts w:ascii="Arial" w:cs="Arial" w:eastAsia="Arial" w:hAnsi="Arial"/>
          <w:sz w:val="17"/>
          <w:szCs w:val="17"/>
          <w:color w:val="auto"/>
        </w:rPr>
        <w:t>”)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15"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If a partnership (or other entity or arrangement classified as a partnership or other pass-through entity for United States federal income tax purposes) is the beneficial owner of our securities, the United States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you are urged to consult your own tax advisor regarding the tax consequences of the acquisition, ownership and disposition of our securities.</w:t>
      </w:r>
    </w:p>
    <w:p>
      <w:pPr>
        <w:spacing w:after="0" w:line="12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NON-UNITED STATES TAX LAWS.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No statutory, administrative or judicial authority directly addresses the treatment of a unit or any instrument similar to a unit for United States federal income tax purposes, and therefore, that treatment is not entirely clear. The acquisition of a unit should be treated for United States federal income tax purposes as the acquisition of one share of our Class A ordinary shares and one-half of one warrant, and the Company intends to treat the acquisition of a unit in such manner. By purchasing a unit, you will agree to adopt such treatment for United States federal income tax purposes. For United States federal income tax purposes, each holder of a unit must allocate the purchase price paid by such holder for such unit between the one Class A ordinary share and the one-half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adviser regarding the determination of value for these purposes. The price allocated to each Class A ordinary share and the one-half of one warrant should be the shareholder’s initial tax basis in such share or warrant. Any disposition of a unit should be treated for United States federal income tax purposes as a disposition of the Class A ordinary share and one-half of one warrant comprising the unit, and the amount realized on the disposition should be allocated between the Class A ordinary share and one-half of one warrant based on their respective fair market values (as determined by each such unit holder based on all the relevant facts and circumstances) at the time of disposition. The separation of the Class A ordinary share and the one-half of one warrant constituting a unit and the combination of two halves of warrants into a single warrant should not be a taxable event for United States federal income tax purposes.</w:t>
      </w:r>
    </w:p>
    <w:p>
      <w:pPr>
        <w:spacing w:after="0" w:line="12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foregoing treatment of the units,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advisors regarding the tax consequences of an investment in a unit (including alternative characterizations of a unit). The balance of this discussion assumes that the characterization of the units described above will be respected for United States federal income tax purposes.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240"/>
          </w:cols>
          <w:pgMar w:left="320" w:top="455" w:right="3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Holders</w:t>
      </w:r>
    </w:p>
    <w:p>
      <w:pPr>
        <w:spacing w:after="0" w:line="43"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This section applies to you if you are a “U.S. Holder.” A U.S. Holder is a beneficial owner of our units, Class A ordinary shares or warrants who or that is, for United States federal tax purposes:</w:t>
      </w:r>
    </w:p>
    <w:p>
      <w:pPr>
        <w:spacing w:after="0" w:line="144" w:lineRule="exact"/>
        <w:rPr>
          <w:sz w:val="20"/>
          <w:szCs w:val="20"/>
          <w:color w:val="auto"/>
        </w:rPr>
      </w:pPr>
    </w:p>
    <w:p>
      <w:pPr>
        <w:ind w:left="880" w:hanging="427"/>
        <w:spacing w:after="0"/>
        <w:tabs>
          <w:tab w:leader="none" w:pos="8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5" w:lineRule="exact"/>
        <w:rPr>
          <w:rFonts w:ascii="MS PGothic" w:cs="MS PGothic" w:eastAsia="MS PGothic" w:hAnsi="MS PGothic"/>
          <w:sz w:val="13"/>
          <w:szCs w:val="13"/>
          <w:color w:val="auto"/>
        </w:rPr>
      </w:pPr>
    </w:p>
    <w:p>
      <w:pPr>
        <w:ind w:left="880" w:right="240" w:hanging="427"/>
        <w:spacing w:after="0" w:line="256" w:lineRule="auto"/>
        <w:tabs>
          <w:tab w:leader="none" w:pos="8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a corporation (or other entity taxable as a corporation for United States federal income tax purposes) organized in or under the laws of the United States, any state thereof or the District of Columbia;</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an estate whose income is subject to United States federal income tax regardless of its source; or</w:t>
      </w:r>
    </w:p>
    <w:p>
      <w:pPr>
        <w:spacing w:after="0" w:line="34" w:lineRule="exact"/>
        <w:rPr>
          <w:rFonts w:ascii="MS PGothic" w:cs="MS PGothic" w:eastAsia="MS PGothic" w:hAnsi="MS PGothic"/>
          <w:sz w:val="13"/>
          <w:szCs w:val="13"/>
          <w:color w:val="auto"/>
        </w:rPr>
      </w:pPr>
    </w:p>
    <w:p>
      <w:pPr>
        <w:jc w:val="both"/>
        <w:ind w:left="880" w:right="220" w:hanging="427"/>
        <w:spacing w:after="0" w:line="252" w:lineRule="auto"/>
        <w:tabs>
          <w:tab w:leader="none" w:pos="8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w:t>
      </w:r>
    </w:p>
    <w:p>
      <w:pPr>
        <w:spacing w:after="0" w:line="5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Subject to the passive foreign investment company (“</w:t>
      </w:r>
      <w:r>
        <w:rPr>
          <w:rFonts w:ascii="Arial" w:cs="Arial" w:eastAsia="Arial" w:hAnsi="Arial"/>
          <w:sz w:val="17"/>
          <w:szCs w:val="17"/>
          <w:b w:val="1"/>
          <w:bCs w:val="1"/>
          <w:color w:val="auto"/>
        </w:rPr>
        <w:t>PFIC</w:t>
      </w:r>
      <w:r>
        <w:rPr>
          <w:rFonts w:ascii="Arial" w:cs="Arial" w:eastAsia="Arial" w:hAnsi="Arial"/>
          <w:sz w:val="17"/>
          <w:szCs w:val="17"/>
          <w:color w:val="auto"/>
        </w:rPr>
        <w:t>”) rules discussed below, a U.S. Holder generally will be required to include in gross income, in accordance with such U.S. Holder’s method of accounting for U.S. federal income tax purposes, as dividends the amount of any distribution of cash or other property (other than certain distributions of the Company’s shares or rights to acquire the Company’s shares) paid on our Class A ordinary shares to the extent the distribution is paid out of our current or accumulated earnings and profits (as determined under United States federal income tax principles). Distributions in excess of such earnings and profits generally will be applied against and reduce the</w:t>
      </w:r>
    </w:p>
    <w:p>
      <w:pPr>
        <w:spacing w:after="0" w:line="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U.S. Holder’s basis in its Class A ordinary shares (but not below zero) and, to the extent in excess of such basis, will be treated as gain from the sale or exchange of such Class A ordinary shares (the treatment of which is described under “—Gain or Loss on Sale, Taxable Exchange or Other Taxable Disposition of Class A Ordinary Shares and Warrants” below).</w:t>
      </w:r>
    </w:p>
    <w:p>
      <w:pPr>
        <w:spacing w:after="0" w:line="12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Dividends paid by us will be taxable to a corporate U.S. Holder at regular rates and will not be eligible for the dividends-received deduction generally allowed to domestic corporations in respect of dividends received from other domestic corporations. With respect to non-corporate U.S. Holders, dividends generally will be taxed at the lower applicable long-term capital gains rate (see “—</w:t>
      </w:r>
      <w:r>
        <w:rPr>
          <w:rFonts w:ascii="Arial" w:cs="Arial" w:eastAsia="Arial" w:hAnsi="Arial"/>
          <w:sz w:val="17"/>
          <w:szCs w:val="17"/>
          <w:i w:val="1"/>
          <w:iCs w:val="1"/>
          <w:color w:val="auto"/>
        </w:rPr>
        <w:t>Gain or Loss on Sale, Taxable Exchange or Other</w:t>
      </w:r>
      <w:r>
        <w:rPr>
          <w:rFonts w:ascii="Arial" w:cs="Arial" w:eastAsia="Arial" w:hAnsi="Arial"/>
          <w:sz w:val="17"/>
          <w:szCs w:val="17"/>
          <w:color w:val="auto"/>
        </w:rPr>
        <w:t xml:space="preserve"> </w:t>
      </w:r>
      <w:r>
        <w:rPr>
          <w:rFonts w:ascii="Arial" w:cs="Arial" w:eastAsia="Arial" w:hAnsi="Arial"/>
          <w:sz w:val="17"/>
          <w:szCs w:val="17"/>
          <w:i w:val="1"/>
          <w:iCs w:val="1"/>
          <w:color w:val="auto"/>
        </w:rPr>
        <w:t>Taxable Disposition of Class A Ordinary Shares and Warrants</w:t>
      </w:r>
      <w:r>
        <w:rPr>
          <w:rFonts w:ascii="Arial" w:cs="Arial" w:eastAsia="Arial" w:hAnsi="Arial"/>
          <w:sz w:val="17"/>
          <w:szCs w:val="17"/>
          <w:color w:val="auto"/>
        </w:rPr>
        <w:t>” below) only if our Class A ordinary shares are readily tradable on an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market in the United States, we are not a PFIC at the time the dividend was paid or in the previous year, and certain other requirements are met. U.S. Holders should consult their tax advisors regarding the availability of such lower rate for any dividends paid with respect to our Class A ordinary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or Loss on Sale, Taxable Exchange or Other Taxable Disposition of Class A Ordinary Shares and Warrants</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Subject to the PFIC rules discussed below, a U.S. Holder generally will recognize capital gain or loss on the sale or other taxable disposition of our Class A ordinary shares or warrants (including a redemption of our Class A ordinary shares (as described below) or warrants that are treated as a taxable disposition, including pursuant to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Long-term capital gain realized by a non-corporate U.S. Holder may be taxed at reduced rates of taxation. It is unclear, however, whether certain redemption rights described in this prospectus may suspend the running of the applicable holding period of the Class A ordinary shares for this purpose. If the running of the holding period for the Class A ordinary shares is suspended, then non-corporate U.S. Holders may not be able to satisfy the one-year holding period requirement for long-term capital gain treatment, in which case any gain on a sale or other taxable disposition of the Class A ordinary shares would be subject to short-term capital gain treatment and would be taxed at regular ordinary income tax rates. The deduction of capital losses is subject to certain limitations.</w:t>
      </w:r>
    </w:p>
    <w:p>
      <w:pPr>
        <w:spacing w:after="0" w:line="12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amount of gain or loss recognized by a U.S. Holder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240"/>
          </w:cols>
          <w:pgMar w:left="320" w:top="455" w:right="3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based upon the then relative fair market values of the Class A ordinary shares and the warrants constituting the units) and (ii) the U.S. Holder’s adjusted tax basis in its Class A ordinary shares or warrants so disposed of. A U.S. Holder’s adjusted tax basis in its Class A ordinary shares or warrants generally will equal the U.S. Holder’s acquisition cost (that is, the portion of the purchase price of a unit allocated to a share of Class A ordinary shares or one-half of one warrant, as described above under “—Allocation of Purchase Price and Characterization of a Unit”) reduced, in the case of a Class A ordinary share, by any prior distributions treated as a return of capital. See “</w:t>
      </w:r>
      <w:r>
        <w:rPr>
          <w:rFonts w:ascii="Arial" w:cs="Arial" w:eastAsia="Arial" w:hAnsi="Arial"/>
          <w:sz w:val="17"/>
          <w:szCs w:val="17"/>
          <w:i w:val="1"/>
          <w:iCs w:val="1"/>
          <w:color w:val="auto"/>
        </w:rPr>
        <w:t>Exercise or Lapse of a Warrant</w:t>
      </w:r>
      <w:r>
        <w:rPr>
          <w:rFonts w:ascii="Arial" w:cs="Arial" w:eastAsia="Arial" w:hAnsi="Arial"/>
          <w:sz w:val="17"/>
          <w:szCs w:val="17"/>
          <w:color w:val="auto"/>
        </w:rPr>
        <w:t>” below for a discussion regarding a U.S. Holder’s basis in the Class A ordinary share acquired pursuant to the exercise of a warrant.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Class A Ordinary Shares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PFIC rules discussed below, in the event that a U.S. Holder’s Class A ordinary shares are redeemed pursuant to the redemption provisions described in the section of this prospectus entitled “Description of Securities—Ordinary Shares” or if we purchase a U.S. Holder’s Class A ordinary shares in an open market transaction (such open market purchase of Class A ordinary shares by us is referred to as a “redemption” for the remainder of this discussion), the treatment of the transaction for United States federal income tax purposes will depend on whether the redemption qualifies as a sale of the Class A ordinary shares under Section 302 of the Code. If the redemption qualifies as a sale of Class A ordinary shares, the U.S. Holder will be treated as described under “—Gain or Loss on Sale, Taxable Exchange or Other Taxable Disposition of Class A Ordinary Shares and Warrants” above. If the redemption does not qualify as a sale of Class A ordinary shares, the U.S. Holder will be treated as receiving a corporate distribution with the tax consequences described above under “—Taxation of Distributions.” Whether a redemption qualifies for sale treatment will depend largely on the total number of our shares treated as held by the U.S. Holder (including any shares constructively owned by the U.S. Holder described in the following paragraph, including as a result of owning warrants) relative to all of our shares outstanding both before and after such redemption. A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In determining whether any of the foregoing tests are satisfied, a U.S. Holder takes into account not only our shares actually owned by the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generally would include Class A ordinary shares which could be acquired by such U.S. Holder pursuant to the exercise of the warrants. In order to meet the substantially disproportionate test, the percentage of our issued and outstanding voting shares actually and constructively owned by the U.S. Holder immediately following the redemption of Class A ordinary shares must, among other requirements, be less than 80% of the percentage of our issued and outstanding voting shares actually and constructively owned by the U.S.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(including any shares constructively owned by the U.S. Holder as a result of owning our warrants). The redemption of the Class A ordinary shares will not be essentially equivalent to a dividend if such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own tax advisors as to the tax consequences of a redemption of any Class A ordinary shares.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220"/>
          </w:cols>
          <w:pgMar w:left="320" w:top="455" w:right="3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If none of the foregoing tests are satisfied, then the redemption of any Class A ordinary shares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U.S. holders who actually or constructively own five percent (or, if our Class A ordinary shares are not then publicly traded, one percent) or more of our shares (by vote or value) may be subject to special reporting requirements with respect to a redemption of Class A ordinary shares, and such holders are urged to consult with their own tax advisors with respect to their reporting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Lapse or Redemption of a Warrant</w:t>
      </w:r>
    </w:p>
    <w:p>
      <w:pPr>
        <w:spacing w:after="0" w:line="7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“—Allocation of Purchase Price and Characterization of a Unit”) and the exercise price. It is unclear whether a U.S. Holder’s holding period for the Class A ordinary share received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2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United States federal income tax purposes. In either situation, a U.S. Holder’s tax basis in the Class A ordinary shares received generally should equal the U.S. Holder’s tax basis in the warrants exercised therefor. If the cashless exercise was not a realization event, it is unclear whether a U.S. Holder’s holding period for the Class A ordinary shares received would be treated as commencing on the date of exercise of the warrant or the day following the date of exercise of the warrant; in either case, the holding period will not include the period during which the U.S. Holder held the warrant. If the cashless exercise were treated as a recapitalization, the holding period of the Class A ordinary shares received would include the holding period of the warrants.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[It is also possible that a cashless exercise may be treated as a taxable exchange in which gain or loss would be recognized. In such event, a</w:t>
      </w:r>
    </w:p>
    <w:p>
      <w:pPr>
        <w:spacing w:after="0" w:line="1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U.S. Holder may be deemed to have surrendered a number of warrants equal to the number of Class A ordinary shares having a value equal to the exercise price for the total number of warrants to be exercised. Subject to the PFIC rules discussed below, the U.S. Holder would recognize capital gain or loss in an amount equal to the difference between the fair market value of the Class A ordinary shares received in respect of the warrants deemed surrendered and the U.S. Holder’s tax basis in the warrants deemed surrendered. In this case, a U.S. Holder’s tax basis in the Class A ordinary shares received would equal the sum of the fair market value of the Class A ordinary shares received in respect of the warrants deemed surrendered and the U.S. Holder’s tax basis in the warrants exercised. It is unclear whether a U.S. Holder’s holding period for the Class A ordinary shares would commence on the date of exercise of the warrant or the day following the date of exercise of the warrant; in either case, the holding period will not include the period during which the U.S. Holder held the warrant.]</w:t>
      </w:r>
    </w:p>
    <w:p>
      <w:pPr>
        <w:spacing w:after="0" w:line="12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Due to the absence of authority on the United States federal income tax treatment of a cashless exercise, including when a U.S. Holder’s holding period would commence with respect to the Class A ordinary share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17"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Subject to the PFIC rules described below, if we redeem warrants for cash pursuant to the redemption provisions described in the section of this prospectus entitled “Description of Securities—Warrants—Public Warrants” or if we</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160"/>
          </w:cols>
          <w:pgMar w:left="320" w:top="455" w:right="41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purchase warrants in an open market transaction, such redemption or purchase generally will be treated as a taxable disposition to the U.S. Holder, taxed as described above under “—Gain or Loss on Sale, Taxable Exchange or Other Taxable Disposition of Class A Ordinary Shares and Warrants.”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Constructive Distributions</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terms of each warrant provide for an adjustment to the number of Class A ordinary shares for which the warrant may be exercised or to the exercise price of the warrant in certain events, as discussed in the section of this prospectus entitled “Description of Securities—Warrants—Public Warrants.” An adjustment which has the effect of preventing dilution generally is not taxable. The U.S. Holders of the warrants would, however, be treated as receiving a constructive distribution from us if, for example, the adjustment increases such U.S. Holders’ proportionate interest in our assets or earnings and profits (e.g., through an increase in the number of Class A ordinary shares that would be obtained upon exercise or through a decrease in the exercise price of the warrant), which adjustment may be made as a result of a distribution of cash or other property to the holders of our Class A ordinary shares. Such constructive distribution to a U.S. Holder of warrants would be treated as if such U.S. Holder had received a cash distribution from us generally equal to the fair market value of such increased interest (taxed as described above under “—</w:t>
      </w:r>
      <w:r>
        <w:rPr>
          <w:rFonts w:ascii="Arial" w:cs="Arial" w:eastAsia="Arial" w:hAnsi="Arial"/>
          <w:sz w:val="17"/>
          <w:szCs w:val="17"/>
          <w:b w:val="1"/>
          <w:bCs w:val="1"/>
          <w:color w:val="auto"/>
        </w:rPr>
        <w:t>Taxation of</w:t>
      </w:r>
      <w:r>
        <w:rPr>
          <w:rFonts w:ascii="Arial" w:cs="Arial" w:eastAsia="Arial" w:hAnsi="Arial"/>
          <w:sz w:val="17"/>
          <w:szCs w:val="17"/>
          <w:color w:val="auto"/>
        </w:rPr>
        <w:t xml:space="preserve"> </w:t>
      </w:r>
      <w:r>
        <w:rPr>
          <w:rFonts w:ascii="Arial" w:cs="Arial" w:eastAsia="Arial" w:hAnsi="Arial"/>
          <w:sz w:val="17"/>
          <w:szCs w:val="17"/>
          <w:b w:val="1"/>
          <w:bCs w:val="1"/>
          <w:color w:val="auto"/>
        </w:rPr>
        <w:t>Distributions</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6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A foreign (i.e., non-U.S.) corporation will be classified as a PFIC for United States federal income tax purposes if either (i) at least 75% of its gross income in a taxable year, including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first two taxable years following the startup year; and (3) the corporation is not in fact a PFIC for either of those years. The applicability of the startup exception to us is uncertain and will not be known until after the close of our current taxable year and, perhaps, until after the end of our two taxable years following our startup year.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will not be determinable until after the end of such taxable year (and, in the case of the startup exception to our current taxable year, perhaps until after the end of our two taxable years following our startup year). Accordingly, there can be no assurance with respect to our status as a PFIC for our current taxable year or any future taxable year. In addition, our U.S. counsel expresses no opinion with respect to our PFIC status for our current or future taxable years.</w:t>
      </w:r>
    </w:p>
    <w:p>
      <w:pPr>
        <w:spacing w:after="0" w:line="13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Although our PFIC status is determined annually, an initial determination that our company is a PFIC generally will apply for subsequent years to a U.S. Holder who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timely mark-to-market election or a qualified electing fund (“</w:t>
      </w:r>
      <w:r>
        <w:rPr>
          <w:rFonts w:ascii="Arial" w:cs="Arial" w:eastAsia="Arial" w:hAnsi="Arial"/>
          <w:sz w:val="17"/>
          <w:szCs w:val="17"/>
          <w:b w:val="1"/>
          <w:bCs w:val="1"/>
          <w:color w:val="auto"/>
        </w:rPr>
        <w:t>QEF</w:t>
      </w:r>
      <w:r>
        <w:rPr>
          <w:rFonts w:ascii="Arial" w:cs="Arial" w:eastAsia="Arial" w:hAnsi="Arial"/>
          <w:sz w:val="17"/>
          <w:szCs w:val="17"/>
          <w:color w:val="auto"/>
        </w:rPr>
        <w:t>”)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warrants (which may include gain realized by reason of transfers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220"/>
          </w:cols>
          <w:pgMar w:left="320" w:top="455" w:right="3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Class A ordinary shares or warrants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Under these rules:</w:t>
      </w:r>
    </w:p>
    <w:p>
      <w:pPr>
        <w:spacing w:after="0" w:line="196" w:lineRule="exact"/>
        <w:rPr>
          <w:sz w:val="20"/>
          <w:szCs w:val="20"/>
          <w:color w:val="auto"/>
        </w:rPr>
      </w:pPr>
    </w:p>
    <w:p>
      <w:pPr>
        <w:ind w:left="880" w:right="560" w:hanging="427"/>
        <w:spacing w:after="0" w:line="257" w:lineRule="auto"/>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the U.S. Holder’s gain or excess distribution will be allocated ratably over the U.S. Holder’s holding period for the Class A ordinary shares or warrants;</w:t>
      </w:r>
    </w:p>
    <w:p>
      <w:pPr>
        <w:spacing w:after="0" w:line="1" w:lineRule="exact"/>
        <w:rPr>
          <w:rFonts w:ascii="MS PGothic" w:cs="MS PGothic" w:eastAsia="MS PGothic" w:hAnsi="MS PGothic"/>
          <w:sz w:val="13"/>
          <w:szCs w:val="13"/>
          <w:color w:val="auto"/>
        </w:rPr>
      </w:pPr>
    </w:p>
    <w:p>
      <w:pPr>
        <w:ind w:left="880" w:right="160" w:hanging="427"/>
        <w:spacing w:after="0" w:line="248" w:lineRule="auto"/>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 w:lineRule="exact"/>
        <w:rPr>
          <w:rFonts w:ascii="MS PGothic" w:cs="MS PGothic" w:eastAsia="MS PGothic" w:hAnsi="MS PGothic"/>
          <w:sz w:val="13"/>
          <w:szCs w:val="13"/>
          <w:color w:val="auto"/>
        </w:rPr>
      </w:pPr>
    </w:p>
    <w:p>
      <w:pPr>
        <w:ind w:left="880" w:hanging="427"/>
        <w:spacing w:after="0" w:line="248" w:lineRule="auto"/>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w:t>
      </w:r>
    </w:p>
    <w:p>
      <w:pPr>
        <w:spacing w:after="0" w:line="1" w:lineRule="exact"/>
        <w:rPr>
          <w:rFonts w:ascii="MS PGothic" w:cs="MS PGothic" w:eastAsia="MS PGothic" w:hAnsi="MS PGothic"/>
          <w:sz w:val="13"/>
          <w:szCs w:val="13"/>
          <w:color w:val="auto"/>
        </w:rPr>
      </w:pPr>
    </w:p>
    <w:p>
      <w:pPr>
        <w:ind w:left="880" w:right="200" w:hanging="427"/>
        <w:spacing w:after="0" w:line="273" w:lineRule="auto"/>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an additional amount equal to the interest charge generally applicable to underpayments of tax will be imposed on the U.S. Holder with respect to the tax attributable to each such other taxable year of the U.S. Holder.</w:t>
      </w:r>
    </w:p>
    <w:p>
      <w:pPr>
        <w:spacing w:after="0" w:line="94"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 xml:space="preserve">In general, if we are determined to be a PFIC, a U.S. Holder may be able to avoid the PFIC tax consequences described above in respect to our Class A ordinary shares by making a timely and valid QEF election (if eligible to do so) to include in income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It is not entirely clear how various aspects of the PFIC rules apply to the warrants. However, 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and maintains a QEF election with respect to the newly acquired Class A ordinary shares (or has previously made a QEF election with respect to our Class A ordinary shares), the QEF election will apply to the newly acquired Class A ordinary shares. Notwithstanding such QEF election, the rules relating to “excess distributions” discussed above,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 new basis and holding period in the Class A ordinary shares acquired upon the exercise of the warrants for purposes of the PFIC rules. U.S. Holders are urged to consult their tax advisors as to the application of the rules governing purging elections to their particular circumstances.</w:t>
      </w:r>
    </w:p>
    <w:p>
      <w:pPr>
        <w:spacing w:after="0" w:line="13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240"/>
          </w:cols>
          <w:pgMar w:left="320" w:top="455" w:right="3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20"/>
        <w:spacing w:after="0" w:line="242" w:lineRule="auto"/>
        <w:rPr>
          <w:sz w:val="20"/>
          <w:szCs w:val="20"/>
          <w:color w:val="auto"/>
        </w:rPr>
      </w:pPr>
      <w:r>
        <w:rPr>
          <w:rFonts w:ascii="Arial" w:cs="Arial" w:eastAsia="Arial" w:hAnsi="Arial"/>
          <w:sz w:val="17"/>
          <w:szCs w:val="17"/>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 xml:space="preserve">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interest charge will be imposed under the PFIC rules. As discussed above, if we are a PFIC for any taxable year, a U.S. Holder of our Class A ordinary shares that has made a QEF election will be currently taxed on its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share of our earnings and profits, whether or not distributed for such year. A subsequent distribution of such earnings and profits that were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Class A ordinary shares in us and for which we are determined to be a PFIC, such U.S. Holder generally will not be subject to the PFIC rules described above in respect to its Class A ordinary shares. Instead, in general, the U.S. Holder will include as ordinary income in each taxable year the excess, if any, of the fair market value of its Class A ordinary shares at the end of its taxable year over its adjusted basis in its Class A ordinary shares. These amounts of ordinary income would not be eligible for the favorable tax rates applicable to qualified dividend income or long-term capital gains. The U.S. Holder also will recognize an ordinary loss in respect of the excess, if any, of its adjusted basis in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23"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mark-to-market election is available only for stock that is regularly traded on a national securities exchange that is registered with the Securities and Exchange Commission, including Nasdaq (on which we intend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Class A ordinary shares ceased to qualify as “marketable stock” for purposes of the PFIC rules or the IRS consented to the revocation of the election. U.S. Holders are urged to consult their own tax advisors regarding the availability and tax consequences of a mark-to-market election in respect to our Class A ordinary shares under their particular circumstances.</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Upon written request, we will endeavor to cause any lower-tier PFIC to provide to a U.S. Holder the information that may be required to make or maintain a QEF election with respect to the lower-tier PFIC. There can be no assurance</w:t>
      </w:r>
    </w:p>
    <w:p>
      <w:pPr>
        <w:spacing w:after="0" w:line="2"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that we will have timely knowledge of the status of any such lower-tier PFIC. In addition, we may not hold a controlling interest in any such lower-tier PFIC and thus there can be no assurance we will be able to cause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240"/>
          </w:cols>
          <w:pgMar w:left="320" w:top="455" w:right="3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lower-tier PFIC to provide such required information. A mark-to-market election generally would not be available with respect to such lower-tier PFIC. U.S. Holders are urged to consult their tax advisors regarding the tax issues raised by lower-tier PFICs.</w:t>
      </w:r>
    </w:p>
    <w:p>
      <w:pPr>
        <w:spacing w:after="0" w:line="9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11" w:lineRule="exact"/>
        <w:rPr>
          <w:sz w:val="20"/>
          <w:szCs w:val="20"/>
          <w:color w:val="auto"/>
        </w:rPr>
      </w:pPr>
    </w:p>
    <w:p>
      <w:pPr>
        <w:ind w:right="420"/>
        <w:spacing w:after="0" w:line="253" w:lineRule="auto"/>
        <w:rPr>
          <w:sz w:val="20"/>
          <w:szCs w:val="20"/>
          <w:color w:val="auto"/>
        </w:rPr>
      </w:pPr>
      <w:r>
        <w:rPr>
          <w:rFonts w:ascii="Arial" w:cs="Arial" w:eastAsia="Arial" w:hAnsi="Arial"/>
          <w:sz w:val="17"/>
          <w:szCs w:val="17"/>
          <w:color w:val="auto"/>
        </w:rPr>
        <w:t>The rules dealing with PFICs and with the QEF, purging, and mark-to-market elections are very complex and are affected by various factors in addition to those described above. Accordingly, U.S. Holders of our Class A ordinary shares and warrants should consult their own tax advisors concerning the application of the PFIC rules to our Class A ordinary shares and warrants under their particular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Reporting</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United States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Specified foreign financial assets generally include any financial account maintained with a non-U.S. financial institution and should also include the Class A ordinary shares and warrants if they are not held in an account maintained with a U.S. financial institution. Persons who are required to report specified foreign financial assets and fail to do so may be subject to substantial penalties, and the period of limitations on assessment and collection of United States federal income taxes may be extended in the event of a failure to comply. Potential investors are urged to consult their tax advisors regarding the foreign financial asset and other reporting obligations and their application to an investment in our Class A ordinary shares and warrants.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Non-U.S. Holders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This section applies to you if you are a “Non-U.S. Holder.” As used herein, the term “Non-U.S. Holder” means a beneficial owner of our units,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Class A ordinary shares or warrants that is for United States federal income tax purposes:</w:t>
      </w:r>
    </w:p>
    <w:p>
      <w:pPr>
        <w:spacing w:after="0" w:line="174" w:lineRule="exact"/>
        <w:rPr>
          <w:sz w:val="20"/>
          <w:szCs w:val="20"/>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a non-resident alien individual (other than certain former citizens and residents of the United States subject to U.S. tax as expatriates);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a foreign corporation;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an estate or trust that is not a U.S. Holder;</w:t>
      </w:r>
    </w:p>
    <w:p>
      <w:pPr>
        <w:spacing w:after="0" w:line="154" w:lineRule="exact"/>
        <w:rPr>
          <w:sz w:val="20"/>
          <w:szCs w:val="20"/>
          <w:color w:val="auto"/>
        </w:rPr>
      </w:pPr>
    </w:p>
    <w:p>
      <w:pPr>
        <w:jc w:val="both"/>
        <w:ind w:right="380"/>
        <w:spacing w:after="0" w:line="253" w:lineRule="auto"/>
        <w:rPr>
          <w:sz w:val="20"/>
          <w:szCs w:val="20"/>
          <w:color w:val="auto"/>
        </w:rPr>
      </w:pPr>
      <w:r>
        <w:rPr>
          <w:rFonts w:ascii="Arial" w:cs="Arial" w:eastAsia="Arial" w:hAnsi="Arial"/>
          <w:sz w:val="17"/>
          <w:szCs w:val="17"/>
          <w:color w:val="auto"/>
        </w:rPr>
        <w:t>but generally does not include an individual who is present in the United States for 183 days or more in the taxable year of the disposition of our units, Class A ordinary shares or warrants. If you are such an individual, you should consult your tax advisor regarding the United States federal income tax consequences of the acquisition, ownership and disposition of our securities.</w:t>
      </w:r>
    </w:p>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Dividends (including, as described under “—U.S. Holders—Possible Constructive Distributions” above,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income tax on any gain attributable to a sale or other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20"/>
          </w:cols>
          <w:pgMar w:left="320" w:top="455" w:right="3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Dividends (including, as described under “—U.S. Holders—Possible Constructive Distributions” above,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spacing w:after="0" w:line="123" w:lineRule="exact"/>
        <w:rPr>
          <w:sz w:val="20"/>
          <w:szCs w:val="20"/>
          <w:color w:val="auto"/>
        </w:rPr>
      </w:pPr>
    </w:p>
    <w:p>
      <w:pPr>
        <w:ind w:right="260"/>
        <w:spacing w:after="0" w:line="242" w:lineRule="auto"/>
        <w:rPr>
          <w:sz w:val="20"/>
          <w:szCs w:val="20"/>
          <w:color w:val="auto"/>
        </w:rPr>
      </w:pPr>
      <w:r>
        <w:rPr>
          <w:rFonts w:ascii="Arial" w:cs="Arial" w:eastAsia="Arial" w:hAnsi="Arial"/>
          <w:sz w:val="17"/>
          <w:szCs w:val="17"/>
          <w:color w:val="auto"/>
        </w:rPr>
        <w:t>The United States federal income tax treatment of a Non-U.S. Holder’s receipt of any Class A ordinary share upon the exercise, or the lapse, of a warrant held by a Non-U.S. Holder generally will correspond to the United States federal income tax treatment of the receipt of a Class A ordinary share on exercise, or lapse, of a warrant by a U.S. Holder, as described under “—U.S. Holders—Exercise, Lapse or Redemption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12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characterization for United States federal income tax purposes of the redemption of the Non-U.S. Holder’s warrants generally will correspond to the United States federal income tax treatment of such a redemption of a U.S. Holder’s warrants, as described under “—U.S. Holders—Exercise, Lapse or Redemption of a Warrant” above, and the consequences of the redemption to the Non-U.S. Holder will be as described in the paragraphs above under the heading “—Non-U.S. Holders” based on such characterization.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21"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Backup withholding is not an additional tax. Amounts withheld as backup withholding may be credited against a holder’s United States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20"/>
          </w:cols>
          <w:pgMar w:left="320" w:top="455" w:right="3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316"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Jefferies LLC is acting as sole-book running manager of this offering and as representatives of the underwriters named below. Subject to the terms and conditions of the underwriting agreement dated [</w:t>
      </w:r>
      <w:r>
        <w:rPr>
          <w:rFonts w:ascii="Times New Roman" w:cs="Times New Roman" w:eastAsia="Times New Roman" w:hAnsi="Times New Roman"/>
          <w:sz w:val="17"/>
          <w:szCs w:val="17"/>
          <w:color w:val="auto"/>
        </w:rPr>
        <w:t>●</w:t>
      </w:r>
      <w:r>
        <w:rPr>
          <w:rFonts w:ascii="Arial" w:cs="Arial" w:eastAsia="Arial" w:hAnsi="Arial"/>
          <w:sz w:val="17"/>
          <w:szCs w:val="17"/>
          <w:color w:val="auto"/>
        </w:rPr>
        <w:t>], 2020, each underwriter named below has severally agreed to purchase, and we have agreed to sell to such underwriter, the number of units set forth opposite the underwriter’s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w:t>
            </w:r>
          </w:p>
        </w:tc>
        <w:tc>
          <w:tcPr>
            <w:tcW w:w="876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NUMBER OF UNITS</w:t>
            </w:r>
          </w:p>
        </w:tc>
      </w:tr>
      <w:tr>
        <w:trPr>
          <w:trHeight w:val="163"/>
        </w:trPr>
        <w:tc>
          <w:tcPr>
            <w:tcW w:w="108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7"/>
                <w:szCs w:val="17"/>
                <w:color w:val="auto"/>
              </w:rPr>
              <w:t>Jefferies LLC</w:t>
            </w:r>
          </w:p>
        </w:tc>
        <w:tc>
          <w:tcPr>
            <w:tcW w:w="87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1080" w:type="dxa"/>
            <w:vAlign w:val="bottom"/>
          </w:tcPr>
          <w:p>
            <w:pPr>
              <w:spacing w:after="0" w:line="189" w:lineRule="exact"/>
              <w:rPr>
                <w:sz w:val="20"/>
                <w:szCs w:val="20"/>
                <w:color w:val="auto"/>
              </w:rPr>
            </w:pPr>
            <w:r>
              <w:rPr>
                <w:rFonts w:ascii="Arial" w:cs="Arial" w:eastAsia="Arial" w:hAnsi="Arial"/>
                <w:sz w:val="17"/>
                <w:szCs w:val="17"/>
                <w:color w:val="auto"/>
              </w:rPr>
              <w:t>Total</w:t>
            </w:r>
          </w:p>
        </w:tc>
        <w:tc>
          <w:tcPr>
            <w:tcW w:w="101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20,000,000</w:t>
            </w:r>
          </w:p>
        </w:tc>
        <w:tc>
          <w:tcPr>
            <w:tcW w:w="6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8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units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3"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units as permitted by applicable laws and regulations. However, the underwriters are not obligated to do so, and the underwriters may discontinue any market making activities at any time without notice in their sole discretion. Accordingly, no assurance can be given as to the liquidity of the trading market for the units, that you will be able to sell any of the units held by you at a particular time or that the prices that you receive when you sell will be favorable.</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underwriters are offering the units subject to their acceptance of the units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units to the public at the initial public offering price set forth on the cover page of this</w:t>
      </w:r>
    </w:p>
    <w:p>
      <w:pPr>
        <w:spacing w:after="0" w:line="16" w:lineRule="exact"/>
        <w:rPr>
          <w:sz w:val="20"/>
          <w:szCs w:val="20"/>
          <w:color w:val="auto"/>
        </w:rPr>
      </w:pPr>
    </w:p>
    <w:p>
      <w:pPr>
        <w:spacing w:after="0"/>
        <w:tabs>
          <w:tab w:leader="none" w:pos="9460" w:val="left"/>
        </w:tabs>
        <w:rPr>
          <w:sz w:val="20"/>
          <w:szCs w:val="20"/>
          <w:color w:val="auto"/>
        </w:rPr>
      </w:pPr>
      <w:r>
        <w:rPr>
          <w:rFonts w:ascii="Arial" w:cs="Arial" w:eastAsia="Arial" w:hAnsi="Arial"/>
          <w:sz w:val="17"/>
          <w:szCs w:val="17"/>
          <w:color w:val="auto"/>
        </w:rPr>
        <w:t>prospectus and to certain dealers, which may include the underwriters, at that price less a concession not in excess of $</w:t>
      </w:r>
      <w:r>
        <w:rPr>
          <w:sz w:val="20"/>
          <w:szCs w:val="20"/>
          <w:color w:val="auto"/>
        </w:rPr>
        <w:tab/>
      </w:r>
      <w:r>
        <w:rPr>
          <w:rFonts w:ascii="Arial" w:cs="Arial" w:eastAsia="Arial" w:hAnsi="Arial"/>
          <w:sz w:val="17"/>
          <w:szCs w:val="17"/>
          <w:color w:val="auto"/>
        </w:rPr>
        <w:t>per unit.</w:t>
      </w:r>
    </w:p>
    <w:p>
      <w:pPr>
        <w:spacing w:after="0" w:line="134" w:lineRule="exact"/>
        <w:rPr>
          <w:sz w:val="20"/>
          <w:szCs w:val="20"/>
          <w:color w:val="auto"/>
        </w:rPr>
      </w:pPr>
    </w:p>
    <w:p>
      <w:pPr>
        <w:spacing w:after="0"/>
        <w:tabs>
          <w:tab w:leader="none" w:pos="8820" w:val="left"/>
        </w:tabs>
        <w:rPr>
          <w:sz w:val="20"/>
          <w:szCs w:val="20"/>
          <w:color w:val="auto"/>
        </w:rPr>
      </w:pPr>
      <w:r>
        <w:rPr>
          <w:rFonts w:ascii="Arial" w:cs="Arial" w:eastAsia="Arial" w:hAnsi="Arial"/>
          <w:sz w:val="17"/>
          <w:szCs w:val="17"/>
          <w:color w:val="auto"/>
        </w:rPr>
        <w:t>The underwriters may allow, and certain dealers may reallow, a discount from the concession not in excess of $</w:t>
      </w:r>
      <w:r>
        <w:rPr>
          <w:sz w:val="20"/>
          <w:szCs w:val="20"/>
          <w:color w:val="auto"/>
        </w:rPr>
        <w:tab/>
      </w:r>
      <w:r>
        <w:rPr>
          <w:rFonts w:ascii="Arial" w:cs="Arial" w:eastAsia="Arial" w:hAnsi="Arial"/>
          <w:sz w:val="17"/>
          <w:szCs w:val="17"/>
          <w:color w:val="auto"/>
        </w:rPr>
        <w:t>per unit to certain brokers and</w:t>
      </w:r>
    </w:p>
    <w:p>
      <w:pPr>
        <w:spacing w:after="0" w:line="16"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dealers. After the offering, the initial public offering price, concession and reallowance to dealers may be reduced by the representative. No such reduction will change the amount of proceeds to be received by us as set forth on the cover page of this prospectus.</w:t>
      </w:r>
    </w:p>
    <w:p>
      <w:pPr>
        <w:spacing w:after="0" w:line="114" w:lineRule="exact"/>
        <w:rPr>
          <w:sz w:val="20"/>
          <w:szCs w:val="20"/>
          <w:color w:val="auto"/>
        </w:rPr>
      </w:pPr>
    </w:p>
    <w:p>
      <w:pPr>
        <w:ind w:right="520"/>
        <w:spacing w:after="0" w:line="253"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gridSpan w:val="3"/>
          </w:tcPr>
          <w:p>
            <w:pPr>
              <w:ind w:left="620"/>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24"/>
                <w:szCs w:val="24"/>
                <w:b w:val="1"/>
                <w:bCs w:val="1"/>
                <w:color w:val="auto"/>
                <w:vertAlign w:val="superscript"/>
              </w:rPr>
              <w:t>(1)</w:t>
            </w: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60" w:type="dxa"/>
            <w:vAlign w:val="bottom"/>
            <w:gridSpan w:val="4"/>
          </w:tcPr>
          <w:p>
            <w:pPr>
              <w:ind w:left="9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4"/>
                <w:szCs w:val="24"/>
                <w:b w:val="1"/>
                <w:bCs w:val="1"/>
                <w:color w:val="auto"/>
                <w:vertAlign w:val="superscript"/>
              </w:rPr>
              <w:t>(2)</w:t>
            </w:r>
          </w:p>
        </w:tc>
      </w:tr>
      <w:tr>
        <w:trPr>
          <w:trHeight w:val="140"/>
        </w:trPr>
        <w:tc>
          <w:tcPr>
            <w:tcW w:w="4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580"/>
              <w:spacing w:after="0" w:line="141" w:lineRule="exact"/>
              <w:rPr>
                <w:sz w:val="20"/>
                <w:szCs w:val="20"/>
                <w:color w:val="auto"/>
              </w:rPr>
            </w:pPr>
            <w:r>
              <w:rPr>
                <w:rFonts w:ascii="Arial" w:cs="Arial" w:eastAsia="Arial" w:hAnsi="Arial"/>
                <w:sz w:val="14"/>
                <w:szCs w:val="14"/>
                <w:b w:val="1"/>
                <w:bCs w:val="1"/>
                <w:color w:val="auto"/>
              </w:rPr>
              <w:t>WITHOUT</w:t>
            </w: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Borders>
              <w:top w:val="single" w:sz="8" w:color="auto"/>
            </w:tcBorders>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rPr>
              <w:t>WITHOUT</w:t>
            </w: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OVER-</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WITH OVER-</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OVER-</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WITH OVER-</w:t>
            </w:r>
          </w:p>
        </w:tc>
      </w:tr>
      <w:tr>
        <w:trPr>
          <w:trHeight w:val="177"/>
        </w:trPr>
        <w:tc>
          <w:tcPr>
            <w:tcW w:w="4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ALLOTMENT</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ALLOTMENT</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ALLOTMENT</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ALLOTMENT</w:t>
            </w:r>
          </w:p>
        </w:tc>
      </w:tr>
      <w:tr>
        <w:trPr>
          <w:trHeight w:val="183"/>
        </w:trPr>
        <w:tc>
          <w:tcPr>
            <w:tcW w:w="47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Underwriting Discounts and Commissions paid by us</w:t>
            </w:r>
          </w:p>
        </w:tc>
        <w:tc>
          <w:tcPr>
            <w:tcW w:w="1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0.55</w:t>
            </w:r>
          </w:p>
        </w:tc>
        <w:tc>
          <w:tcPr>
            <w:tcW w:w="4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0.55</w:t>
            </w:r>
          </w:p>
        </w:tc>
        <w:tc>
          <w:tcPr>
            <w:tcW w:w="4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$11,000,000</w:t>
            </w:r>
          </w:p>
        </w:tc>
        <w:tc>
          <w:tcPr>
            <w:tcW w:w="4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$12,650,000</w:t>
            </w: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47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83"/>
        </w:trPr>
        <w:tc>
          <w:tcPr>
            <w:tcW w:w="4740" w:type="dxa"/>
            <w:vAlign w:val="bottom"/>
          </w:tcPr>
          <w:p>
            <w:pPr>
              <w:spacing w:after="0"/>
              <w:rPr>
                <w:sz w:val="24"/>
                <w:szCs w:val="24"/>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50" w:name="page151"/>
    <w:bookmarkEnd w:id="15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200"/>
          </w:cols>
          <w:pgMar w:left="320" w:top="455" w:right="379" w:bottom="1440" w:gutter="0" w:footer="0" w:header="0"/>
        </w:sectPr>
      </w:pPr>
    </w:p>
    <w:p>
      <w:pPr>
        <w:spacing w:after="0" w:line="3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$1,000,000. We have agreed to pay for FINRA related fees and expenses of the underwriters’ legal counsel, not to exceed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46" w:lineRule="exact"/>
        <w:rPr>
          <w:sz w:val="20"/>
          <w:szCs w:val="20"/>
          <w:color w:val="auto"/>
        </w:rPr>
      </w:pPr>
    </w:p>
    <w:p>
      <w:pPr>
        <w:sectPr>
          <w:pgSz w:w="11900" w:h="16838" w:orient="portrait"/>
          <w:cols w:equalWidth="0" w:num="2">
            <w:col w:w="11120" w:space="0"/>
            <w:col w:w="80"/>
          </w:cols>
          <w:pgMar w:left="320" w:top="455" w:right="3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7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Prior to this offering, there has not been a public market for our securities. Consequently, the initial public offering price for our units was determined by negotiations between us and the representative. Among the factors considered in these negotiations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units will trade in the public market subsequent to the offering or that an active trading market for the units will develop and continue after the offering.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6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intend to apply to have our units listed on Nasdaq under the symbol “VIHHU.” Once the securities comprising the units begin separate trading, we expect that the Class A ordinary shares and warrants will be listed on Nasdaq under the symbols “VIHHW ” and “VIH,” respectively. The units will automatically separate into their component parts and will not be traded following the completion of our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60"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If you purchase units offered in this prospectus, you may be required to pay stamp taxes and other charges under the laws and practices of the country of purchase, in addition to the offering price listed on the cover page of this prospectus.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Units</w:t>
      </w:r>
    </w:p>
    <w:p>
      <w:pPr>
        <w:spacing w:after="0" w:line="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have granted to the underwriters an option, exercisable for 45 days from the date of this prospectus, to purchase, from time to time, in whole or in part, up to an aggregate of 1,875,000 units from us at the public offering price set forth on the cover page of this prospectus, less underwriting discounts and commissions. If the underwriters exercise this option, each underwriter will be obligated, subject to specified conditions, to purchase a number of additional units proportionate to that underwriter’s initial purchase commitment as indicated in the table above. This option may be exercised only if the underwriters sell more units than the total number set forth on the cover page of this prospectus.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Agreements</w:t>
      </w:r>
    </w:p>
    <w:p>
      <w:pPr>
        <w:spacing w:after="0" w:line="6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Jefferies LLC, offer, sell, contract to sell, pledge or otherwise dispose of, directly or indirectly, any units, warrants, Class A ordinary shares or any other securities convertible into, or exercisable, or exchangeable for, Class A ordinary shares; provided, however, that we may (1) issue and sell the private placement units, (2) issue and sell the additional units to cover our underwriters’ over allotment option (if any), (3) register with the SEC pursuant to an agreement to be entered into concurrently with the issuance and sale of the securities in this offering, the resale of the founder shares and the private placement units and the securities underlying the foregoing or the warrants and Class A ordinary shares issuable upon exercise of the warrants, and (4) issue securities in connection with an initial business combination. Jefferies LLC in its sole discretion may release any of the securities subject to these lock up agreements at any time without notice.</w:t>
      </w:r>
    </w:p>
    <w:p>
      <w:pPr>
        <w:spacing w:after="0" w:line="12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Our initial shareholders have agreed not to transfer, assign or sell any of their founder shares until the earlier to occur of: (A) one year after the completion of our initial business combination and (B) subsequent to our initial business combination, (x) if the closing price of our Class A ordinary shares equals or exceeds $12.00 per share (as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200"/>
          </w:cols>
          <w:pgMar w:left="320" w:top="455" w:right="379" w:bottom="1440" w:gutter="0" w:footer="0" w:header="0"/>
          <w:type w:val="continuous"/>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adjusted for share splits, share capitalizations, reorganizations, recapitalizations and the like) for any 20 trading days within any 30 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(except as described herein under “Principal Shareholders—Transfers of Founder Shares and Private Placement Units”). Any permitted transferees will be subject to the same restrictions and other agreements of our our sponsor and our management team with respect to any founder shares, private placement units, private placement shares, private placement warrants and Class A ordinary shares issued upon conversion or exercise thereof. We refer to such transfer restrictions throughout this prospectus as the lock up.</w:t>
      </w:r>
    </w:p>
    <w:p>
      <w:pPr>
        <w:spacing w:after="0" w:line="12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private placement units (including the private placement shares, private placement warrants and Class A ordinary shares issuable upon exercise of the private placement warrants) will not be transferable, assignable or salable until 30 days after the completion of our initial business combination (except with respect to permitted transferees as described herein under the section of this prospectus entitled “Principal Shareholders— Transfers of Founder Shares and Private Placement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7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units at a level above that which might otherwise prevail in the open market. Establishing short sales positions may involve either “covered” short sales or “naked” short sales.</w:t>
      </w:r>
    </w:p>
    <w:p>
      <w:pPr>
        <w:spacing w:after="0" w:line="117"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units in this offering. The underwriters may close out any covered short position by either exercising their option to purchase additional units or purchasing units in the open market. In determining the source of units to close out the covered short position, the underwriters will consider, among other things, the price of units available for purchase in the open market as compared to the price at which they may purchase units through the option to purchase additional units.</w:t>
      </w:r>
    </w:p>
    <w:p>
      <w:pPr>
        <w:spacing w:after="0" w:line="121" w:lineRule="exact"/>
        <w:rPr>
          <w:sz w:val="20"/>
          <w:szCs w:val="20"/>
          <w:color w:val="auto"/>
        </w:rPr>
      </w:pPr>
    </w:p>
    <w:p>
      <w:pPr>
        <w:ind w:right="480"/>
        <w:spacing w:after="0" w:line="253" w:lineRule="auto"/>
        <w:rPr>
          <w:sz w:val="20"/>
          <w:szCs w:val="20"/>
          <w:color w:val="auto"/>
        </w:rPr>
      </w:pPr>
      <w:r>
        <w:rPr>
          <w:rFonts w:ascii="Arial" w:cs="Arial" w:eastAsia="Arial" w:hAnsi="Arial"/>
          <w:sz w:val="17"/>
          <w:szCs w:val="17"/>
          <w:color w:val="auto"/>
        </w:rPr>
        <w:t>“Naked” short sales are sales in excess of the option to purchase additional units. The underwriters must close out any naked short position by purchasing units in the open market. A naked short position is more likely to be created if the underwriters are concerned that there may be downward pressure on the price of our units in the open market after pricing that could adversely affect investors who purchase in this offering.</w:t>
      </w:r>
    </w:p>
    <w:p>
      <w:pPr>
        <w:spacing w:after="0" w:line="11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 stabilizing bid is a bid for the purchase of units on behalf of the underwriters for the purpose of fixing or maintaining the price of the units. A syndicate covering transaction is the bid for or the purchase of units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units or preventing or retarding a decline in the market price of our units. As a result, the price of our units may be higher than the price that might otherwise exist in the open market. A penalty bid is an arrangement permitting the underwriters to reclaim the selling concession otherwise accruing to a syndicate member in connection with the offering if the units originally sold by such syndicate member are purchased in a syndicate covering transaction and therefore have not been effectively placed by such syndicate member.</w:t>
      </w:r>
    </w:p>
    <w:p>
      <w:pPr>
        <w:spacing w:after="0" w:line="123"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units. The underwriters are not obligated to engage in these activities and, if commenced, any of the activities may be discontinued at any time.</w:t>
      </w:r>
    </w:p>
    <w:p>
      <w:pPr>
        <w:spacing w:after="0" w:line="111"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The underwriters may also engage in passive market making transactions in our units on Nasdaq in accordance with Rule 103 of Regulation M during a period before the commencement of offers or sales of our units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240"/>
          </w:cols>
          <w:pgMar w:left="320" w:top="455" w:right="3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7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 prospectus in electronic format may be made available by e 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60"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2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2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Prospective Investors in the Cayman Islands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No offer or invitation, whether directly or indirectly, may be made to the public in the Cayman Islands to subscribe for our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7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relation to each Member State of the European Economic Area (each a “</w:t>
      </w:r>
      <w:r>
        <w:rPr>
          <w:rFonts w:ascii="Arial" w:cs="Arial" w:eastAsia="Arial" w:hAnsi="Arial"/>
          <w:sz w:val="17"/>
          <w:szCs w:val="17"/>
          <w:b w:val="1"/>
          <w:bCs w:val="1"/>
          <w:color w:val="auto"/>
        </w:rPr>
        <w:t>Member State</w:t>
      </w:r>
      <w:r>
        <w:rPr>
          <w:rFonts w:ascii="Arial" w:cs="Arial" w:eastAsia="Arial" w:hAnsi="Arial"/>
          <w:sz w:val="17"/>
          <w:szCs w:val="17"/>
          <w:color w:val="auto"/>
        </w:rPr>
        <w:t>”), no Shares have been offered or will be offered pursuant to this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60"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Prospectus Regulation;</w:t>
      </w:r>
    </w:p>
    <w:p>
      <w:pPr>
        <w:spacing w:after="0" w:line="35" w:lineRule="exact"/>
        <w:rPr>
          <w:rFonts w:ascii="Arial" w:cs="Arial" w:eastAsia="Arial" w:hAnsi="Arial"/>
          <w:sz w:val="17"/>
          <w:szCs w:val="17"/>
          <w:color w:val="auto"/>
        </w:rPr>
      </w:pPr>
    </w:p>
    <w:p>
      <w:pPr>
        <w:ind w:left="460" w:right="60" w:hanging="452"/>
        <w:spacing w:after="0" w:line="273" w:lineRule="auto"/>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Representatives for any such offer; 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240"/>
          </w:cols>
          <w:pgMar w:left="320" w:top="455" w:right="3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156"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no such offer of units referred to in the bullet points above shall require us or any underwriter to publish a prospectus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Article 3 of the Prospectus Directive or supplement a prospectus pursuant to Article 16 of the Prospectus Directive.</w:t>
      </w:r>
    </w:p>
    <w:p>
      <w:pPr>
        <w:spacing w:after="0" w:line="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Each purchaser of units described in this prospectus located within a relevant member state will be deemed to have represented, acknowledged and agreed that it is a “qualified investor” within the meaning of Article 2(1)(e) of the Prospectus Directive.</w:t>
      </w:r>
    </w:p>
    <w:p>
      <w:pPr>
        <w:spacing w:after="0" w:line="92" w:lineRule="exact"/>
        <w:rPr>
          <w:sz w:val="20"/>
          <w:szCs w:val="20"/>
          <w:color w:val="auto"/>
        </w:rPr>
      </w:pPr>
    </w:p>
    <w:p>
      <w:pPr>
        <w:ind w:right="60"/>
        <w:spacing w:after="0"/>
        <w:rPr>
          <w:sz w:val="20"/>
          <w:szCs w:val="20"/>
          <w:color w:val="auto"/>
        </w:rPr>
      </w:pPr>
      <w:r>
        <w:rPr>
          <w:rFonts w:ascii="Arial" w:cs="Arial" w:eastAsia="Arial" w:hAnsi="Arial"/>
          <w:sz w:val="17"/>
          <w:szCs w:val="17"/>
          <w:color w:val="auto"/>
        </w:rPr>
        <w:t>For the purpose of this provision, the expression an “offer of units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by the relevant member state) and includes any relevant implementing measure in each relevant member state. The expression 2010 PD Amending Directive means Directive 2010/73/EU.</w:t>
      </w:r>
    </w:p>
    <w:p>
      <w:pPr>
        <w:spacing w:after="0" w:line="12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We have not authorized and do not authorize the making of any offer of units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1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Furthermore, the units are not intended to be offered, sold or otherwise made available to and should not be offered, sold or otherwise made available by any person to any retail investor in the European Economic Area (the “</w:t>
      </w:r>
      <w:r>
        <w:rPr>
          <w:rFonts w:ascii="Arial" w:cs="Arial" w:eastAsia="Arial" w:hAnsi="Arial"/>
          <w:sz w:val="17"/>
          <w:szCs w:val="17"/>
          <w:b w:val="1"/>
          <w:bCs w:val="1"/>
          <w:color w:val="auto"/>
        </w:rPr>
        <w:t>EEA</w:t>
      </w:r>
      <w:r>
        <w:rPr>
          <w:rFonts w:ascii="Arial" w:cs="Arial" w:eastAsia="Arial" w:hAnsi="Arial"/>
          <w:sz w:val="17"/>
          <w:szCs w:val="17"/>
          <w:color w:val="auto"/>
        </w:rPr>
        <w:t>”). For these purposes, a retail investor means a person who is one (or more) of: (i) a retail client as defined in point (11) of Article 4(1) of Directive 2014/65/EU (as amended, “</w:t>
      </w:r>
      <w:r>
        <w:rPr>
          <w:rFonts w:ascii="Arial" w:cs="Arial" w:eastAsia="Arial" w:hAnsi="Arial"/>
          <w:sz w:val="17"/>
          <w:szCs w:val="17"/>
          <w:b w:val="1"/>
          <w:bCs w:val="1"/>
          <w:color w:val="auto"/>
        </w:rPr>
        <w:t>MiFID II</w:t>
      </w:r>
      <w:r>
        <w:rPr>
          <w:rFonts w:ascii="Arial" w:cs="Arial" w:eastAsia="Arial" w:hAnsi="Arial"/>
          <w:sz w:val="17"/>
          <w:szCs w:val="17"/>
          <w:color w:val="auto"/>
        </w:rPr>
        <w:t>”); (ii) a customer within the meaning of Directive 2002/92/EC, as amended, where that customer would not qualify as a professional client as defined in point (10) of Article 4(1) of MiFID II or (iii) not a qualified investor as defined in Directive 2003/71/EC (as amended, including by Directive 2010/73/EU, the “</w:t>
      </w:r>
      <w:r>
        <w:rPr>
          <w:rFonts w:ascii="Arial" w:cs="Arial" w:eastAsia="Arial" w:hAnsi="Arial"/>
          <w:sz w:val="17"/>
          <w:szCs w:val="17"/>
          <w:b w:val="1"/>
          <w:bCs w:val="1"/>
          <w:color w:val="auto"/>
        </w:rPr>
        <w:t>Prospectus</w:t>
      </w:r>
      <w:r>
        <w:rPr>
          <w:rFonts w:ascii="Arial" w:cs="Arial" w:eastAsia="Arial" w:hAnsi="Arial"/>
          <w:sz w:val="17"/>
          <w:szCs w:val="17"/>
          <w:color w:val="auto"/>
        </w:rPr>
        <w:t xml:space="preserve"> </w:t>
      </w:r>
      <w:r>
        <w:rPr>
          <w:rFonts w:ascii="Arial" w:cs="Arial" w:eastAsia="Arial" w:hAnsi="Arial"/>
          <w:sz w:val="17"/>
          <w:szCs w:val="17"/>
          <w:b w:val="1"/>
          <w:bCs w:val="1"/>
          <w:color w:val="auto"/>
        </w:rPr>
        <w:t>Directive</w:t>
      </w:r>
      <w:r>
        <w:rPr>
          <w:rFonts w:ascii="Arial" w:cs="Arial" w:eastAsia="Arial" w:hAnsi="Arial"/>
          <w:sz w:val="17"/>
          <w:szCs w:val="17"/>
          <w:color w:val="auto"/>
        </w:rPr>
        <w:t>”). Consequently, no key information document required by Regulation (EU) No 1286/2014 (as amended, the “</w:t>
      </w:r>
      <w:r>
        <w:rPr>
          <w:rFonts w:ascii="Arial" w:cs="Arial" w:eastAsia="Arial" w:hAnsi="Arial"/>
          <w:sz w:val="17"/>
          <w:szCs w:val="17"/>
          <w:b w:val="1"/>
          <w:bCs w:val="1"/>
          <w:color w:val="auto"/>
        </w:rPr>
        <w:t>PRIIPs Regulation</w:t>
      </w:r>
      <w:r>
        <w:rPr>
          <w:rFonts w:ascii="Arial" w:cs="Arial" w:eastAsia="Arial" w:hAnsi="Arial"/>
          <w:sz w:val="17"/>
          <w:szCs w:val="17"/>
          <w:color w:val="auto"/>
        </w:rPr>
        <w:t>”) for</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or selling the units or otherwise making them available to retail investors in the EEA has been prepared and therefore offering or selling the units or otherwise making them available to any retail investor in the EEA may be unlawful under the PRIIPs Regulation. This prospectus has been prepared on the basis that any offer of units in any member state of the EEA will be made pursuant to an exemption under the Prospectus Directive from the requirement to publish a prospectus for offers of units. This prospectus is not a prospectus for the purposes of the Prospectus Directive.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w:t>
      </w:r>
      <w:r>
        <w:rPr>
          <w:rFonts w:ascii="Arial" w:cs="Arial" w:eastAsia="Arial" w:hAnsi="Arial"/>
          <w:sz w:val="17"/>
          <w:szCs w:val="17"/>
          <w:b w:val="1"/>
          <w:bCs w:val="1"/>
          <w:color w:val="auto"/>
        </w:rPr>
        <w:t>Order</w:t>
      </w:r>
      <w:r>
        <w:rPr>
          <w:rFonts w:ascii="Arial" w:cs="Arial" w:eastAsia="Arial" w:hAnsi="Arial"/>
          <w:sz w:val="17"/>
          <w:szCs w:val="17"/>
          <w:color w:val="auto"/>
        </w:rPr>
        <w:t>”) or (ii) high net worth entities, and other persons to whom it may lawfully be communicated, falling within Article 49(2)(a) to (d) of the Order (each such person being referred to as a “</w:t>
      </w:r>
      <w:r>
        <w:rPr>
          <w:rFonts w:ascii="Arial" w:cs="Arial" w:eastAsia="Arial" w:hAnsi="Arial"/>
          <w:sz w:val="17"/>
          <w:szCs w:val="17"/>
          <w:b w:val="1"/>
          <w:bCs w:val="1"/>
          <w:color w:val="auto"/>
        </w:rPr>
        <w:t>relevant person</w:t>
      </w:r>
      <w:r>
        <w:rPr>
          <w:rFonts w:ascii="Arial" w:cs="Arial" w:eastAsia="Arial" w:hAnsi="Arial"/>
          <w:sz w:val="17"/>
          <w:szCs w:val="17"/>
          <w:color w:val="auto"/>
        </w:rPr>
        <w:t>”).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60" w:lineRule="exact"/>
        <w:rPr>
          <w:sz w:val="20"/>
          <w:szCs w:val="20"/>
          <w:color w:val="auto"/>
        </w:rPr>
      </w:pPr>
    </w:p>
    <w:p>
      <w:pPr>
        <w:ind w:right="420"/>
        <w:spacing w:after="0" w:line="253" w:lineRule="auto"/>
        <w:rPr>
          <w:sz w:val="20"/>
          <w:szCs w:val="20"/>
          <w:color w:val="auto"/>
        </w:rPr>
      </w:pPr>
      <w:r>
        <w:rPr>
          <w:rFonts w:ascii="Arial" w:cs="Arial" w:eastAsia="Arial" w:hAnsi="Arial"/>
          <w:sz w:val="17"/>
          <w:szCs w:val="17"/>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20"/>
          </w:cols>
          <w:pgMar w:left="320" w:top="455" w:right="3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have not been offered or sold and will not be offered or sold, directly or indirectly, to the public in France. Neither this prospectus nor any other offering material relating to the units has been or will be:</w:t>
      </w:r>
    </w:p>
    <w:p>
      <w:pPr>
        <w:spacing w:after="0" w:line="133" w:lineRule="exact"/>
        <w:rPr>
          <w:sz w:val="20"/>
          <w:szCs w:val="20"/>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released, issued, distributed or caused to be released, issued or distributed to the public in France; or</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used in connection with any offer for subscription or sale of the units to the public in France.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Such offers, sales and distributions will be made in France only:</w:t>
      </w:r>
    </w:p>
    <w:p>
      <w:pPr>
        <w:spacing w:after="0" w:line="196" w:lineRule="exact"/>
        <w:rPr>
          <w:sz w:val="20"/>
          <w:szCs w:val="20"/>
          <w:color w:val="auto"/>
        </w:rPr>
      </w:pPr>
    </w:p>
    <w:p>
      <w:pPr>
        <w:ind w:left="880" w:right="180" w:hanging="427"/>
        <w:spacing w:after="0" w:line="249" w:lineRule="auto"/>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ind w:left="880" w:hanging="427"/>
        <w:spacing w:after="0"/>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to investment services providers authorized to engage in portfolio management on behalf of third parties; or</w:t>
      </w:r>
    </w:p>
    <w:p>
      <w:pPr>
        <w:spacing w:after="0" w:line="34" w:lineRule="exact"/>
        <w:rPr>
          <w:rFonts w:ascii="MS PGothic" w:cs="MS PGothic" w:eastAsia="MS PGothic" w:hAnsi="MS PGothic"/>
          <w:sz w:val="13"/>
          <w:szCs w:val="13"/>
          <w:color w:val="auto"/>
        </w:rPr>
      </w:pPr>
    </w:p>
    <w:p>
      <w:pPr>
        <w:jc w:val="both"/>
        <w:ind w:left="880" w:right="180" w:hanging="427"/>
        <w:spacing w:after="0" w:line="252" w:lineRule="auto"/>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1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units may be resold directly or indirectly, only in compliance with articles L.411-1, L.411-2, L.412-1 and L.621-8 through L.621-8-3 of the French Code monétaire et financier.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73"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6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w:t>
      </w:r>
      <w:r>
        <w:rPr>
          <w:rFonts w:ascii="Arial" w:cs="Arial" w:eastAsia="Arial" w:hAnsi="Arial"/>
          <w:sz w:val="17"/>
          <w:szCs w:val="17"/>
          <w:b w:val="1"/>
          <w:bCs w:val="1"/>
          <w:color w:val="auto"/>
        </w:rPr>
        <w:t>SFA</w:t>
      </w:r>
      <w:r>
        <w:rPr>
          <w:rFonts w:ascii="Arial" w:cs="Arial" w:eastAsia="Arial" w:hAnsi="Arial"/>
          <w:sz w:val="17"/>
          <w:szCs w:val="17"/>
          <w:color w:val="auto"/>
        </w:rPr>
        <w:t>”),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Where the units are subscribed or purchased under Section 275 of the SFA by a relevant person which is</w:t>
      </w:r>
    </w:p>
    <w:p>
      <w:pPr>
        <w:spacing w:after="0" w:line="196" w:lineRule="exact"/>
        <w:rPr>
          <w:sz w:val="20"/>
          <w:szCs w:val="20"/>
          <w:color w:val="auto"/>
        </w:rPr>
      </w:pPr>
    </w:p>
    <w:p>
      <w:pPr>
        <w:ind w:left="880" w:hanging="427"/>
        <w:spacing w:after="0" w:line="257" w:lineRule="auto"/>
        <w:tabs>
          <w:tab w:leader="none" w:pos="8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MS PGothic" w:cs="MS PGothic" w:eastAsia="MS PGothic" w:hAnsi="MS PGothic"/>
          <w:sz w:val="13"/>
          <w:szCs w:val="13"/>
          <w:color w:val="auto"/>
        </w:rPr>
      </w:pPr>
    </w:p>
    <w:p>
      <w:pPr>
        <w:ind w:left="880" w:right="100" w:hanging="427"/>
        <w:spacing w:after="0" w:line="245" w:lineRule="auto"/>
        <w:tabs>
          <w:tab w:leader="none" w:pos="8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240"/>
          </w:cols>
          <w:pgMar w:left="320" w:top="455" w:right="3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line="242" w:lineRule="auto"/>
        <w:tabs>
          <w:tab w:leader="none" w:pos="8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where no consideration is or will be given for the transfer;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152"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b w:val="1"/>
          <w:bCs w:val="1"/>
          <w:color w:val="auto"/>
        </w:rPr>
        <w:t>Notification under Section 309B of the Securities and Futures Act, Chapter 289 of Singapore</w:t>
      </w:r>
      <w:r>
        <w:rPr>
          <w:rFonts w:ascii="Arial" w:cs="Arial" w:eastAsia="Arial" w:hAnsi="Arial"/>
          <w:sz w:val="17"/>
          <w:szCs w:val="17"/>
          <w:color w:val="auto"/>
        </w:rPr>
        <w:t>: The units are prescribed capital markets</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60"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units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units must be made in accordance with an exemption from, or in a transaction not subject to, the prospectus requirements of applicable securities laws.</w:t>
      </w:r>
    </w:p>
    <w:p>
      <w:pPr>
        <w:spacing w:after="0" w:line="11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00"/>
          </w:cols>
          <w:pgMar w:left="320" w:top="455" w:right="37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White &amp; Case LLP, New York, New York, is acting as counsel in connection with the registration of our securities under the Securities Act, and as such, will pass upon the validity of the securities offered in this prospectus with respect to units and warrants. Maples and Calder, Cayman Islands, will pass upon the validity of the securities offered in this prospectus with respect to the ordinary shares and matters of Cayman Islands law. In connection with this offering, Kirkland &amp; Ellis LLP, New York, New York, is acting as counsel to the underwriters.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060"/>
          </w:cols>
          <w:pgMar w:left="320" w:top="455" w:right="51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financial statements of VPC Impact Acquisition Holdings, as of August 3, 2020 and for the period from July 31, 2020 (inception) through August 3, 2020 appearing in this prospectus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220"/>
          </w:cols>
          <w:pgMar w:left="320" w:top="455" w:right="3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2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7"/>
          <w:szCs w:val="17"/>
          <w:i w:val="1"/>
          <w:iCs w:val="1"/>
          <w:color w:val="auto"/>
        </w:rPr>
        <w:t>www.sec.gov.</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040"/>
          </w:cols>
          <w:pgMar w:left="320" w:top="455" w:right="5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760" w:type="dxa"/>
            <w:vAlign w:val="bottom"/>
            <w:gridSpan w:val="2"/>
            <w:vMerge w:val="restart"/>
          </w:tcPr>
          <w:p>
            <w:pPr>
              <w:spacing w:after="0"/>
              <w:rPr>
                <w:rFonts w:ascii="Arial" w:cs="Arial" w:eastAsia="Arial" w:hAnsi="Arial"/>
                <w:sz w:val="17"/>
                <w:szCs w:val="17"/>
                <w:u w:val="single" w:color="auto"/>
                <w:color w:val="0000EE"/>
              </w:rPr>
            </w:pPr>
            <w:hyperlink w:anchor="page161">
              <w:r>
                <w:rPr>
                  <w:rFonts w:ascii="Arial" w:cs="Arial" w:eastAsia="Arial" w:hAnsi="Arial"/>
                  <w:sz w:val="17"/>
                  <w:szCs w:val="17"/>
                  <w:u w:val="single" w:color="auto"/>
                  <w:color w:val="0000EE"/>
                </w:rPr>
                <w:t>Report of Independent Registered Public Accounting Firm</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154"/>
        </w:trPr>
        <w:tc>
          <w:tcPr>
            <w:tcW w:w="10760" w:type="dxa"/>
            <w:vAlign w:val="bottom"/>
            <w:gridSpan w:val="2"/>
            <w:vMerge w:val="continue"/>
          </w:tcPr>
          <w:p>
            <w:pPr>
              <w:spacing w:after="0"/>
              <w:rPr>
                <w:sz w:val="13"/>
                <w:szCs w:val="13"/>
                <w:color w:val="auto"/>
              </w:rPr>
            </w:pPr>
          </w:p>
        </w:tc>
        <w:tc>
          <w:tcPr>
            <w:tcW w:w="4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sz w:val="20"/>
                <w:szCs w:val="20"/>
                <w:color w:val="auto"/>
              </w:rPr>
            </w:pPr>
            <w:r>
              <w:rPr>
                <w:rFonts w:ascii="Arial" w:cs="Arial" w:eastAsia="Arial" w:hAnsi="Arial"/>
                <w:sz w:val="17"/>
                <w:szCs w:val="17"/>
                <w:color w:val="auto"/>
              </w:rPr>
              <w:t>Financial Statements:</w:t>
            </w:r>
          </w:p>
        </w:tc>
        <w:tc>
          <w:tcPr>
            <w:tcW w:w="7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rFonts w:ascii="Arial" w:cs="Arial" w:eastAsia="Arial" w:hAnsi="Arial"/>
                <w:sz w:val="17"/>
                <w:szCs w:val="17"/>
                <w:u w:val="single" w:color="auto"/>
                <w:color w:val="0000EE"/>
              </w:rPr>
            </w:pPr>
            <w:hyperlink w:anchor="page162">
              <w:r>
                <w:rPr>
                  <w:rFonts w:ascii="Arial" w:cs="Arial" w:eastAsia="Arial" w:hAnsi="Arial"/>
                  <w:sz w:val="17"/>
                  <w:szCs w:val="17"/>
                  <w:u w:val="single" w:color="auto"/>
                  <w:color w:val="0000EE"/>
                </w:rPr>
                <w:t>Balance Sheet as of August 3, 2020</w:t>
              </w:r>
            </w:hyperlink>
          </w:p>
        </w:tc>
        <w:tc>
          <w:tcPr>
            <w:tcW w:w="7020" w:type="dxa"/>
            <w:vAlign w:val="bottom"/>
          </w:tcPr>
          <w:p>
            <w:pPr>
              <w:spacing w:after="0"/>
              <w:rPr>
                <w:sz w:val="16"/>
                <w:szCs w:val="16"/>
                <w:color w:val="auto"/>
              </w:rPr>
            </w:pPr>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rFonts w:ascii="Arial" w:cs="Arial" w:eastAsia="Arial" w:hAnsi="Arial"/>
                <w:sz w:val="17"/>
                <w:szCs w:val="17"/>
                <w:u w:val="single" w:color="auto"/>
                <w:color w:val="0000EE"/>
              </w:rPr>
            </w:pPr>
            <w:hyperlink w:anchor="page163">
              <w:r>
                <w:rPr>
                  <w:rFonts w:ascii="Arial" w:cs="Arial" w:eastAsia="Arial" w:hAnsi="Arial"/>
                  <w:sz w:val="17"/>
                  <w:szCs w:val="17"/>
                  <w:u w:val="single" w:color="auto"/>
                  <w:color w:val="0000EE"/>
                </w:rPr>
                <w:t>Statement of Operations for the period from July</w:t>
              </w:r>
            </w:hyperlink>
          </w:p>
        </w:tc>
        <w:tc>
          <w:tcPr>
            <w:tcW w:w="7020" w:type="dxa"/>
            <w:vAlign w:val="bottom"/>
          </w:tcPr>
          <w:p>
            <w:pPr>
              <w:spacing w:after="0" w:line="189" w:lineRule="exact"/>
              <w:rPr>
                <w:rFonts w:ascii="Arial" w:cs="Arial" w:eastAsia="Arial" w:hAnsi="Arial"/>
                <w:sz w:val="17"/>
                <w:szCs w:val="17"/>
                <w:u w:val="single" w:color="auto"/>
                <w:color w:val="0000EE"/>
              </w:rPr>
            </w:pPr>
            <w:hyperlink w:anchor="page163">
              <w:r>
                <w:rPr>
                  <w:rFonts w:ascii="Arial" w:cs="Arial" w:eastAsia="Arial" w:hAnsi="Arial"/>
                  <w:sz w:val="17"/>
                  <w:szCs w:val="17"/>
                  <w:u w:val="single" w:color="auto"/>
                  <w:color w:val="0000EE"/>
                </w:rPr>
                <w:t>31, 2020 (inception) through August 3, 2020</w:t>
              </w:r>
            </w:hyperlink>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9"/>
        </w:trPr>
        <w:tc>
          <w:tcPr>
            <w:tcW w:w="10760" w:type="dxa"/>
            <w:vAlign w:val="bottom"/>
            <w:gridSpan w:val="2"/>
          </w:tcPr>
          <w:p>
            <w:pPr>
              <w:spacing w:after="0" w:line="189" w:lineRule="exact"/>
              <w:rPr>
                <w:rFonts w:ascii="Arial" w:cs="Arial" w:eastAsia="Arial" w:hAnsi="Arial"/>
                <w:sz w:val="17"/>
                <w:szCs w:val="17"/>
                <w:u w:val="single" w:color="auto"/>
                <w:color w:val="0000EE"/>
              </w:rPr>
            </w:pPr>
            <w:hyperlink w:anchor="page164">
              <w:r>
                <w:rPr>
                  <w:rFonts w:ascii="Arial" w:cs="Arial" w:eastAsia="Arial" w:hAnsi="Arial"/>
                  <w:sz w:val="17"/>
                  <w:szCs w:val="17"/>
                  <w:u w:val="single" w:color="auto"/>
                  <w:color w:val="0000EE"/>
                </w:rPr>
                <w:t>Statement of Changes in Shareholder’s Equity for the period from July 31, 2020 (inception) through August 3, 2020</w:t>
              </w:r>
            </w:hyperlink>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rFonts w:ascii="Arial" w:cs="Arial" w:eastAsia="Arial" w:hAnsi="Arial"/>
                <w:sz w:val="17"/>
                <w:szCs w:val="17"/>
                <w:u w:val="single" w:color="auto"/>
                <w:color w:val="0000EE"/>
              </w:rPr>
            </w:pPr>
            <w:hyperlink w:anchor="page165">
              <w:r>
                <w:rPr>
                  <w:rFonts w:ascii="Arial" w:cs="Arial" w:eastAsia="Arial" w:hAnsi="Arial"/>
                  <w:sz w:val="17"/>
                  <w:szCs w:val="17"/>
                  <w:u w:val="single" w:color="auto"/>
                  <w:color w:val="0000EE"/>
                </w:rPr>
                <w:t>Statement of Cash Flows for the period from July</w:t>
              </w:r>
            </w:hyperlink>
          </w:p>
        </w:tc>
        <w:tc>
          <w:tcPr>
            <w:tcW w:w="7020" w:type="dxa"/>
            <w:vAlign w:val="bottom"/>
          </w:tcPr>
          <w:p>
            <w:pPr>
              <w:ind w:left="60"/>
              <w:spacing w:after="0" w:line="189" w:lineRule="exact"/>
              <w:rPr>
                <w:rFonts w:ascii="Arial" w:cs="Arial" w:eastAsia="Arial" w:hAnsi="Arial"/>
                <w:sz w:val="17"/>
                <w:szCs w:val="17"/>
                <w:u w:val="single" w:color="auto"/>
                <w:color w:val="0000EE"/>
              </w:rPr>
            </w:pPr>
            <w:hyperlink w:anchor="page165">
              <w:r>
                <w:rPr>
                  <w:rFonts w:ascii="Arial" w:cs="Arial" w:eastAsia="Arial" w:hAnsi="Arial"/>
                  <w:sz w:val="17"/>
                  <w:szCs w:val="17"/>
                  <w:u w:val="single" w:color="auto"/>
                  <w:color w:val="0000EE"/>
                </w:rPr>
                <w:t>31, 2020 (inception) through August3, 2020</w:t>
              </w:r>
            </w:hyperlink>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31"/>
        </w:trPr>
        <w:tc>
          <w:tcPr>
            <w:tcW w:w="3740" w:type="dxa"/>
            <w:vAlign w:val="bottom"/>
          </w:tcPr>
          <w:p>
            <w:pPr>
              <w:spacing w:after="0"/>
              <w:rPr>
                <w:rFonts w:ascii="Arial" w:cs="Arial" w:eastAsia="Arial" w:hAnsi="Arial"/>
                <w:sz w:val="17"/>
                <w:szCs w:val="17"/>
                <w:u w:val="single" w:color="auto"/>
                <w:color w:val="0000EE"/>
              </w:rPr>
            </w:pPr>
            <w:hyperlink w:anchor="page166">
              <w:r>
                <w:rPr>
                  <w:rFonts w:ascii="Arial" w:cs="Arial" w:eastAsia="Arial" w:hAnsi="Arial"/>
                  <w:sz w:val="17"/>
                  <w:szCs w:val="17"/>
                  <w:u w:val="single" w:color="auto"/>
                  <w:color w:val="0000EE"/>
                </w:rPr>
                <w:t>Notes to Financial Statements</w:t>
              </w:r>
            </w:hyperlink>
          </w:p>
        </w:tc>
        <w:tc>
          <w:tcPr>
            <w:tcW w:w="702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335"/>
        </w:trPr>
        <w:tc>
          <w:tcPr>
            <w:tcW w:w="3740" w:type="dxa"/>
            <w:vAlign w:val="bottom"/>
          </w:tcPr>
          <w:p>
            <w:pPr>
              <w:spacing w:after="0"/>
              <w:rPr>
                <w:sz w:val="24"/>
                <w:szCs w:val="24"/>
                <w:color w:val="auto"/>
              </w:rPr>
            </w:pPr>
          </w:p>
        </w:tc>
        <w:tc>
          <w:tcPr>
            <w:tcW w:w="7020" w:type="dxa"/>
            <w:vAlign w:val="bottom"/>
          </w:tcPr>
          <w:p>
            <w:pPr>
              <w:ind w:left="1760"/>
              <w:spacing w:after="0"/>
              <w:rPr>
                <w:sz w:val="20"/>
                <w:szCs w:val="20"/>
                <w:color w:val="auto"/>
              </w:rPr>
            </w:pPr>
            <w:r>
              <w:rPr>
                <w:rFonts w:ascii="Arial" w:cs="Arial" w:eastAsia="Arial" w:hAnsi="Arial"/>
                <w:sz w:val="16"/>
                <w:szCs w:val="16"/>
                <w:color w:val="auto"/>
              </w:rPr>
              <w:t>F-1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5" w:right="39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 and the Board of Directors of</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VPC Impact Acquisition Holdings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have audited the accompanying balance sheet of VPC Impact Acquisition Holdings (the “Company”) as of August 03, 2020, and the related statements of operations, changes in shareholder’s equity and cash flows for the period from July 31, 2020 (inception) through August 03, 2020, and the related notes (collectively referred to as the “financial statements”). In our opinion, the financial statements present fairly, in all material respects, the financial position of the Company as of August 03, 2020, and the results of its operations and its cash flows for the period from July 31, 2020 (inception) through August 03, 2020,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60"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2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 WithumSmith+Brown, PC</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August 7, 2020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240"/>
          </w:cols>
          <w:pgMar w:left="320" w:top="455" w:right="3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900" w:type="dxa"/>
            <w:vAlign w:val="bottom"/>
          </w:tcPr>
          <w:p>
            <w:pPr>
              <w:jc w:val="center"/>
              <w:ind w:left="1254"/>
              <w:spacing w:after="0"/>
              <w:rPr>
                <w:sz w:val="20"/>
                <w:szCs w:val="20"/>
                <w:color w:val="auto"/>
              </w:rPr>
            </w:pPr>
            <w:r>
              <w:rPr>
                <w:rFonts w:ascii="Arial" w:cs="Arial" w:eastAsia="Arial" w:hAnsi="Arial"/>
                <w:sz w:val="18"/>
                <w:szCs w:val="18"/>
                <w:b w:val="1"/>
                <w:bCs w:val="1"/>
                <w:color w:val="auto"/>
                <w:w w:val="99"/>
              </w:rPr>
              <w:t>VPC IMPACT ACQUISITION HOLDINGS</w:t>
            </w: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900" w:type="dxa"/>
            <w:vAlign w:val="bottom"/>
          </w:tcPr>
          <w:p>
            <w:pPr>
              <w:jc w:val="center"/>
              <w:ind w:left="1254"/>
              <w:spacing w:after="0"/>
              <w:rPr>
                <w:sz w:val="20"/>
                <w:szCs w:val="20"/>
                <w:color w:val="auto"/>
              </w:rPr>
            </w:pPr>
            <w:r>
              <w:rPr>
                <w:rFonts w:ascii="Arial" w:cs="Arial" w:eastAsia="Arial" w:hAnsi="Arial"/>
                <w:sz w:val="18"/>
                <w:szCs w:val="18"/>
                <w:b w:val="1"/>
                <w:bCs w:val="1"/>
                <w:color w:val="auto"/>
                <w:w w:val="99"/>
              </w:rPr>
              <w:t>BALANCE SHEET</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9900" w:type="dxa"/>
            <w:vAlign w:val="bottom"/>
          </w:tcPr>
          <w:p>
            <w:pPr>
              <w:jc w:val="center"/>
              <w:ind w:left="1254"/>
              <w:spacing w:after="0"/>
              <w:rPr>
                <w:sz w:val="20"/>
                <w:szCs w:val="20"/>
                <w:color w:val="auto"/>
              </w:rPr>
            </w:pPr>
            <w:r>
              <w:rPr>
                <w:rFonts w:ascii="Arial" w:cs="Arial" w:eastAsia="Arial" w:hAnsi="Arial"/>
                <w:sz w:val="17"/>
                <w:szCs w:val="17"/>
                <w:color w:val="auto"/>
                <w:w w:val="99"/>
              </w:rPr>
              <w:t>AUGUST 3, 2020</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900" w:type="dxa"/>
            <w:vAlign w:val="bottom"/>
          </w:tcPr>
          <w:p>
            <w:pPr>
              <w:ind w:left="260"/>
              <w:spacing w:after="0" w:line="189" w:lineRule="exact"/>
              <w:rPr>
                <w:sz w:val="20"/>
                <w:szCs w:val="20"/>
                <w:color w:val="auto"/>
              </w:rPr>
            </w:pPr>
            <w:r>
              <w:rPr>
                <w:rFonts w:ascii="Arial" w:cs="Arial" w:eastAsia="Arial" w:hAnsi="Arial"/>
                <w:sz w:val="17"/>
                <w:szCs w:val="17"/>
                <w:color w:val="auto"/>
              </w:rPr>
              <w:t>Deferred offering costs</w:t>
            </w:r>
          </w:p>
        </w:tc>
        <w:tc>
          <w:tcPr>
            <w:tcW w:w="54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9"/>
              </w:rPr>
              <w:t>$ 78,394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ASSETS</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b w:val="1"/>
                <w:bCs w:val="1"/>
                <w:color w:val="auto"/>
              </w:rPr>
              <w:t>$ 78,394</w:t>
            </w: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9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Accrued offering costs</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$ 60,000</w:t>
            </w:r>
          </w:p>
        </w:tc>
        <w:tc>
          <w:tcPr>
            <w:tcW w:w="0" w:type="dxa"/>
            <w:vAlign w:val="bottom"/>
          </w:tcPr>
          <w:p>
            <w:pPr>
              <w:spacing w:after="0"/>
              <w:rPr>
                <w:sz w:val="1"/>
                <w:szCs w:val="1"/>
                <w:color w:val="auto"/>
              </w:rPr>
            </w:pPr>
          </w:p>
        </w:tc>
      </w:tr>
      <w:tr>
        <w:trPr>
          <w:trHeight w:val="196"/>
        </w:trPr>
        <w:tc>
          <w:tcPr>
            <w:tcW w:w="9900" w:type="dxa"/>
            <w:vAlign w:val="bottom"/>
          </w:tcPr>
          <w:p>
            <w:pPr>
              <w:spacing w:after="0"/>
              <w:rPr>
                <w:sz w:val="20"/>
                <w:szCs w:val="20"/>
                <w:color w:val="auto"/>
              </w:rPr>
            </w:pPr>
            <w:r>
              <w:rPr>
                <w:rFonts w:ascii="Arial" w:cs="Arial" w:eastAsia="Arial" w:hAnsi="Arial"/>
                <w:sz w:val="17"/>
                <w:szCs w:val="17"/>
                <w:b w:val="1"/>
                <w:bCs w:val="1"/>
                <w:color w:val="auto"/>
              </w:rPr>
              <w:t>Total Current Liabilities</w:t>
            </w:r>
          </w:p>
        </w:tc>
        <w:tc>
          <w:tcPr>
            <w:tcW w:w="5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9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Commitments and Contingencies</w:t>
            </w: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9900" w:type="dxa"/>
            <w:vAlign w:val="bottom"/>
          </w:tcPr>
          <w:p>
            <w:pPr>
              <w:spacing w:after="0"/>
              <w:rPr>
                <w:sz w:val="20"/>
                <w:szCs w:val="20"/>
                <w:color w:val="auto"/>
              </w:rPr>
            </w:pPr>
            <w:r>
              <w:rPr>
                <w:rFonts w:ascii="Arial" w:cs="Arial" w:eastAsia="Arial" w:hAnsi="Arial"/>
                <w:sz w:val="17"/>
                <w:szCs w:val="17"/>
                <w:b w:val="1"/>
                <w:bCs w:val="1"/>
                <w:color w:val="auto"/>
              </w:rPr>
              <w:t>Shareholder’s Equity</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Preference shares, $0.0001 par value; 1,000,000 shares authorized; none issued and outstanding</w:t>
            </w:r>
          </w:p>
        </w:tc>
        <w:tc>
          <w:tcPr>
            <w:tcW w:w="5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900" w:type="dxa"/>
            <w:vAlign w:val="bottom"/>
          </w:tcPr>
          <w:p>
            <w:pPr>
              <w:ind w:left="260"/>
              <w:spacing w:after="0" w:line="189" w:lineRule="exact"/>
              <w:rPr>
                <w:sz w:val="20"/>
                <w:szCs w:val="20"/>
                <w:color w:val="auto"/>
              </w:rPr>
            </w:pPr>
            <w:r>
              <w:rPr>
                <w:rFonts w:ascii="Arial" w:cs="Arial" w:eastAsia="Arial" w:hAnsi="Arial"/>
                <w:sz w:val="17"/>
                <w:szCs w:val="17"/>
                <w:color w:val="auto"/>
              </w:rPr>
              <w:t>Class A ordinary shares, $0.0001 par value; 200,000,000 shares authorized; no shares issued and outstanding</w:t>
            </w:r>
          </w:p>
        </w:tc>
        <w:tc>
          <w:tcPr>
            <w:tcW w:w="54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 xml:space="preserve">Class B ordinary shares, $0.0001 par value; 20,000,000 shares authorized; 5,750,000 shares issued and outstanding </w:t>
            </w:r>
            <w:r>
              <w:rPr>
                <w:rFonts w:ascii="Arial" w:cs="Arial" w:eastAsia="Arial" w:hAnsi="Arial"/>
                <w:sz w:val="14"/>
                <w:szCs w:val="14"/>
                <w:color w:val="auto"/>
              </w:rPr>
              <w:t>(1)</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189"/>
        </w:trPr>
        <w:tc>
          <w:tcPr>
            <w:tcW w:w="9900" w:type="dxa"/>
            <w:vAlign w:val="bottom"/>
          </w:tcPr>
          <w:p>
            <w:pPr>
              <w:ind w:left="260"/>
              <w:spacing w:after="0" w:line="189" w:lineRule="exact"/>
              <w:rPr>
                <w:sz w:val="20"/>
                <w:szCs w:val="20"/>
                <w:color w:val="auto"/>
              </w:rPr>
            </w:pPr>
            <w:r>
              <w:rPr>
                <w:rFonts w:ascii="Arial" w:cs="Arial" w:eastAsia="Arial" w:hAnsi="Arial"/>
                <w:sz w:val="17"/>
                <w:szCs w:val="17"/>
                <w:color w:val="auto"/>
              </w:rPr>
              <w:t>Additional paid-in capital</w:t>
            </w:r>
          </w:p>
        </w:tc>
        <w:tc>
          <w:tcPr>
            <w:tcW w:w="134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24,425</w:t>
            </w: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Accumulated deficit</w:t>
            </w:r>
          </w:p>
        </w:tc>
        <w:tc>
          <w:tcPr>
            <w:tcW w:w="13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(6,606)</w:t>
            </w:r>
          </w:p>
        </w:tc>
        <w:tc>
          <w:tcPr>
            <w:tcW w:w="0" w:type="dxa"/>
            <w:vAlign w:val="bottom"/>
          </w:tcPr>
          <w:p>
            <w:pPr>
              <w:spacing w:after="0"/>
              <w:rPr>
                <w:sz w:val="1"/>
                <w:szCs w:val="1"/>
                <w:color w:val="auto"/>
              </w:rPr>
            </w:pPr>
          </w:p>
        </w:tc>
      </w:tr>
      <w:tr>
        <w:trPr>
          <w:trHeight w:val="203"/>
        </w:trPr>
        <w:tc>
          <w:tcPr>
            <w:tcW w:w="9900" w:type="dxa"/>
            <w:vAlign w:val="bottom"/>
          </w:tcPr>
          <w:p>
            <w:pPr>
              <w:ind w:left="260"/>
              <w:spacing w:after="0"/>
              <w:rPr>
                <w:sz w:val="20"/>
                <w:szCs w:val="20"/>
                <w:color w:val="auto"/>
              </w:rPr>
            </w:pPr>
            <w:r>
              <w:rPr>
                <w:rFonts w:ascii="Arial" w:cs="Arial" w:eastAsia="Arial" w:hAnsi="Arial"/>
                <w:sz w:val="17"/>
                <w:szCs w:val="17"/>
                <w:b w:val="1"/>
                <w:bCs w:val="1"/>
                <w:color w:val="auto"/>
              </w:rPr>
              <w:t>Total Shareholder’s Equity</w:t>
            </w:r>
          </w:p>
        </w:tc>
        <w:tc>
          <w:tcPr>
            <w:tcW w:w="5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LIABILITIES AND SHAREHOLDER’S EQUITY</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b w:val="1"/>
                <w:bCs w:val="1"/>
                <w:color w:val="auto"/>
              </w:rPr>
              <w:t>$ 78,394</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160" w:hanging="297"/>
        <w:spacing w:after="0" w:line="195" w:lineRule="auto"/>
        <w:tabs>
          <w:tab w:leader="none" w:pos="4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Includes an aggregate of up to 750,000 Class B ordinary shares that are subject to forfeiture depending on the extent to which the underwriters’ over-allotment option is exercised (see Note 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240"/>
          </w:cols>
          <w:pgMar w:left="320" w:top="455" w:right="3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60" w:type="dxa"/>
            <w:vAlign w:val="bottom"/>
            <w:shd w:val="clear" w:color="auto" w:fill="CCEEFF"/>
          </w:tcPr>
          <w:p>
            <w:pPr>
              <w:spacing w:after="0"/>
              <w:rPr>
                <w:sz w:val="20"/>
                <w:szCs w:val="20"/>
                <w:color w:val="auto"/>
              </w:rPr>
            </w:pPr>
            <w:r>
              <w:rPr>
                <w:rFonts w:ascii="Arial" w:cs="Arial" w:eastAsia="Arial" w:hAnsi="Arial"/>
                <w:sz w:val="17"/>
                <w:szCs w:val="17"/>
                <w:color w:val="auto"/>
              </w:rPr>
              <w:t>Formation and operating costs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6,606</w:t>
            </w:r>
          </w:p>
        </w:tc>
        <w:tc>
          <w:tcPr>
            <w:tcW w:w="0" w:type="dxa"/>
            <w:vAlign w:val="bottom"/>
          </w:tcPr>
          <w:p>
            <w:pPr>
              <w:spacing w:after="0"/>
              <w:rPr>
                <w:sz w:val="1"/>
                <w:szCs w:val="1"/>
                <w:color w:val="auto"/>
              </w:rPr>
            </w:pPr>
          </w:p>
        </w:tc>
      </w:tr>
      <w:tr>
        <w:trPr>
          <w:trHeight w:val="196"/>
        </w:trPr>
        <w:tc>
          <w:tcPr>
            <w:tcW w:w="10260" w:type="dxa"/>
            <w:vAlign w:val="bottom"/>
          </w:tcPr>
          <w:p>
            <w:pPr>
              <w:ind w:left="260"/>
              <w:spacing w:after="0"/>
              <w:rPr>
                <w:sz w:val="20"/>
                <w:szCs w:val="20"/>
                <w:color w:val="auto"/>
              </w:rPr>
            </w:pPr>
            <w:r>
              <w:rPr>
                <w:rFonts w:ascii="Arial" w:cs="Arial" w:eastAsia="Arial" w:hAnsi="Arial"/>
                <w:sz w:val="17"/>
                <w:szCs w:val="17"/>
                <w:b w:val="1"/>
                <w:bCs w:val="1"/>
                <w:color w:val="auto"/>
              </w:rPr>
              <w:t>Net loss</w:t>
            </w: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(6,606</w:t>
            </w:r>
          </w:p>
        </w:tc>
        <w:tc>
          <w:tcPr>
            <w:tcW w:w="100" w:type="dxa"/>
            <w:vAlign w:val="bottom"/>
          </w:tcPr>
          <w:p>
            <w:pPr>
              <w:jc w:val="right"/>
              <w:ind w:right="23"/>
              <w:spacing w:after="0"/>
              <w:rPr>
                <w:sz w:val="20"/>
                <w:szCs w:val="20"/>
                <w:color w:val="auto"/>
              </w:rPr>
            </w:pPr>
            <w:r>
              <w:rPr>
                <w:rFonts w:ascii="Arial" w:cs="Arial" w:eastAsia="Arial" w:hAnsi="Arial"/>
                <w:sz w:val="7"/>
                <w:szCs w:val="7"/>
                <w:b w:val="1"/>
                <w:bCs w:val="1"/>
                <w:color w:val="auto"/>
                <w:w w:val="83"/>
              </w:rPr>
              <w:t>)</w:t>
            </w:r>
          </w:p>
        </w:tc>
        <w:tc>
          <w:tcPr>
            <w:tcW w:w="0" w:type="dxa"/>
            <w:vAlign w:val="bottom"/>
          </w:tcPr>
          <w:p>
            <w:pPr>
              <w:spacing w:after="0"/>
              <w:rPr>
                <w:sz w:val="1"/>
                <w:szCs w:val="1"/>
                <w:color w:val="auto"/>
              </w:rPr>
            </w:pPr>
          </w:p>
        </w:tc>
      </w:tr>
      <w:tr>
        <w:trPr>
          <w:trHeight w:val="20"/>
        </w:trPr>
        <w:tc>
          <w:tcPr>
            <w:tcW w:w="10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Weighted average shares outstanding, basic and diluted </w:t>
            </w:r>
            <w:r>
              <w:rPr>
                <w:rFonts w:ascii="Arial" w:cs="Arial" w:eastAsia="Arial" w:hAnsi="Arial"/>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3"/>
              <w:spacing w:after="0" w:line="183" w:lineRule="exact"/>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
        </w:trPr>
        <w:tc>
          <w:tcPr>
            <w:tcW w:w="10260" w:type="dxa"/>
            <w:vAlign w:val="bottom"/>
            <w:vMerge w:val="restart"/>
          </w:tcPr>
          <w:p>
            <w:pPr>
              <w:spacing w:after="0"/>
              <w:rPr>
                <w:sz w:val="20"/>
                <w:szCs w:val="20"/>
                <w:color w:val="auto"/>
              </w:rPr>
            </w:pPr>
            <w:r>
              <w:rPr>
                <w:rFonts w:ascii="Arial" w:cs="Arial" w:eastAsia="Arial" w:hAnsi="Arial"/>
                <w:sz w:val="17"/>
                <w:szCs w:val="17"/>
                <w:b w:val="1"/>
                <w:bCs w:val="1"/>
                <w:color w:val="auto"/>
              </w:rPr>
              <w:t>Basic and diluted net loss per ordinary share</w:t>
            </w:r>
          </w:p>
        </w:tc>
        <w:tc>
          <w:tcPr>
            <w:tcW w:w="2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6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(0.00)</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100" w:hanging="297"/>
        <w:spacing w:after="0" w:line="195" w:lineRule="auto"/>
        <w:tabs>
          <w:tab w:leader="none" w:pos="44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Excludes an aggregate of up to 750,000 Class B ordinary shares that are subject to forfeiture depending on the extent to which the underwriters’ over-allotment option is exercised (see Note 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240"/>
          </w:cols>
          <w:pgMar w:left="320" w:top="455" w:right="3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60" w:type="dxa"/>
            <w:vAlign w:val="bottom"/>
          </w:tcPr>
          <w:p>
            <w:pPr>
              <w:spacing w:after="0"/>
              <w:rPr>
                <w:sz w:val="14"/>
                <w:szCs w:val="14"/>
                <w:color w:val="auto"/>
              </w:rPr>
            </w:pPr>
          </w:p>
        </w:tc>
        <w:tc>
          <w:tcPr>
            <w:tcW w:w="1480" w:type="dxa"/>
            <w:vAlign w:val="bottom"/>
            <w:gridSpan w:val="4"/>
          </w:tcPr>
          <w:p>
            <w:pPr>
              <w:ind w:left="620"/>
              <w:spacing w:after="0"/>
              <w:rPr>
                <w:sz w:val="20"/>
                <w:szCs w:val="20"/>
                <w:color w:val="auto"/>
              </w:rPr>
            </w:pPr>
            <w:r>
              <w:rPr>
                <w:rFonts w:ascii="Arial" w:cs="Arial" w:eastAsia="Arial" w:hAnsi="Arial"/>
                <w:sz w:val="14"/>
                <w:szCs w:val="14"/>
                <w:b w:val="1"/>
                <w:bCs w:val="1"/>
                <w:color w:val="auto"/>
              </w:rPr>
              <w:t>CLASS B</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TOTAL</w:t>
            </w:r>
          </w:p>
        </w:tc>
      </w:tr>
      <w:tr>
        <w:trPr>
          <w:trHeight w:val="175"/>
        </w:trPr>
        <w:tc>
          <w:tcPr>
            <w:tcW w:w="4660" w:type="dxa"/>
            <w:vAlign w:val="bottom"/>
          </w:tcPr>
          <w:p>
            <w:pPr>
              <w:spacing w:after="0"/>
              <w:rPr>
                <w:sz w:val="15"/>
                <w:szCs w:val="15"/>
                <w:color w:val="auto"/>
              </w:rPr>
            </w:pPr>
          </w:p>
        </w:tc>
        <w:tc>
          <w:tcPr>
            <w:tcW w:w="23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5"/>
                <w:szCs w:val="15"/>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PAID-IN</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SHAREHOLDER’S</w:t>
            </w:r>
          </w:p>
        </w:tc>
      </w:tr>
      <w:tr>
        <w:trPr>
          <w:trHeight w:val="156"/>
        </w:trPr>
        <w:tc>
          <w:tcPr>
            <w:tcW w:w="466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SHARES</w:t>
            </w:r>
          </w:p>
        </w:tc>
        <w:tc>
          <w:tcPr>
            <w:tcW w:w="4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560"/>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3"/>
                <w:szCs w:val="13"/>
                <w:color w:val="auto"/>
              </w:rPr>
            </w:pPr>
          </w:p>
        </w:tc>
        <w:tc>
          <w:tcPr>
            <w:tcW w:w="118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rPr>
              <w:t>EQUITY</w:t>
            </w: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Balance—July 31, 2020 (inception)</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40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w w:val="89"/>
              </w:rPr>
              <w:t>$</w:t>
            </w:r>
          </w:p>
        </w:tc>
        <w:tc>
          <w:tcPr>
            <w:tcW w:w="76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89"/>
        </w:trPr>
        <w:tc>
          <w:tcPr>
            <w:tcW w:w="4660" w:type="dxa"/>
            <w:vAlign w:val="bottom"/>
          </w:tcPr>
          <w:p>
            <w:pPr>
              <w:ind w:left="260"/>
              <w:spacing w:after="0" w:line="189" w:lineRule="exact"/>
              <w:rPr>
                <w:sz w:val="20"/>
                <w:szCs w:val="20"/>
                <w:color w:val="auto"/>
              </w:rPr>
            </w:pPr>
            <w:r>
              <w:rPr>
                <w:rFonts w:ascii="Arial" w:cs="Arial" w:eastAsia="Arial" w:hAnsi="Arial"/>
                <w:sz w:val="17"/>
                <w:szCs w:val="17"/>
                <w:color w:val="auto"/>
              </w:rPr>
              <w:t xml:space="preserve">Issuance of Class B ordinary shares to Sponsor </w:t>
            </w:r>
            <w:r>
              <w:rPr>
                <w:rFonts w:ascii="Arial" w:cs="Arial" w:eastAsia="Arial" w:hAnsi="Arial"/>
                <w:sz w:val="14"/>
                <w:szCs w:val="14"/>
                <w:color w:val="auto"/>
              </w:rPr>
              <w:t>(1)</w:t>
            </w:r>
          </w:p>
        </w:tc>
        <w:tc>
          <w:tcPr>
            <w:tcW w:w="8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5,750,000</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575</w:t>
            </w:r>
          </w:p>
        </w:tc>
        <w:tc>
          <w:tcPr>
            <w:tcW w:w="120" w:type="dxa"/>
            <w:vAlign w:val="bottom"/>
          </w:tcPr>
          <w:p>
            <w:pPr>
              <w:spacing w:after="0"/>
              <w:rPr>
                <w:sz w:val="16"/>
                <w:szCs w:val="16"/>
                <w:color w:val="auto"/>
              </w:rPr>
            </w:pPr>
          </w:p>
        </w:tc>
        <w:tc>
          <w:tcPr>
            <w:tcW w:w="120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24,425</w:t>
            </w:r>
          </w:p>
        </w:tc>
        <w:tc>
          <w:tcPr>
            <w:tcW w:w="200" w:type="dxa"/>
            <w:vAlign w:val="bottom"/>
          </w:tcPr>
          <w:p>
            <w:pPr>
              <w:spacing w:after="0"/>
              <w:rPr>
                <w:sz w:val="16"/>
                <w:szCs w:val="16"/>
                <w:color w:val="auto"/>
              </w:rPr>
            </w:pPr>
          </w:p>
        </w:tc>
        <w:tc>
          <w:tcPr>
            <w:tcW w:w="11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25,000</w:t>
            </w:r>
          </w:p>
        </w:tc>
      </w:tr>
      <w:tr>
        <w:trPr>
          <w:trHeight w:val="189"/>
        </w:trPr>
        <w:tc>
          <w:tcPr>
            <w:tcW w:w="46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Net loss</w:t>
            </w:r>
          </w:p>
        </w:tc>
        <w:tc>
          <w:tcPr>
            <w:tcW w:w="8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(6,606)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(6,606)</w:t>
            </w:r>
          </w:p>
        </w:tc>
      </w:tr>
      <w:tr>
        <w:trPr>
          <w:trHeight w:val="196"/>
        </w:trPr>
        <w:tc>
          <w:tcPr>
            <w:tcW w:w="4660" w:type="dxa"/>
            <w:vAlign w:val="bottom"/>
          </w:tcPr>
          <w:p>
            <w:pPr>
              <w:spacing w:after="0"/>
              <w:rPr>
                <w:sz w:val="20"/>
                <w:szCs w:val="20"/>
                <w:color w:val="auto"/>
              </w:rPr>
            </w:pPr>
            <w:r>
              <w:rPr>
                <w:rFonts w:ascii="Arial" w:cs="Arial" w:eastAsia="Arial" w:hAnsi="Arial"/>
                <w:sz w:val="17"/>
                <w:szCs w:val="17"/>
                <w:b w:val="1"/>
                <w:bCs w:val="1"/>
                <w:color w:val="auto"/>
              </w:rPr>
              <w:t>Balance—August 3,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5,750,000</w:t>
            </w:r>
          </w:p>
        </w:tc>
        <w:tc>
          <w:tcPr>
            <w:tcW w:w="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575</w:t>
            </w:r>
          </w:p>
        </w:tc>
        <w:tc>
          <w:tcPr>
            <w:tcW w:w="4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24,425</w:t>
            </w: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(6,606)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18,394</w:t>
            </w:r>
          </w:p>
        </w:tc>
        <w:tc>
          <w:tcPr>
            <w:tcW w:w="10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160" w:hanging="297"/>
        <w:spacing w:after="0" w:line="195" w:lineRule="auto"/>
        <w:tabs>
          <w:tab w:leader="none" w:pos="4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Includes an aggregate of up to 750,000 Class B ordinary shares that are subject to forfeiture depending on the extent to which the underwriters’ over-allotment option is exercised (see Note 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240"/>
          </w:cols>
          <w:pgMar w:left="320" w:top="455" w:right="3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44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(6,606)</w:t>
            </w: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6"/>
        </w:trPr>
        <w:tc>
          <w:tcPr>
            <w:tcW w:w="9440" w:type="dxa"/>
            <w:vAlign w:val="bottom"/>
          </w:tcPr>
          <w:p>
            <w:pPr>
              <w:ind w:left="260"/>
              <w:spacing w:after="0" w:line="189" w:lineRule="exact"/>
              <w:rPr>
                <w:sz w:val="20"/>
                <w:szCs w:val="20"/>
                <w:color w:val="auto"/>
              </w:rPr>
            </w:pPr>
            <w:r>
              <w:rPr>
                <w:rFonts w:ascii="Arial" w:cs="Arial" w:eastAsia="Arial" w:hAnsi="Arial"/>
                <w:sz w:val="17"/>
                <w:szCs w:val="17"/>
                <w:color w:val="auto"/>
              </w:rPr>
              <w:t>Payment of formation costs through issuance of Class B ordinary shares</w:t>
            </w:r>
          </w:p>
        </w:tc>
        <w:tc>
          <w:tcPr>
            <w:tcW w:w="1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6,606</w:t>
            </w:r>
          </w:p>
        </w:tc>
        <w:tc>
          <w:tcPr>
            <w:tcW w:w="120" w:type="dxa"/>
            <w:vAlign w:val="bottom"/>
          </w:tcPr>
          <w:p>
            <w:pPr>
              <w:spacing w:after="0"/>
              <w:rPr>
                <w:sz w:val="17"/>
                <w:szCs w:val="17"/>
                <w:color w:val="auto"/>
              </w:rPr>
            </w:pPr>
          </w:p>
        </w:tc>
      </w:tr>
      <w:tr>
        <w:trPr>
          <w:trHeight w:val="189"/>
        </w:trPr>
        <w:tc>
          <w:tcPr>
            <w:tcW w:w="94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b w:val="1"/>
                <w:bCs w:val="1"/>
                <w:color w:val="auto"/>
              </w:rPr>
              <w:t>Net cash used in operating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b w:val="1"/>
                <w:bCs w:val="1"/>
                <w:color w:val="auto"/>
              </w:rPr>
              <w:t>—</w:t>
            </w:r>
          </w:p>
        </w:tc>
      </w:tr>
      <w:tr>
        <w:trPr>
          <w:trHeight w:val="196"/>
        </w:trPr>
        <w:tc>
          <w:tcPr>
            <w:tcW w:w="9440" w:type="dxa"/>
            <w:vAlign w:val="bottom"/>
          </w:tcPr>
          <w:p>
            <w:pPr>
              <w:spacing w:after="0"/>
              <w:rPr>
                <w:sz w:val="20"/>
                <w:szCs w:val="20"/>
                <w:color w:val="auto"/>
              </w:rPr>
            </w:pPr>
            <w:r>
              <w:rPr>
                <w:rFonts w:ascii="Arial" w:cs="Arial" w:eastAsia="Arial" w:hAnsi="Arial"/>
                <w:sz w:val="17"/>
                <w:szCs w:val="17"/>
                <w:b w:val="1"/>
                <w:bCs w:val="1"/>
                <w:color w:val="auto"/>
              </w:rPr>
              <w:t>Net Change in Cash</w:t>
            </w:r>
          </w:p>
        </w:tc>
        <w:tc>
          <w:tcPr>
            <w:tcW w:w="10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Cash—Beginning of period</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96"/>
        </w:trPr>
        <w:tc>
          <w:tcPr>
            <w:tcW w:w="9440" w:type="dxa"/>
            <w:vAlign w:val="bottom"/>
          </w:tcPr>
          <w:p>
            <w:pPr>
              <w:spacing w:after="0"/>
              <w:rPr>
                <w:sz w:val="20"/>
                <w:szCs w:val="20"/>
                <w:color w:val="auto"/>
              </w:rPr>
            </w:pPr>
            <w:r>
              <w:rPr>
                <w:rFonts w:ascii="Arial" w:cs="Arial" w:eastAsia="Arial" w:hAnsi="Arial"/>
                <w:sz w:val="17"/>
                <w:szCs w:val="17"/>
                <w:b w:val="1"/>
                <w:bCs w:val="1"/>
                <w:color w:val="auto"/>
              </w:rPr>
              <w:t>Cash—End of period</w:t>
            </w:r>
          </w:p>
        </w:tc>
        <w:tc>
          <w:tcPr>
            <w:tcW w:w="10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r>
      <w:tr>
        <w:trPr>
          <w:trHeight w:val="20"/>
        </w:trPr>
        <w:tc>
          <w:tcPr>
            <w:tcW w:w="9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Non-cash investing and financing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440" w:type="dxa"/>
            <w:vAlign w:val="bottom"/>
          </w:tcPr>
          <w:p>
            <w:pPr>
              <w:spacing w:after="0" w:line="189" w:lineRule="exact"/>
              <w:rPr>
                <w:sz w:val="20"/>
                <w:szCs w:val="20"/>
                <w:color w:val="auto"/>
              </w:rPr>
            </w:pPr>
            <w:r>
              <w:rPr>
                <w:rFonts w:ascii="Arial" w:cs="Arial" w:eastAsia="Arial" w:hAnsi="Arial"/>
                <w:sz w:val="17"/>
                <w:szCs w:val="17"/>
                <w:color w:val="auto"/>
              </w:rPr>
              <w:t>Deferred offering costs included in accrued offering costs</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60,000</w:t>
            </w:r>
          </w:p>
        </w:tc>
      </w:tr>
      <w:tr>
        <w:trPr>
          <w:trHeight w:val="20"/>
        </w:trPr>
        <w:tc>
          <w:tcPr>
            <w:tcW w:w="9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Deferred offering costs paid by Sponsor in exchange for the issuance of Class B ordinary shares</w:t>
            </w:r>
          </w:p>
        </w:tc>
        <w:tc>
          <w:tcPr>
            <w:tcW w:w="11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18,394</w:t>
            </w:r>
          </w:p>
        </w:tc>
      </w:tr>
      <w:tr>
        <w:trPr>
          <w:trHeight w:val="20"/>
        </w:trPr>
        <w:tc>
          <w:tcPr>
            <w:tcW w:w="9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358"/>
        </w:trPr>
        <w:tc>
          <w:tcPr>
            <w:tcW w:w="9440" w:type="dxa"/>
            <w:vAlign w:val="bottom"/>
          </w:tcPr>
          <w:p>
            <w:pPr>
              <w:ind w:left="2800"/>
              <w:spacing w:after="0"/>
              <w:rPr>
                <w:sz w:val="20"/>
                <w:szCs w:val="20"/>
                <w:color w:val="auto"/>
              </w:rPr>
            </w:pPr>
            <w:r>
              <w:rPr>
                <w:rFonts w:ascii="Arial" w:cs="Arial" w:eastAsia="Arial" w:hAnsi="Arial"/>
                <w:sz w:val="17"/>
                <w:szCs w:val="17"/>
                <w:color w:val="auto"/>
              </w:rPr>
              <w:t>The accompanying notes are an integral part of these financial statements.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5"/>
        </w:trPr>
        <w:tc>
          <w:tcPr>
            <w:tcW w:w="9440" w:type="dxa"/>
            <w:vAlign w:val="bottom"/>
          </w:tcPr>
          <w:p>
            <w:pPr>
              <w:ind w:left="5500"/>
              <w:spacing w:after="0"/>
              <w:rPr>
                <w:sz w:val="20"/>
                <w:szCs w:val="20"/>
                <w:color w:val="auto"/>
              </w:rPr>
            </w:pPr>
            <w:r>
              <w:rPr>
                <w:rFonts w:ascii="Arial" w:cs="Arial" w:eastAsia="Arial" w:hAnsi="Arial"/>
                <w:sz w:val="16"/>
                <w:szCs w:val="16"/>
                <w:color w:val="auto"/>
              </w:rPr>
              <w:t>F-6</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Plan of Business Operations</w:t>
      </w:r>
    </w:p>
    <w:p>
      <w:pPr>
        <w:spacing w:after="0" w:line="10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92"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As of August 3, 2020, the Company had not commenced any operations. All activity for the period from July 31, 2020 (inception) through August 3, 2020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2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 Company’s ability to commence operations is contingent upon obtaining adequate financial resources through a Proposed Public Offering of 20,000,000 units (the “Units” and, with respect to the Class A ordinary shares included in the Units being offered, the “Public Shares”) at $10.00 per Unit (or 23,000,000 Units if the underwriters’ over-allotment option is exercised in full), which is discussed in Note 3, and the sale of 6,000,000 warrants (or 6,600,000 warrants if the underwriters’ over-allotment option is exercised in full) (the “Private Placement Warrants”) at a price of $1.00 per Private Placement Warrant in a private placement to VPC Impact Acquisition Holdings Sponsor, LLC (the “Sponsor”), that will close simultaneously with the Proposed Public Offering.</w:t>
      </w:r>
    </w:p>
    <w:p>
      <w:pPr>
        <w:spacing w:after="0" w:line="12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(as defined below)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$10.00 per Unit sold in the Proposed Public Offering, including proceeds of the sale of the Private Placement Warrants, will be held in a trust account (“Trust Account”) and invested in U.S. government securities, within the meaning set forth in Section 2(a)(16) of the Investment Company Act, with a maturity of 185 days or less, or in any open-ended investment company that holds itself out as a money market fund investing solely in U.S. Treasuries and meeting certain conditions under Rule 2a-7 of the Investment Company Act, as determined by the Company, until the earliest of: (i) the completion of a Business Combination and (ii) the distribution of the funds in the Trust Account to the Company’s shareholders, as described below.</w:t>
      </w:r>
    </w:p>
    <w:p>
      <w:pPr>
        <w:spacing w:after="0" w:line="12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anticipated to be $10.00 per Public Share), including interest (which interest shall be net of taxes payable), divided by the number of then issued and outstanding public shares, subject to certain limitations as described in the prospectus. The per-share amount to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220"/>
          </w:cols>
          <w:pgMar w:left="320" w:top="455" w:right="3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distributed to the Public Shareholders who properly redeem their shares will not be reduced by the deferred underwriting commissions the Company will pay to the underwriters (as discussed in Note 6). There will be no redemption rights upon the completion of a Business Combination with respect to the Company’s warrants. The Class A ordinary shares will be recorded at redemption value and classified as temporary equity upon the completion of the Proposed Public Offering, in accordance with Accounting Standards Codification (“ASC”) Topic 480 “Distinguishing Liabilities from Equity.”</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during or after the Proposed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22"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 (i) 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2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will have until 24 months from the closing of the Proposed Public Offering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us to pay our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240"/>
          </w:cols>
          <w:pgMar w:left="320" w:top="455" w:right="3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w:t>
      </w:r>
    </w:p>
    <w:p>
      <w:pPr>
        <w:spacing w:after="0" w:line="3" w:lineRule="exact"/>
        <w:rPr>
          <w:sz w:val="20"/>
          <w:szCs w:val="20"/>
          <w:color w:val="auto"/>
        </w:rPr>
      </w:pPr>
    </w:p>
    <w:p>
      <w:pPr>
        <w:jc w:val="both"/>
        <w:ind w:right="40" w:firstLine="8"/>
        <w:spacing w:after="0" w:line="238" w:lineRule="auto"/>
        <w:tabs>
          <w:tab w:leader="none" w:pos="199" w:val="left"/>
        </w:tabs>
        <w:numPr>
          <w:ilvl w:val="0"/>
          <w:numId w:val="87"/>
        </w:numPr>
        <w:rPr>
          <w:rFonts w:ascii="Arial" w:cs="Arial" w:eastAsia="Arial" w:hAnsi="Arial"/>
          <w:sz w:val="17"/>
          <w:szCs w:val="17"/>
          <w:color w:val="auto"/>
        </w:rPr>
      </w:pPr>
      <w:r>
        <w:rPr>
          <w:rFonts w:ascii="Arial" w:cs="Arial" w:eastAsia="Arial" w:hAnsi="Arial"/>
          <w:sz w:val="17"/>
          <w:szCs w:val="17"/>
          <w:color w:val="auto"/>
        </w:rPr>
        <w:t>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2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Proposed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41"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(“GAAP”) and pursuant to the rules and regulations of the SEC.</w:t>
      </w:r>
    </w:p>
    <w:p>
      <w:pPr>
        <w:spacing w:after="0" w:line="114" w:lineRule="exact"/>
        <w:rPr>
          <w:sz w:val="20"/>
          <w:szCs w:val="20"/>
          <w:color w:val="auto"/>
        </w:rPr>
      </w:pPr>
    </w:p>
    <w:p>
      <w:pPr>
        <w:ind w:right="420"/>
        <w:spacing w:after="0" w:line="242"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date of issuance of these financial statements. In connection with the Company’s assessment of going concern considerations in accordance with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and one year from the date of issuance of these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1" w:lineRule="exact"/>
        <w:rPr>
          <w:sz w:val="20"/>
          <w:szCs w:val="20"/>
          <w:color w:val="auto"/>
        </w:rPr>
      </w:pPr>
    </w:p>
    <w:p>
      <w:pPr>
        <w:ind w:right="340"/>
        <w:spacing w:after="0" w:line="253"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240"/>
          </w:cols>
          <w:pgMar w:left="320" w:top="455" w:right="3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jc w:val="both"/>
        <w:ind w:right="120"/>
        <w:spacing w:after="0"/>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21"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Deferred offering costs consist of legal, accounting and other expenses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incurred, will be charged to operations.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Company accounts for income taxes under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August 3,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23"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Ordinary Share</w:t>
      </w:r>
    </w:p>
    <w:p>
      <w:pPr>
        <w:spacing w:after="0" w:line="4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Net loss per share is computed by dividing net loss by the weighted average number of ordinary shares issued and outstanding during the period, excluding ordinary shares subject to forfeiture. Weighted average shares were reduced for the effect of an aggregate of 750,000 Class B ordinary shares that are subject to forfeiture depending on the extent to which the underwriters’ over-allotment option is exercised (see Note 7). At August 3, 2020,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220"/>
          </w:cols>
          <w:pgMar w:left="320" w:top="455" w:right="3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43"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43" w:lineRule="exact"/>
        <w:rPr>
          <w:sz w:val="20"/>
          <w:szCs w:val="20"/>
          <w:color w:val="auto"/>
        </w:rPr>
      </w:pPr>
    </w:p>
    <w:p>
      <w:pPr>
        <w:ind w:right="580"/>
        <w:spacing w:after="0" w:line="261"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Standards</w:t>
      </w:r>
    </w:p>
    <w:p>
      <w:pPr>
        <w:spacing w:after="0" w:line="4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Company’s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3—Proposed Public Offering</w:t>
      </w:r>
    </w:p>
    <w:p>
      <w:pPr>
        <w:spacing w:after="0" w:line="6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Pursuant to the Proposed Public Offering, the Company will offer for sale up to 20,000,000 Units (or 23,000,000 Units if the underwriters’ over-allotment option is exercised in full) at a purchase price of $10.00 per Unit. Each Unit will consist of one Class A ordinary share and one-half of one redeemable warrant (“Public Warrant”). Each whole Public Warrant will entitle the holder to purchase one Class A ordinary share at an exercise price of $11.50 per whole share (see Note 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4—Private Placement</w:t>
      </w:r>
    </w:p>
    <w:p>
      <w:pPr>
        <w:spacing w:after="0" w:line="10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Sponsor has committed to purchase an aggregate of 6,000,000 Private Placement Warrants (or 6,600,000 Private Placement Warrants if the underwriters’ over-allotment option is exercised in full) at a price of $1.00 per Private Placement Warrant, for an aggregate purchase price of $6,000,000 (or $6,600,000 if the underwriters’ over-allotment option is exercised in full), in a private placement that will occur simultaneously with the closing of the Proposed Public Offering. Each Private Placement Warrant is exercisable to purchase one Class A ordinary share at a price of $11.50 per share, subject to adjustment (see Note 7). A portion of the proceeds from the Private Placement Warrants will be added to the proceeds from the Proposed Public Offering to be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5—Related Party Transactions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Founder Shares</w:t>
      </w:r>
    </w:p>
    <w:p>
      <w:pPr>
        <w:spacing w:after="0" w:line="4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On August 3, 2020, the Sponsor paid $25,000 to cover certain offering and formation costs of the Company in consideration for 5,750,000 Class B ordinary shares (the “Founder Shares”). The Founder Shares include an aggregate of up to 750,000 shares that are subject to forfeiture depending on the extent to which the underwriters’ over-allotment option is exercised, so that the number of Founder Shares will equal, on an as-converted basis, approximately 20% of the Company’s issued and outstanding ordinary shares after the Proposed Public Offering.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Promissory Note—Related Party</w:t>
      </w:r>
    </w:p>
    <w:p>
      <w:pPr>
        <w:spacing w:after="0" w:line="41"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On August 3, 2020, the Company issued an unsecured promissory note (the “Promissory Note”) to the Sponsor, pursuant to which the Company may borrow up to an aggregate principal amount of $300,000. The Promissory Note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240"/>
          </w:cols>
          <w:pgMar w:left="320" w:top="455" w:right="3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is non-interest bearing and payable on the earlier of (i) December 31, 2020 and (ii) the completion of the Proposed Public Offering. As of August 3, 2020, there were no borrowings outstanding under the Promissory Note.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Administrative Services Agreement</w:t>
      </w:r>
    </w:p>
    <w:p>
      <w:pPr>
        <w:spacing w:after="0" w:line="4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Commencing on the date that the Company completes its Proposed Public Offering, the Company will enter into an agreement pursuant to which it will pay the Sponsor up to $10,000 per month for office space, utilities, secretarial and administrative support services. Upon completion of a Business Combination or its liquidation, the Company will cease paying these monthly fees.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Loans</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August 3, 2020, the Company had no outstanding borrowings under the Working Capital Loans.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59"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Management is currently evaluating the impact of the COVID-19 global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and Shareholders Rights</w:t>
      </w:r>
    </w:p>
    <w:p>
      <w:pPr>
        <w:spacing w:after="0" w:line="43"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will be entitled to registration rights requiring the Company to register a sale of any of its securities held by them pursuant to a registration rights agreement to be signed prior to or on the effective date of the Proposed Public Offering.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the expenses incurred in connection with the filing of any such registration statements.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43"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color w:val="auto"/>
        </w:rPr>
        <w:t>The Company will grant the underwriters a 45-day option to purchase up to 3,000,000 additional Units to cover over-allotments at the Proposed Public Offering price, less the underwriting discounts and commissions.</w:t>
      </w:r>
    </w:p>
    <w:p>
      <w:pPr>
        <w:spacing w:after="0" w:line="104"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underwriters will be entitled to a cash underwriting discount of $0.20 per Unit, or $4,000,000 in the aggregate (or $4,600,000 if the underwriters’ over-allotment option is exercised in full), payable upon the closing of the Proposed Public Offering. In addition, the underwriters will be entitled to a deferred fee of $0.35 per Unit, or $7,000,000 in the aggregate (or $8,050,000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60"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b w:val="1"/>
          <w:bCs w:val="1"/>
          <w:i w:val="1"/>
          <w:iCs w:val="1"/>
          <w:color w:val="auto"/>
        </w:rPr>
        <w:t>Preference Shares</w:t>
      </w:r>
      <w:r>
        <w:rPr>
          <w:rFonts w:ascii="Arial" w:cs="Arial" w:eastAsia="Arial" w:hAnsi="Arial"/>
          <w:sz w:val="17"/>
          <w:szCs w:val="17"/>
          <w:color w:val="auto"/>
        </w:rPr>
        <w:t>—The Company is authorized to issue 1,000,000 preference shares with a par value of $0.0001 per share, with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designations, voting and other rights and preferences as may be determined from time to time by the Company’s board of directors. At August 3, 2020, there were no preference shares issued or outstanding.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00"/>
          </w:cols>
          <w:pgMar w:left="320" w:top="455" w:right="37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right="500"/>
        <w:spacing w:after="0" w:line="253" w:lineRule="auto"/>
        <w:rPr>
          <w:sz w:val="20"/>
          <w:szCs w:val="20"/>
          <w:color w:val="auto"/>
        </w:rPr>
      </w:pP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—The Company is authorized to issue 200,000,000 Class A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ordinary shares are entitled to one vote for each share. At August 3, 2020, there were no Class A ordinary shares issued or outstanding.</w:t>
      </w:r>
    </w:p>
    <w:p>
      <w:pPr>
        <w:spacing w:after="0" w:line="111"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b w:val="1"/>
          <w:bCs w:val="1"/>
          <w:i w:val="1"/>
          <w:iCs w:val="1"/>
          <w:color w:val="auto"/>
        </w:rPr>
        <w:t>Class B Ordinary Shares</w:t>
      </w:r>
      <w:r>
        <w:rPr>
          <w:rFonts w:ascii="Arial" w:cs="Arial" w:eastAsia="Arial" w:hAnsi="Arial"/>
          <w:sz w:val="17"/>
          <w:szCs w:val="17"/>
          <w:color w:val="auto"/>
        </w:rPr>
        <w:t>—The Company is authorized to issue 20,000,000 Class B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the Class B ordinary shares are entitled to one vote for each share. At August 3, 2020, there were 5,750,000 Class B ordinary shares issued and outstanding, of which an aggregate of up to 750,000 shares are subject to forfeiture depending on the extent to which the underwriters’ over-allotment option is exercised, so that the number of Class B ordinary shares will equal 20% of the Company’s issued and outstanding ordinary shares after the Proposed Public Offering.</w:t>
      </w:r>
    </w:p>
    <w:p>
      <w:pPr>
        <w:spacing w:after="0" w:line="121"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w:t>
      </w:r>
    </w:p>
    <w:p>
      <w:pPr>
        <w:spacing w:after="0" w:line="111"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2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color w:val="auto"/>
        </w:rPr>
        <w:t>—Public Warrants may only be exercised for a whole number of shares. No fractional shares will be issued upon exercise of the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The Public Warrants will become exercisable on the later of (a) 30 days after the completion of a Business Combination and (b) one year from the closing of the Proposed Public Offering. The Public Warrants will expire five years from the completion of a Business Combination or earlier upon redemption or liquidation.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23"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w:t>
      </w:r>
      <w:r>
        <w:rPr>
          <w:rFonts w:ascii="Arial" w:cs="Arial" w:eastAsia="Arial" w:hAnsi="Arial"/>
          <w:sz w:val="14"/>
          <w:szCs w:val="14"/>
          <w:color w:val="auto"/>
        </w:rPr>
        <w:t>th</w:t>
      </w:r>
      <w:r>
        <w:rPr>
          <w:rFonts w:ascii="Arial" w:cs="Arial" w:eastAsia="Arial" w:hAnsi="Arial"/>
          <w:sz w:val="17"/>
          <w:szCs w:val="17"/>
          <w:color w:val="auto"/>
        </w:rPr>
        <w:t>)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240"/>
          </w:cols>
          <w:pgMar w:left="320" w:top="455" w:right="3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Redemption of warrants when the price per Class A ordinary share equals or exceeds $18.00. </w:t>
      </w:r>
      <w:r>
        <w:rPr>
          <w:rFonts w:ascii="Arial" w:cs="Arial" w:eastAsia="Arial" w:hAnsi="Arial"/>
          <w:sz w:val="17"/>
          <w:szCs w:val="17"/>
          <w:color w:val="auto"/>
        </w:rPr>
        <w:t>Once the warrants become exercisable,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may redeem the outstanding warrants (except as described with respect to the Private Placement Warrants):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whole and not in part;</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a price of $0.01 per warrant;</w:t>
      </w:r>
    </w:p>
    <w:p>
      <w:pPr>
        <w:ind w:left="460"/>
        <w:spacing w:after="0" w:line="228" w:lineRule="auto"/>
        <w:rPr>
          <w:sz w:val="20"/>
          <w:szCs w:val="20"/>
          <w:color w:val="auto"/>
        </w:rPr>
      </w:pPr>
      <w:r>
        <w:rPr>
          <w:rFonts w:ascii="Arial" w:cs="Arial" w:eastAsia="Arial" w:hAnsi="Arial"/>
          <w:sz w:val="18"/>
          <w:szCs w:val="18"/>
          <w:color w:val="auto"/>
        </w:rPr>
        <w:t>upon a minimum of 30 days’ prior written notice of redemption to each warrant holder; and</w:t>
      </w:r>
    </w:p>
    <w:p>
      <w:pPr>
        <w:spacing w:after="0" w:line="1" w:lineRule="exact"/>
        <w:rPr>
          <w:sz w:val="20"/>
          <w:szCs w:val="20"/>
          <w:color w:val="auto"/>
        </w:rPr>
      </w:pPr>
    </w:p>
    <w:p>
      <w:pPr>
        <w:ind w:left="460" w:right="80"/>
        <w:spacing w:after="0" w:line="248" w:lineRule="auto"/>
        <w:rPr>
          <w:sz w:val="20"/>
          <w:szCs w:val="20"/>
          <w:color w:val="auto"/>
        </w:rPr>
      </w:pPr>
      <w:r>
        <w:rPr>
          <w:rFonts w:ascii="Arial" w:cs="Arial" w:eastAsia="Arial" w:hAnsi="Arial"/>
          <w:sz w:val="17"/>
          <w:szCs w:val="17"/>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114"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Redemption of warrants when the price per Class A ordinary share equals or exceeds $10.00</w:t>
      </w:r>
      <w:r>
        <w:rPr>
          <w:rFonts w:ascii="Arial" w:cs="Arial" w:eastAsia="Arial" w:hAnsi="Arial"/>
          <w:sz w:val="17"/>
          <w:szCs w:val="17"/>
          <w:color w:val="auto"/>
        </w:rPr>
        <w:t>. Once the warrants become exercisable,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may redeem the outstanding warrants (except as described with respect to the Private Placement Warrants):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whole and not in part;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$0.10 per warrant;</w:t>
      </w:r>
    </w:p>
    <w:p>
      <w:pPr>
        <w:ind w:left="460" w:right="40"/>
        <w:spacing w:after="0" w:line="232" w:lineRule="auto"/>
        <w:rPr>
          <w:sz w:val="20"/>
          <w:szCs w:val="20"/>
          <w:color w:val="auto"/>
        </w:rPr>
      </w:pPr>
      <w:r>
        <w:rPr>
          <w:rFonts w:ascii="Arial" w:cs="Arial" w:eastAsia="Arial" w:hAnsi="Arial"/>
          <w:sz w:val="17"/>
          <w:szCs w:val="17"/>
          <w:color w:val="auto"/>
        </w:rPr>
        <w:t>upon a minimum of 30 days’ prior written notice of redemption; provided that holders will be able to exercise their warrants on a cashless basis prior to redemption and receive that number of shares determined based on the redemption date and the fair market value of the Class A ordinary shares;</w:t>
      </w:r>
    </w:p>
    <w:p>
      <w:pPr>
        <w:ind w:left="460" w:right="160"/>
        <w:spacing w:after="0" w:line="232" w:lineRule="auto"/>
        <w:rPr>
          <w:sz w:val="20"/>
          <w:szCs w:val="20"/>
          <w:color w:val="auto"/>
        </w:rPr>
      </w:pPr>
      <w:r>
        <w:rPr>
          <w:rFonts w:ascii="Arial" w:cs="Arial" w:eastAsia="Arial" w:hAnsi="Arial"/>
          <w:sz w:val="17"/>
          <w:szCs w:val="17"/>
          <w:color w:val="auto"/>
        </w:rPr>
        <w:t>if, and only if, the closing price of the Class A ordinary shares equal or exceeds $10.00 per public share (as adjusted) for any 20 trading days within the 30-trading day period ending three trading days before the Company send the notice of redemption of the warrant holders; and</w:t>
      </w:r>
    </w:p>
    <w:p>
      <w:pPr>
        <w:ind w:left="460" w:right="60"/>
        <w:spacing w:after="0" w:line="236" w:lineRule="auto"/>
        <w:rPr>
          <w:sz w:val="20"/>
          <w:szCs w:val="20"/>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 Warrants—Public Warrants—Anti-dilution Adjustments”), the private placement warrants must also be concurrently called for redemption on the same terms as the outstanding public warrants, as described above.</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240"/>
          </w:cols>
          <w:pgMar w:left="320" w:top="455" w:right="3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23"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Private Placement Warrants will be identical to the Public Warrants underlying the Units being sold in the Proposed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73" w:lineRule="exact"/>
        <w:rPr>
          <w:sz w:val="20"/>
          <w:szCs w:val="20"/>
          <w:color w:val="auto"/>
        </w:rPr>
      </w:pPr>
    </w:p>
    <w:p>
      <w:pPr>
        <w:jc w:val="both"/>
        <w:ind w:right="400"/>
        <w:spacing w:after="0" w:line="253"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August 7, 2020, the date that the financial statements were available to be issued. Based upon this review, the Company did not identify any subsequent events that would have required adjustment or disclosure in the financial statements.</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220"/>
          </w:cols>
          <w:pgMar w:left="320" w:top="455" w:right="359" w:bottom="1440" w:gutter="0" w:footer="0" w:header="0"/>
        </w:sectPr>
      </w:pPr>
    </w:p>
    <w:bookmarkStart w:id="174" w:name="page175"/>
    <w:bookmarkEnd w:id="17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20,000,000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auto"/>
        </w:rPr>
        <w:t>VPC Impact Acquisition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884555</wp:posOffset>
            </wp:positionV>
            <wp:extent cx="22802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234315</wp:posOffset>
            </wp:positionV>
            <wp:extent cx="228028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Sole Book-Running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Until [•], 2020 (25 days after the date of this prospectus), all dealers that buy, sell or trade our units, Class A ordinary shares or public warrants,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type w:val="continuous"/>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Other Expenses of Issuance and Distribution.</w:t>
      </w:r>
    </w:p>
    <w:p>
      <w:pPr>
        <w:spacing w:after="0" w:line="7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estimated expenses payable by us in connection with the offering described in this registration statement (other than the underwriting discount and commissions)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20" w:type="dxa"/>
            <w:vAlign w:val="bottom"/>
            <w:shd w:val="clear" w:color="auto" w:fill="CCEEFF"/>
          </w:tcPr>
          <w:p>
            <w:pPr>
              <w:spacing w:after="0"/>
              <w:rPr>
                <w:sz w:val="20"/>
                <w:szCs w:val="20"/>
                <w:color w:val="auto"/>
              </w:rPr>
            </w:pPr>
            <w:r>
              <w:rPr>
                <w:rFonts w:ascii="Arial" w:cs="Arial" w:eastAsia="Arial" w:hAnsi="Arial"/>
                <w:sz w:val="17"/>
                <w:szCs w:val="17"/>
                <w:color w:val="auto"/>
              </w:rPr>
              <w:t>SEC/FINRA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65,000</w:t>
            </w:r>
          </w:p>
        </w:tc>
      </w:tr>
      <w:tr>
        <w:trPr>
          <w:trHeight w:val="189"/>
        </w:trPr>
        <w:tc>
          <w:tcPr>
            <w:tcW w:w="10220" w:type="dxa"/>
            <w:vAlign w:val="bottom"/>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1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10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35,000</w:t>
            </w:r>
          </w:p>
        </w:tc>
      </w:tr>
      <w:tr>
        <w:trPr>
          <w:trHeight w:val="189"/>
        </w:trPr>
        <w:tc>
          <w:tcPr>
            <w:tcW w:w="10220" w:type="dxa"/>
            <w:vAlign w:val="bottom"/>
          </w:tcPr>
          <w:p>
            <w:pPr>
              <w:spacing w:after="0" w:line="189" w:lineRule="exact"/>
              <w:rPr>
                <w:sz w:val="20"/>
                <w:szCs w:val="20"/>
                <w:color w:val="auto"/>
              </w:rPr>
            </w:pPr>
            <w:r>
              <w:rPr>
                <w:rFonts w:ascii="Arial" w:cs="Arial" w:eastAsia="Arial" w:hAnsi="Arial"/>
                <w:sz w:val="17"/>
                <w:szCs w:val="17"/>
                <w:color w:val="auto"/>
              </w:rPr>
              <w:t>Travel and road show expenses</w:t>
            </w:r>
          </w:p>
        </w:tc>
        <w:tc>
          <w:tcPr>
            <w:tcW w:w="1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20,000</w:t>
            </w:r>
          </w:p>
        </w:tc>
      </w:tr>
      <w:tr>
        <w:trPr>
          <w:trHeight w:val="189"/>
        </w:trPr>
        <w:tc>
          <w:tcPr>
            <w:tcW w:w="10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325,000</w:t>
            </w:r>
          </w:p>
        </w:tc>
      </w:tr>
      <w:tr>
        <w:trPr>
          <w:trHeight w:val="189"/>
        </w:trPr>
        <w:tc>
          <w:tcPr>
            <w:tcW w:w="10220" w:type="dxa"/>
            <w:vAlign w:val="bottom"/>
          </w:tcPr>
          <w:p>
            <w:pPr>
              <w:spacing w:after="0" w:line="189" w:lineRule="exact"/>
              <w:rPr>
                <w:sz w:val="20"/>
                <w:szCs w:val="20"/>
                <w:color w:val="auto"/>
              </w:rPr>
            </w:pPr>
            <w:r>
              <w:rPr>
                <w:rFonts w:ascii="Arial" w:cs="Arial" w:eastAsia="Arial" w:hAnsi="Arial"/>
                <w:sz w:val="17"/>
                <w:szCs w:val="17"/>
                <w:color w:val="auto"/>
              </w:rPr>
              <w:t>Nasdaq listing and filing fees</w:t>
            </w:r>
          </w:p>
        </w:tc>
        <w:tc>
          <w:tcPr>
            <w:tcW w:w="1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55,000</w:t>
            </w:r>
          </w:p>
        </w:tc>
      </w:tr>
      <w:tr>
        <w:trPr>
          <w:trHeight w:val="189"/>
        </w:trPr>
        <w:tc>
          <w:tcPr>
            <w:tcW w:w="10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Directors’ and officers’ liability insurance </w:t>
            </w: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125,000</w:t>
            </w:r>
          </w:p>
        </w:tc>
      </w:tr>
      <w:tr>
        <w:trPr>
          <w:trHeight w:val="196"/>
        </w:trPr>
        <w:tc>
          <w:tcPr>
            <w:tcW w:w="10220" w:type="dxa"/>
            <w:vAlign w:val="bottom"/>
          </w:tcPr>
          <w:p>
            <w:pPr>
              <w:spacing w:after="0" w:line="189" w:lineRule="exact"/>
              <w:rPr>
                <w:sz w:val="20"/>
                <w:szCs w:val="20"/>
                <w:color w:val="auto"/>
              </w:rPr>
            </w:pPr>
            <w:r>
              <w:rPr>
                <w:rFonts w:ascii="Arial" w:cs="Arial" w:eastAsia="Arial" w:hAnsi="Arial"/>
                <w:sz w:val="17"/>
                <w:szCs w:val="17"/>
                <w:color w:val="auto"/>
              </w:rPr>
              <w:t>Miscellaneous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315,000</w:t>
            </w:r>
          </w:p>
        </w:tc>
        <w:tc>
          <w:tcPr>
            <w:tcW w:w="60" w:type="dxa"/>
            <w:vAlign w:val="bottom"/>
          </w:tcPr>
          <w:p>
            <w:pPr>
              <w:spacing w:after="0"/>
              <w:rPr>
                <w:sz w:val="17"/>
                <w:szCs w:val="17"/>
                <w:color w:val="auto"/>
              </w:rPr>
            </w:pPr>
          </w:p>
        </w:tc>
      </w:tr>
      <w:tr>
        <w:trPr>
          <w:trHeight w:val="189"/>
        </w:trPr>
        <w:tc>
          <w:tcPr>
            <w:tcW w:w="102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b w:val="1"/>
                <w:bCs w:val="1"/>
                <w:color w:val="auto"/>
              </w:rPr>
              <w:t>1,000,000</w:t>
            </w:r>
          </w:p>
        </w:tc>
      </w:tr>
      <w:tr>
        <w:trPr>
          <w:trHeight w:val="20"/>
        </w:trPr>
        <w:tc>
          <w:tcPr>
            <w:tcW w:w="10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20" w:hanging="297"/>
        <w:spacing w:after="0" w:line="195" w:lineRule="auto"/>
        <w:tabs>
          <w:tab w:leader="none" w:pos="4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This amount represents the approximate amount of annual directors’ and officers’ liability insurance premiums the registrant anticipates paying following the completion of its initial public offering and until it completes an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Indemnification of Directors and Officers.</w:t>
      </w:r>
    </w:p>
    <w:p>
      <w:pPr>
        <w:spacing w:after="0" w:line="6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2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17"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Recent Sales of Unregistered Securities.</w:t>
      </w:r>
    </w:p>
    <w:p>
      <w:pPr>
        <w:spacing w:after="0" w:line="6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On July 31, 2020, VPC Impact Acquisition Holdings Sponsor, LLC, our sponsor, paid $25,000, or approximately $0.003 per share, to cover certain of our offering costs in exchange for [</w:t>
      </w:r>
      <w:r>
        <w:rPr>
          <w:rFonts w:ascii="Times New Roman" w:cs="Times New Roman" w:eastAsia="Times New Roman" w:hAnsi="Times New Roman"/>
          <w:sz w:val="17"/>
          <w:szCs w:val="17"/>
          <w:color w:val="auto"/>
        </w:rPr>
        <w:t>●</w:t>
      </w:r>
      <w:r>
        <w:rPr>
          <w:rFonts w:ascii="Arial" w:cs="Arial" w:eastAsia="Arial" w:hAnsi="Arial"/>
          <w:sz w:val="17"/>
          <w:szCs w:val="17"/>
          <w:color w:val="auto"/>
        </w:rPr>
        <w:t>] Class B ordinary shares. On [</w:t>
      </w:r>
      <w:r>
        <w:rPr>
          <w:rFonts w:ascii="Times New Roman" w:cs="Times New Roman" w:eastAsia="Times New Roman" w:hAnsi="Times New Roman"/>
          <w:sz w:val="17"/>
          <w:szCs w:val="17"/>
          <w:color w:val="auto"/>
        </w:rPr>
        <w:t>●</w:t>
      </w:r>
      <w:r>
        <w:rPr>
          <w:rFonts w:ascii="Arial" w:cs="Arial" w:eastAsia="Arial" w:hAnsi="Arial"/>
          <w:sz w:val="17"/>
          <w:szCs w:val="17"/>
          <w:color w:val="auto"/>
        </w:rPr>
        <w:t>], 2020, our sponsor transferred [</w:t>
      </w:r>
      <w:r>
        <w:rPr>
          <w:rFonts w:ascii="Times New Roman" w:cs="Times New Roman" w:eastAsia="Times New Roman" w:hAnsi="Times New Roman"/>
          <w:sz w:val="17"/>
          <w:szCs w:val="17"/>
          <w:color w:val="auto"/>
        </w:rPr>
        <w:t>●</w:t>
      </w:r>
      <w:r>
        <w:rPr>
          <w:rFonts w:ascii="Arial" w:cs="Arial" w:eastAsia="Arial" w:hAnsi="Arial"/>
          <w:sz w:val="17"/>
          <w:szCs w:val="17"/>
          <w:color w:val="auto"/>
        </w:rPr>
        <w:t>] Class B ordinary shares to [</w:t>
      </w:r>
      <w:r>
        <w:rPr>
          <w:rFonts w:ascii="Times New Roman" w:cs="Times New Roman" w:eastAsia="Times New Roman" w:hAnsi="Times New Roman"/>
          <w:sz w:val="17"/>
          <w:szCs w:val="17"/>
          <w:color w:val="auto"/>
        </w:rPr>
        <w:t>●</w:t>
      </w:r>
      <w:r>
        <w:rPr>
          <w:rFonts w:ascii="Arial" w:cs="Arial" w:eastAsia="Arial" w:hAnsi="Arial"/>
          <w:sz w:val="17"/>
          <w:szCs w:val="17"/>
          <w:color w:val="auto"/>
        </w:rPr>
        <w:t>], resulting in our sponsor holding [</w:t>
      </w:r>
      <w:r>
        <w:rPr>
          <w:rFonts w:ascii="Times New Roman" w:cs="Times New Roman" w:eastAsia="Times New Roman" w:hAnsi="Times New Roman"/>
          <w:sz w:val="17"/>
          <w:szCs w:val="17"/>
          <w:color w:val="auto"/>
        </w:rPr>
        <w:t>●</w:t>
      </w:r>
      <w:r>
        <w:rPr>
          <w:rFonts w:ascii="Arial" w:cs="Arial" w:eastAsia="Arial" w:hAnsi="Arial"/>
          <w:sz w:val="17"/>
          <w:szCs w:val="17"/>
          <w:color w:val="auto"/>
        </w:rPr>
        <w:t>] Class B ordinary shares. Such securities were issued in connection with our organization pursuant to the exemption from registration contained in Section 4(a)(2) of the Securities Act.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these shares will be surrendered for no consideration depending on the extent to which the underwriters’ over-allotment is exercised.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240"/>
          </w:cols>
          <w:pgMar w:left="320" w:top="455" w:right="3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Our sponsor is an accredited investor for purposes of Rule 501 of Regulation D. Each of the equity holders in our sponsor is an accredited investor under Rule 501 of Regulation D. The sole business of our sponsor is to act as the company’s sponsor in connection with this offering. The limited liability company agreement of our sponsor provides that its membership interests may only be transferred to our officers or directors or other persons affiliated with our sponsor, or in connection with estate planning transfers.</w:t>
      </w:r>
    </w:p>
    <w:p>
      <w:pPr>
        <w:spacing w:after="0" w:line="117"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Our sponsor has committed to, pursuant to a written agreement, to purchase from us an aggregate of 6,000,000 private placement warrants (or 6,600,000 warrants if the underwriters’ over-allotment option is exercised in full) at $1.00 per warrant (for an aggregate purchase price of $6,000,000 (or $6,600,000 if the underwriters’ over-allotment 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 underwriting discounts or commissions were paid with respect to such sales.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 and Financial Statement Schedules.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EXHIBIT NO.</w:t>
            </w:r>
          </w:p>
        </w:tc>
        <w:tc>
          <w:tcPr>
            <w:tcW w:w="960" w:type="dxa"/>
            <w:vAlign w:val="bottom"/>
          </w:tcPr>
          <w:p>
            <w:pPr>
              <w:spacing w:after="0"/>
              <w:rPr>
                <w:sz w:val="16"/>
                <w:szCs w:val="16"/>
                <w:color w:val="auto"/>
              </w:rPr>
            </w:pPr>
          </w:p>
        </w:tc>
        <w:tc>
          <w:tcPr>
            <w:tcW w:w="9400" w:type="dxa"/>
            <w:vAlign w:val="bottom"/>
            <w:tcBorders>
              <w:bottom w:val="single" w:sz="8" w:color="auto"/>
            </w:tcBorders>
          </w:tcPr>
          <w:p>
            <w:pPr>
              <w:ind w:left="4200"/>
              <w:spacing w:after="0"/>
              <w:rPr>
                <w:sz w:val="20"/>
                <w:szCs w:val="20"/>
                <w:color w:val="auto"/>
              </w:rPr>
            </w:pPr>
            <w:r>
              <w:rPr>
                <w:rFonts w:ascii="Arial" w:cs="Arial" w:eastAsia="Arial" w:hAnsi="Arial"/>
                <w:sz w:val="14"/>
                <w:szCs w:val="14"/>
                <w:b w:val="1"/>
                <w:bCs w:val="1"/>
                <w:color w:val="auto"/>
              </w:rPr>
              <w:t>DESCRIPTION</w:t>
            </w:r>
          </w:p>
        </w:tc>
      </w:tr>
      <w:tr>
        <w:trPr>
          <w:trHeight w:val="314"/>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1.1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Underwriting Agreement.*</w:t>
            </w:r>
          </w:p>
        </w:tc>
      </w:tr>
      <w:tr>
        <w:trPr>
          <w:trHeight w:val="311"/>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3.1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Memorandum and Articles of Association.*</w:t>
            </w:r>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3.2</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Amended and Restated Memorandum and Articles of Association.*</w:t>
            </w:r>
          </w:p>
        </w:tc>
      </w:tr>
      <w:tr>
        <w:trPr>
          <w:trHeight w:val="311"/>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4.1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Specimen Unit Certificate.*</w:t>
            </w:r>
          </w:p>
        </w:tc>
      </w:tr>
      <w:tr>
        <w:trPr>
          <w:trHeight w:val="311"/>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4.2</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Specimen Ordinary Share Certificate.*</w:t>
            </w:r>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4.3</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Specimen Warrant Certificate.*</w:t>
            </w:r>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4.4</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Warrant Agreement between Continental Stock Transfer &amp; Trust Company and the Registrant.*</w:t>
            </w:r>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5.1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Opinion of White &amp; Case LLP.*</w:t>
            </w:r>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5.2</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Opinion of Maples and Calder, Cayman Islands legal counsel to the Registrant.*</w:t>
            </w:r>
          </w:p>
        </w:tc>
      </w:tr>
      <w:tr>
        <w:trPr>
          <w:trHeight w:val="253"/>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Letter Agreement among the Registrant, VPC Impact Acquisition Holdings Sponsor, LLC and each of the officers</w:t>
            </w:r>
          </w:p>
        </w:tc>
      </w:tr>
      <w:tr>
        <w:trPr>
          <w:trHeight w:val="231"/>
        </w:trPr>
        <w:tc>
          <w:tcPr>
            <w:tcW w:w="880" w:type="dxa"/>
            <w:vAlign w:val="bottom"/>
          </w:tcPr>
          <w:p>
            <w:pPr>
              <w:spacing w:after="0"/>
              <w:rPr>
                <w:sz w:val="20"/>
                <w:szCs w:val="20"/>
                <w:color w:val="auto"/>
              </w:rPr>
            </w:pP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and directors of the Registrant.*</w:t>
            </w:r>
          </w:p>
        </w:tc>
      </w:tr>
      <w:tr>
        <w:trPr>
          <w:trHeight w:val="255"/>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10.2</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Investment Management Trust Agreement between Continental Stock Transfer &amp; Trust Company and the</w:t>
            </w:r>
          </w:p>
        </w:tc>
      </w:tr>
      <w:tr>
        <w:trPr>
          <w:trHeight w:val="231"/>
        </w:trPr>
        <w:tc>
          <w:tcPr>
            <w:tcW w:w="880" w:type="dxa"/>
            <w:vAlign w:val="bottom"/>
          </w:tcPr>
          <w:p>
            <w:pPr>
              <w:spacing w:after="0"/>
              <w:rPr>
                <w:sz w:val="20"/>
                <w:szCs w:val="20"/>
                <w:color w:val="auto"/>
              </w:rPr>
            </w:pP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Registrant.*</w:t>
            </w:r>
          </w:p>
        </w:tc>
      </w:tr>
      <w:tr>
        <w:trPr>
          <w:trHeight w:val="255"/>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10.3</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Registration Rights Agreement among the Registrant, VPC Impact Acquisition Holdings Sponsor, LLC and the</w:t>
            </w:r>
          </w:p>
        </w:tc>
      </w:tr>
      <w:tr>
        <w:trPr>
          <w:trHeight w:val="231"/>
        </w:trPr>
        <w:tc>
          <w:tcPr>
            <w:tcW w:w="880" w:type="dxa"/>
            <w:vAlign w:val="bottom"/>
          </w:tcPr>
          <w:p>
            <w:pPr>
              <w:spacing w:after="0"/>
              <w:rPr>
                <w:sz w:val="20"/>
                <w:szCs w:val="20"/>
                <w:color w:val="auto"/>
              </w:rPr>
            </w:pP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Holders signatory thereto.*</w:t>
            </w:r>
          </w:p>
        </w:tc>
      </w:tr>
      <w:tr>
        <w:trPr>
          <w:trHeight w:val="255"/>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10.4</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Private Placement Warrants Purchase Agreement among the Registrant and VPC Impact Acquisition Holdings</w:t>
            </w:r>
          </w:p>
        </w:tc>
      </w:tr>
      <w:tr>
        <w:trPr>
          <w:trHeight w:val="231"/>
        </w:trPr>
        <w:tc>
          <w:tcPr>
            <w:tcW w:w="880" w:type="dxa"/>
            <w:vAlign w:val="bottom"/>
          </w:tcPr>
          <w:p>
            <w:pPr>
              <w:spacing w:after="0"/>
              <w:rPr>
                <w:sz w:val="20"/>
                <w:szCs w:val="20"/>
                <w:color w:val="auto"/>
              </w:rPr>
            </w:pP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Sponsor, LLC.*</w:t>
            </w:r>
          </w:p>
        </w:tc>
      </w:tr>
      <w:tr>
        <w:trPr>
          <w:trHeight w:val="313"/>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10.5</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Indemnity Agreement.*</w:t>
            </w:r>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10.6</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Promissory Note issued to VPC Impact Acquisition Holdings Sponsor, LLC.*</w:t>
            </w:r>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10.7</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Securities Subscription Agreement between VPC Impact Acquisition Holdings Sponsor, LLC and the Registrant.*</w:t>
            </w:r>
          </w:p>
        </w:tc>
      </w:tr>
      <w:tr>
        <w:trPr>
          <w:trHeight w:val="311"/>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10.8</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Administrative Services Agreement between the Registrant and VPC Impact Acquisition Holdings Sponsor, LLC.*</w:t>
            </w: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240"/>
          </w:cols>
          <w:pgMar w:left="320" w:top="455" w:right="3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960" w:type="dxa"/>
            <w:vAlign w:val="bottom"/>
          </w:tcPr>
          <w:p>
            <w:pPr>
              <w:spacing w:after="0"/>
              <w:rPr>
                <w:sz w:val="16"/>
                <w:szCs w:val="16"/>
                <w:color w:val="auto"/>
              </w:rPr>
            </w:pPr>
          </w:p>
        </w:tc>
        <w:tc>
          <w:tcPr>
            <w:tcW w:w="9400" w:type="dxa"/>
            <w:vAlign w:val="bottom"/>
            <w:tcBorders>
              <w:bottom w:val="single" w:sz="8" w:color="auto"/>
            </w:tcBorders>
          </w:tcPr>
          <w:p>
            <w:pPr>
              <w:ind w:left="4200"/>
              <w:spacing w:after="0"/>
              <w:rPr>
                <w:sz w:val="20"/>
                <w:szCs w:val="20"/>
                <w:color w:val="auto"/>
              </w:rPr>
            </w:pPr>
            <w:r>
              <w:rPr>
                <w:rFonts w:ascii="Arial" w:cs="Arial" w:eastAsia="Arial" w:hAnsi="Arial"/>
                <w:sz w:val="14"/>
                <w:szCs w:val="14"/>
                <w:b w:val="1"/>
                <w:bCs w:val="1"/>
                <w:color w:val="auto"/>
              </w:rPr>
              <w:t>DESCRIPTION</w:t>
            </w:r>
          </w:p>
        </w:tc>
      </w:tr>
      <w:tr>
        <w:trPr>
          <w:trHeight w:val="315"/>
        </w:trPr>
        <w:tc>
          <w:tcPr>
            <w:tcW w:w="880" w:type="dxa"/>
            <w:vAlign w:val="bottom"/>
          </w:tcPr>
          <w:p>
            <w:pPr>
              <w:spacing w:after="0"/>
              <w:rPr>
                <w:sz w:val="20"/>
                <w:szCs w:val="20"/>
                <w:color w:val="auto"/>
              </w:rPr>
            </w:pPr>
            <w:r>
              <w:rPr>
                <w:rFonts w:ascii="Arial" w:cs="Arial" w:eastAsia="Arial" w:hAnsi="Arial"/>
                <w:sz w:val="18"/>
                <w:szCs w:val="18"/>
                <w:color w:val="auto"/>
              </w:rPr>
              <w:t>14.1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Code of Business Conduct and Ethics.*</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Consent of WithumSmith+Brown, PC.**</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Consent of White &amp; Case LLP (included on Exhibit 5.1).*</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23.3</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Consent of Maples and Calder (included on Exhibit 5.2).*</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Power of Attorney.*</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Consent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Consent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99.3</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Consent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220" w:right="9800" w:firstLine="56"/>
        <w:spacing w:after="0" w:line="291" w:lineRule="auto"/>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Previously filed. ** Filed herewith.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73" w:lineRule="exact"/>
        <w:rPr>
          <w:sz w:val="20"/>
          <w:szCs w:val="20"/>
          <w:color w:val="auto"/>
        </w:rPr>
      </w:pPr>
    </w:p>
    <w:p>
      <w:pPr>
        <w:ind w:left="460" w:right="140" w:hanging="452"/>
        <w:spacing w:after="0" w:line="257"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 w:lineRule="exact"/>
        <w:rPr>
          <w:rFonts w:ascii="Arial" w:cs="Arial" w:eastAsia="Arial" w:hAnsi="Arial"/>
          <w:sz w:val="17"/>
          <w:szCs w:val="17"/>
          <w:color w:val="auto"/>
        </w:rPr>
      </w:pPr>
    </w:p>
    <w:p>
      <w:pPr>
        <w:ind w:left="460" w:right="20" w:hanging="452"/>
        <w:spacing w:after="0" w:line="238"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34" w:lineRule="exact"/>
        <w:rPr>
          <w:rFonts w:ascii="Arial" w:cs="Arial" w:eastAsia="Arial" w:hAnsi="Arial"/>
          <w:sz w:val="17"/>
          <w:szCs w:val="17"/>
          <w:color w:val="auto"/>
        </w:rPr>
      </w:pPr>
    </w:p>
    <w:p>
      <w:pPr>
        <w:jc w:val="both"/>
        <w:ind w:left="900" w:right="280" w:hanging="447"/>
        <w:spacing w:after="0" w:line="244" w:lineRule="auto"/>
        <w:tabs>
          <w:tab w:leader="none" w:pos="9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 w:lineRule="exact"/>
        <w:rPr>
          <w:rFonts w:ascii="Arial" w:cs="Arial" w:eastAsia="Arial" w:hAnsi="Arial"/>
          <w:sz w:val="17"/>
          <w:szCs w:val="17"/>
          <w:color w:val="auto"/>
        </w:rPr>
      </w:pPr>
    </w:p>
    <w:p>
      <w:pPr>
        <w:ind w:left="900" w:right="420" w:hanging="447"/>
        <w:spacing w:after="0" w:line="248" w:lineRule="auto"/>
        <w:tabs>
          <w:tab w:leader="none" w:pos="9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 w:lineRule="exact"/>
        <w:rPr>
          <w:rFonts w:ascii="Arial" w:cs="Arial" w:eastAsia="Arial" w:hAnsi="Arial"/>
          <w:sz w:val="17"/>
          <w:szCs w:val="17"/>
          <w:color w:val="auto"/>
        </w:rPr>
      </w:pPr>
    </w:p>
    <w:p>
      <w:pPr>
        <w:ind w:left="900" w:right="60" w:hanging="447"/>
        <w:spacing w:after="0" w:line="238" w:lineRule="auto"/>
        <w:tabs>
          <w:tab w:leader="none" w:pos="9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For the purpose of determining liability under the Securities Act of 1933 of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 w:lineRule="exact"/>
        <w:rPr>
          <w:rFonts w:ascii="Arial" w:cs="Arial" w:eastAsia="Arial" w:hAnsi="Arial"/>
          <w:sz w:val="17"/>
          <w:szCs w:val="17"/>
          <w:color w:val="auto"/>
        </w:rPr>
      </w:pPr>
    </w:p>
    <w:p>
      <w:pPr>
        <w:ind w:left="900" w:right="300" w:hanging="447"/>
        <w:spacing w:after="0" w:line="252" w:lineRule="auto"/>
        <w:tabs>
          <w:tab w:leader="none" w:pos="9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240"/>
          </w:cols>
          <w:pgMar w:left="320" w:top="455" w:right="3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left="900" w:right="640"/>
        <w:spacing w:after="0" w:line="249" w:lineRule="auto"/>
        <w:rPr>
          <w:sz w:val="20"/>
          <w:szCs w:val="20"/>
          <w:color w:val="auto"/>
        </w:rPr>
      </w:pPr>
      <w:r>
        <w:rPr>
          <w:rFonts w:ascii="Arial" w:cs="Arial" w:eastAsia="Arial" w:hAnsi="Arial"/>
          <w:sz w:val="17"/>
          <w:szCs w:val="17"/>
          <w:color w:val="auto"/>
        </w:rPr>
        <w:t>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ind w:left="900" w:hanging="447"/>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34" w:lineRule="exact"/>
        <w:rPr>
          <w:rFonts w:ascii="Arial" w:cs="Arial" w:eastAsia="Arial" w:hAnsi="Arial"/>
          <w:sz w:val="17"/>
          <w:szCs w:val="17"/>
          <w:color w:val="auto"/>
        </w:rPr>
      </w:pPr>
    </w:p>
    <w:p>
      <w:pPr>
        <w:ind w:left="900" w:right="320" w:hanging="447"/>
        <w:spacing w:after="0" w:line="256"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an undersigned registrant;</w:t>
      </w:r>
    </w:p>
    <w:p>
      <w:pPr>
        <w:spacing w:after="0" w:line="1" w:lineRule="exact"/>
        <w:rPr>
          <w:rFonts w:ascii="Arial" w:cs="Arial" w:eastAsia="Arial" w:hAnsi="Arial"/>
          <w:sz w:val="17"/>
          <w:szCs w:val="17"/>
          <w:color w:val="auto"/>
        </w:rPr>
      </w:pPr>
    </w:p>
    <w:p>
      <w:pPr>
        <w:ind w:left="900" w:hanging="447"/>
        <w:spacing w:after="0" w:line="256"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 w:lineRule="exact"/>
        <w:rPr>
          <w:rFonts w:ascii="Arial" w:cs="Arial" w:eastAsia="Arial" w:hAnsi="Arial"/>
          <w:sz w:val="17"/>
          <w:szCs w:val="17"/>
          <w:color w:val="auto"/>
        </w:rPr>
      </w:pPr>
    </w:p>
    <w:p>
      <w:pPr>
        <w:ind w:left="900" w:hanging="447"/>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200"/>
          </w:cols>
          <w:pgMar w:left="320" w:top="455" w:right="37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73"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w:t>
      </w:r>
      <w:r>
        <w:rPr>
          <w:rFonts w:ascii="Times New Roman" w:cs="Times New Roman" w:eastAsia="Times New Roman" w:hAnsi="Times New Roman"/>
          <w:sz w:val="17"/>
          <w:szCs w:val="17"/>
          <w:color w:val="auto"/>
        </w:rPr>
        <w:t>●</w:t>
      </w:r>
      <w:r>
        <w:rPr>
          <w:rFonts w:ascii="Arial" w:cs="Arial" w:eastAsia="Arial" w:hAnsi="Arial"/>
          <w:sz w:val="17"/>
          <w:szCs w:val="17"/>
          <w:color w:val="auto"/>
        </w:rPr>
        <w:t>], on the [</w:t>
      </w:r>
      <w:r>
        <w:rPr>
          <w:rFonts w:ascii="Times New Roman" w:cs="Times New Roman" w:eastAsia="Times New Roman" w:hAnsi="Times New Roman"/>
          <w:sz w:val="17"/>
          <w:szCs w:val="17"/>
          <w:color w:val="auto"/>
        </w:rPr>
        <w:t>●</w:t>
      </w:r>
      <w:r>
        <w:rPr>
          <w:rFonts w:ascii="Arial" w:cs="Arial" w:eastAsia="Arial" w:hAnsi="Arial"/>
          <w:sz w:val="17"/>
          <w:szCs w:val="17"/>
          <w:color w:val="auto"/>
        </w:rPr>
        <w:t>] day of [</w:t>
      </w:r>
      <w:r>
        <w:rPr>
          <w:rFonts w:ascii="Times New Roman" w:cs="Times New Roman" w:eastAsia="Times New Roman" w:hAnsi="Times New Roman"/>
          <w:sz w:val="17"/>
          <w:szCs w:val="17"/>
          <w:color w:val="auto"/>
        </w:rPr>
        <w:t>●</w:t>
      </w:r>
      <w:r>
        <w:rPr>
          <w:rFonts w:ascii="Arial" w:cs="Arial" w:eastAsia="Arial" w:hAnsi="Arial"/>
          <w:sz w:val="17"/>
          <w:szCs w:val="17"/>
          <w:color w:val="auto"/>
        </w:rPr>
        <w:t>], 2020.</w:t>
      </w:r>
    </w:p>
    <w:p>
      <w:pPr>
        <w:spacing w:after="0" w:line="145"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VPC Impact Acquisition Holdings</w:t>
      </w:r>
    </w:p>
    <w:p>
      <w:pPr>
        <w:spacing w:after="0" w:line="212"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By: /s/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21590</wp:posOffset>
            </wp:positionV>
            <wp:extent cx="26403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4"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p>
      <w:pPr>
        <w:spacing w:after="0" w:line="27"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15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each of [</w:t>
      </w:r>
      <w:r>
        <w:rPr>
          <w:rFonts w:ascii="Times New Roman" w:cs="Times New Roman" w:eastAsia="Times New Roman" w:hAnsi="Times New Roman"/>
          <w:sz w:val="17"/>
          <w:szCs w:val="17"/>
          <w:color w:val="auto"/>
        </w:rPr>
        <w:t>●</w:t>
      </w:r>
      <w:r>
        <w:rPr>
          <w:rFonts w:ascii="Arial" w:cs="Arial" w:eastAsia="Arial" w:hAnsi="Arial"/>
          <w:sz w:val="17"/>
          <w:szCs w:val="17"/>
          <w:color w:val="auto"/>
        </w:rPr>
        <w:t>] his true and lawful attorney-in-fact, with full power of substitution and resubstitution for him and in his name, place and stead, in any and all capacities to sign any and all amendments including post-effective amendments to this registration statement and any and all registration statements filed pursuant to Rule 462 under the Securities Act of 1933, as amended,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21"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80" w:type="dxa"/>
            <w:vAlign w:val="bottom"/>
            <w:gridSpan w:val="2"/>
          </w:tcPr>
          <w:p>
            <w:pPr>
              <w:ind w:left="2160"/>
              <w:spacing w:after="0"/>
              <w:rPr>
                <w:sz w:val="20"/>
                <w:szCs w:val="20"/>
                <w:color w:val="auto"/>
              </w:rPr>
            </w:pPr>
            <w:r>
              <w:rPr>
                <w:rFonts w:ascii="Arial" w:cs="Arial" w:eastAsia="Arial" w:hAnsi="Arial"/>
                <w:sz w:val="14"/>
                <w:szCs w:val="14"/>
                <w:b w:val="1"/>
                <w:bCs w:val="1"/>
                <w:color w:val="auto"/>
                <w:w w:val="96"/>
              </w:rPr>
              <w:t>NAME</w:t>
            </w:r>
          </w:p>
        </w:tc>
        <w:tc>
          <w:tcPr>
            <w:tcW w:w="2140" w:type="dxa"/>
            <w:vAlign w:val="bottom"/>
          </w:tcPr>
          <w:p>
            <w:pPr>
              <w:spacing w:after="0"/>
              <w:rPr>
                <w:sz w:val="15"/>
                <w:szCs w:val="15"/>
                <w:color w:val="auto"/>
              </w:rPr>
            </w:pPr>
          </w:p>
        </w:tc>
        <w:tc>
          <w:tcPr>
            <w:tcW w:w="4240" w:type="dxa"/>
            <w:vAlign w:val="bottom"/>
            <w:gridSpan w:val="3"/>
          </w:tcPr>
          <w:p>
            <w:pPr>
              <w:ind w:left="1980"/>
              <w:spacing w:after="0"/>
              <w:rPr>
                <w:sz w:val="20"/>
                <w:szCs w:val="20"/>
                <w:color w:val="auto"/>
              </w:rPr>
            </w:pPr>
            <w:r>
              <w:rPr>
                <w:rFonts w:ascii="Arial" w:cs="Arial" w:eastAsia="Arial" w:hAnsi="Arial"/>
                <w:sz w:val="14"/>
                <w:szCs w:val="14"/>
                <w:b w:val="1"/>
                <w:bCs w:val="1"/>
                <w:color w:val="auto"/>
              </w:rPr>
              <w:t>POSITION</w:t>
            </w:r>
          </w:p>
        </w:tc>
        <w:tc>
          <w:tcPr>
            <w:tcW w:w="1140" w:type="dxa"/>
            <w:vAlign w:val="bottom"/>
          </w:tcPr>
          <w:p>
            <w:pPr>
              <w:spacing w:after="0"/>
              <w:rPr>
                <w:sz w:val="15"/>
                <w:szCs w:val="15"/>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160" w:type="dxa"/>
            <w:vAlign w:val="bottom"/>
          </w:tcPr>
          <w:p>
            <w:pPr>
              <w:spacing w:after="0"/>
              <w:rPr>
                <w:sz w:val="20"/>
                <w:szCs w:val="20"/>
                <w:color w:val="auto"/>
              </w:rPr>
            </w:pPr>
            <w:r>
              <w:rPr>
                <w:rFonts w:ascii="Arial" w:cs="Arial" w:eastAsia="Arial" w:hAnsi="Arial"/>
                <w:sz w:val="17"/>
                <w:szCs w:val="17"/>
                <w:color w:val="auto"/>
              </w:rPr>
              <w:t>/s/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980" w:type="dxa"/>
            <w:vAlign w:val="bottom"/>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80" w:type="dxa"/>
            <w:vAlign w:val="bottom"/>
            <w:gridSpan w:val="3"/>
          </w:tcPr>
          <w:p>
            <w:pPr>
              <w:jc w:val="center"/>
              <w:ind w:left="87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 , 2020</w:t>
            </w:r>
          </w:p>
        </w:tc>
        <w:tc>
          <w:tcPr>
            <w:tcW w:w="0" w:type="dxa"/>
            <w:vAlign w:val="bottom"/>
          </w:tcPr>
          <w:p>
            <w:pPr>
              <w:spacing w:after="0"/>
              <w:rPr>
                <w:sz w:val="1"/>
                <w:szCs w:val="1"/>
                <w:color w:val="auto"/>
              </w:rPr>
            </w:pPr>
          </w:p>
        </w:tc>
      </w:tr>
      <w:tr>
        <w:trPr>
          <w:trHeight w:val="28"/>
        </w:trPr>
        <w:tc>
          <w:tcPr>
            <w:tcW w:w="258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240" w:type="dxa"/>
            <w:vAlign w:val="bottom"/>
            <w:gridSpan w:val="3"/>
            <w:vMerge w:val="restart"/>
          </w:tcPr>
          <w:p>
            <w:pPr>
              <w:ind w:left="140"/>
              <w:spacing w:after="0"/>
              <w:rPr>
                <w:sz w:val="20"/>
                <w:szCs w:val="20"/>
                <w:color w:val="auto"/>
              </w:rPr>
            </w:pPr>
            <w:r>
              <w:rPr>
                <w:rFonts w:ascii="Arial" w:cs="Arial" w:eastAsia="Arial" w:hAnsi="Arial"/>
                <w:sz w:val="17"/>
                <w:szCs w:val="17"/>
                <w:color w:val="auto"/>
              </w:rPr>
              <w:t>(principal executive officer)</w:t>
            </w: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580" w:type="dxa"/>
            <w:vAlign w:val="bottom"/>
            <w:gridSpan w:val="2"/>
          </w:tcPr>
          <w:p>
            <w:pP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c>
          <w:tcPr>
            <w:tcW w:w="2140" w:type="dxa"/>
            <w:vAlign w:val="bottom"/>
          </w:tcPr>
          <w:p>
            <w:pPr>
              <w:spacing w:after="0"/>
              <w:rPr>
                <w:sz w:val="20"/>
                <w:szCs w:val="20"/>
                <w:color w:val="auto"/>
              </w:rPr>
            </w:pPr>
          </w:p>
        </w:tc>
        <w:tc>
          <w:tcPr>
            <w:tcW w:w="4240" w:type="dxa"/>
            <w:vAlign w:val="bottom"/>
            <w:gridSpan w:val="3"/>
            <w:vMerge w:val="continue"/>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2140" w:type="dxa"/>
            <w:vAlign w:val="bottom"/>
            <w:tcBorders>
              <w:bottom w:val="single" w:sz="8" w:color="auto"/>
            </w:tcBorders>
          </w:tcPr>
          <w:p>
            <w:pPr>
              <w:spacing w:after="0"/>
              <w:rPr>
                <w:sz w:val="24"/>
                <w:szCs w:val="24"/>
                <w:color w:val="auto"/>
              </w:rPr>
            </w:pPr>
          </w:p>
        </w:tc>
        <w:tc>
          <w:tcPr>
            <w:tcW w:w="424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1680" w:type="dxa"/>
            <w:vAlign w:val="bottom"/>
            <w:gridSpan w:val="3"/>
          </w:tcPr>
          <w:p>
            <w:pPr>
              <w:jc w:val="center"/>
              <w:ind w:left="87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 , 2020</w:t>
            </w:r>
          </w:p>
        </w:tc>
        <w:tc>
          <w:tcPr>
            <w:tcW w:w="0" w:type="dxa"/>
            <w:vAlign w:val="bottom"/>
          </w:tcPr>
          <w:p>
            <w:pPr>
              <w:spacing w:after="0"/>
              <w:rPr>
                <w:sz w:val="1"/>
                <w:szCs w:val="1"/>
                <w:color w:val="auto"/>
              </w:rPr>
            </w:pPr>
          </w:p>
        </w:tc>
      </w:tr>
      <w:tr>
        <w:trPr>
          <w:trHeight w:val="236"/>
        </w:trPr>
        <w:tc>
          <w:tcPr>
            <w:tcW w:w="2580" w:type="dxa"/>
            <w:vAlign w:val="bottom"/>
            <w:gridSpan w:val="2"/>
          </w:tcPr>
          <w:p>
            <w:pP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c>
          <w:tcPr>
            <w:tcW w:w="2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580" w:type="dxa"/>
            <w:vAlign w:val="bottom"/>
            <w:gridSpan w:val="2"/>
          </w:tcPr>
          <w:p>
            <w:pPr>
              <w:spacing w:after="0"/>
              <w:rPr>
                <w:sz w:val="20"/>
                <w:szCs w:val="20"/>
                <w:color w:val="auto"/>
              </w:rPr>
            </w:pPr>
            <w:r>
              <w:rPr>
                <w:rFonts w:ascii="Arial" w:cs="Arial" w:eastAsia="Arial" w:hAnsi="Arial"/>
                <w:sz w:val="17"/>
                <w:szCs w:val="17"/>
                <w:color w:val="auto"/>
              </w:rPr>
              <w:t>/s/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2140" w:type="dxa"/>
            <w:vAlign w:val="bottom"/>
          </w:tcPr>
          <w:p>
            <w:pPr>
              <w:spacing w:after="0"/>
              <w:rPr>
                <w:sz w:val="24"/>
                <w:szCs w:val="24"/>
                <w:color w:val="auto"/>
              </w:rPr>
            </w:pPr>
          </w:p>
        </w:tc>
        <w:tc>
          <w:tcPr>
            <w:tcW w:w="424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1680" w:type="dxa"/>
            <w:vAlign w:val="bottom"/>
            <w:gridSpan w:val="3"/>
          </w:tcPr>
          <w:p>
            <w:pPr>
              <w:jc w:val="center"/>
              <w:ind w:left="87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 , 2020</w:t>
            </w:r>
          </w:p>
        </w:tc>
        <w:tc>
          <w:tcPr>
            <w:tcW w:w="0" w:type="dxa"/>
            <w:vAlign w:val="bottom"/>
          </w:tcPr>
          <w:p>
            <w:pPr>
              <w:spacing w:after="0"/>
              <w:rPr>
                <w:sz w:val="1"/>
                <w:szCs w:val="1"/>
                <w:color w:val="auto"/>
              </w:rPr>
            </w:pPr>
          </w:p>
        </w:tc>
      </w:tr>
      <w:tr>
        <w:trPr>
          <w:trHeight w:val="28"/>
        </w:trPr>
        <w:tc>
          <w:tcPr>
            <w:tcW w:w="258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240" w:type="dxa"/>
            <w:vAlign w:val="bottom"/>
            <w:gridSpan w:val="3"/>
            <w:vMerge w:val="restart"/>
          </w:tcPr>
          <w:p>
            <w:pPr>
              <w:ind w:left="140"/>
              <w:spacing w:after="0"/>
              <w:rPr>
                <w:sz w:val="20"/>
                <w:szCs w:val="20"/>
                <w:color w:val="auto"/>
              </w:rPr>
            </w:pPr>
            <w:r>
              <w:rPr>
                <w:rFonts w:ascii="Arial" w:cs="Arial" w:eastAsia="Arial" w:hAnsi="Arial"/>
                <w:sz w:val="17"/>
                <w:szCs w:val="17"/>
                <w:color w:val="auto"/>
              </w:rPr>
              <w:t>(principal financial and accounting officer)</w:t>
            </w: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580" w:type="dxa"/>
            <w:vAlign w:val="bottom"/>
            <w:gridSpan w:val="2"/>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2140" w:type="dxa"/>
            <w:vAlign w:val="bottom"/>
          </w:tcPr>
          <w:p>
            <w:pPr>
              <w:spacing w:after="0"/>
              <w:rPr>
                <w:sz w:val="19"/>
                <w:szCs w:val="19"/>
                <w:color w:val="auto"/>
              </w:rPr>
            </w:pPr>
          </w:p>
        </w:tc>
        <w:tc>
          <w:tcPr>
            <w:tcW w:w="4240" w:type="dxa"/>
            <w:vAlign w:val="bottom"/>
            <w:gridSpan w:val="3"/>
            <w:vMerge w:val="continue"/>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Authorized Representative</w:t>
      </w:r>
    </w:p>
    <w:p>
      <w:pPr>
        <w:spacing w:after="0" w:line="75"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Pursuant to the requirements of Section 6(a) of the Securities Act of 1933, the undersigned has signed this registration statement, solely in its capacity as the duly authorized representative of VPC Impact Acquisition Holdings, in [</w:t>
      </w:r>
      <w:r>
        <w:rPr>
          <w:rFonts w:ascii="Times New Roman" w:cs="Times New Roman" w:eastAsia="Times New Roman" w:hAnsi="Times New Roman"/>
          <w:sz w:val="17"/>
          <w:szCs w:val="17"/>
          <w:color w:val="auto"/>
        </w:rPr>
        <w:t>●</w:t>
      </w:r>
      <w:r>
        <w:rPr>
          <w:rFonts w:ascii="Arial" w:cs="Arial" w:eastAsia="Arial" w:hAnsi="Arial"/>
          <w:sz w:val="17"/>
          <w:szCs w:val="17"/>
          <w:color w:val="auto"/>
        </w:rPr>
        <w:t>], on the [</w:t>
      </w:r>
      <w:r>
        <w:rPr>
          <w:rFonts w:ascii="Times New Roman" w:cs="Times New Roman" w:eastAsia="Times New Roman" w:hAnsi="Times New Roman"/>
          <w:sz w:val="17"/>
          <w:szCs w:val="17"/>
          <w:color w:val="auto"/>
        </w:rPr>
        <w:t>●</w:t>
      </w:r>
      <w:r>
        <w:rPr>
          <w:rFonts w:ascii="Arial" w:cs="Arial" w:eastAsia="Arial" w:hAnsi="Arial"/>
          <w:sz w:val="17"/>
          <w:szCs w:val="17"/>
          <w:color w:val="auto"/>
        </w:rPr>
        <w:t>] day of [</w:t>
      </w:r>
      <w:r>
        <w:rPr>
          <w:rFonts w:ascii="Times New Roman" w:cs="Times New Roman" w:eastAsia="Times New Roman" w:hAnsi="Times New Roman"/>
          <w:sz w:val="17"/>
          <w:szCs w:val="17"/>
          <w:color w:val="auto"/>
        </w:rPr>
        <w:t>●</w:t>
      </w:r>
      <w:r>
        <w:rPr>
          <w:rFonts w:ascii="Arial" w:cs="Arial" w:eastAsia="Arial" w:hAnsi="Arial"/>
          <w:sz w:val="17"/>
          <w:szCs w:val="17"/>
          <w:color w:val="auto"/>
        </w:rPr>
        <w:t>], 2020.</w:t>
      </w:r>
    </w:p>
    <w:p>
      <w:pPr>
        <w:spacing w:after="0" w:line="106" w:lineRule="exact"/>
        <w:rPr>
          <w:sz w:val="20"/>
          <w:szCs w:val="20"/>
          <w:color w:val="auto"/>
        </w:rPr>
      </w:pPr>
    </w:p>
    <w:p>
      <w:pPr>
        <w:ind w:left="6760"/>
        <w:spacing w:after="0"/>
        <w:tabs>
          <w:tab w:leader="none" w:pos="73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21590</wp:posOffset>
            </wp:positionV>
            <wp:extent cx="24428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4"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Name: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p>
      <w:pPr>
        <w:spacing w:after="0" w:line="27" w:lineRule="exact"/>
        <w:rPr>
          <w:sz w:val="20"/>
          <w:szCs w:val="20"/>
          <w:color w:val="auto"/>
        </w:rPr>
      </w:pPr>
    </w:p>
    <w:p>
      <w:pPr>
        <w:ind w:left="6760"/>
        <w:spacing w:after="0"/>
        <w:tabs>
          <w:tab w:leader="none" w:pos="73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II-5</w:t>
      </w:r>
    </w:p>
    <w:sectPr>
      <w:pgSz w:w="11900" w:h="16838" w:orient="portrait"/>
      <w:cols w:equalWidth="0" w:num="1">
        <w:col w:w="11200"/>
      </w:cols>
      <w:pgMar w:left="320" w:top="45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1)"/>
      <w:numFmt w:val="decimal"/>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1)"/>
      <w:numFmt w:val="lowerRoman"/>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1)"/>
      <w:numFmt w:val="lowerRoman"/>
      <w:start w:val="2"/>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1)"/>
      <w:numFmt w:val="lowerRoman"/>
      <w:start w:val="3"/>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1)"/>
      <w:numFmt w:val="lowerRoman"/>
      <w:start w:val="3"/>
    </w:lvl>
  </w:abstractNum>
  <w:abstractNum w:abstractNumId="24">
    <w:nsid w:val="235BA861"/>
    <w:multiLevelType w:val="hybridMultilevel"/>
    <w:lvl w:ilvl="0">
      <w:lvlJc w:val="left"/>
      <w:lvlText w:val="(%1)"/>
      <w:numFmt w:val="lowerRoman"/>
      <w:start w:val="1"/>
    </w:lvl>
  </w:abstractNum>
  <w:abstractNum w:abstractNumId="25">
    <w:nsid w:val="47398C89"/>
    <w:multiLevelType w:val="hybridMultilevel"/>
    <w:lvl w:ilvl="0">
      <w:lvlJc w:val="left"/>
      <w:lvlText w:val="(%1)"/>
      <w:numFmt w:val="lowerRoman"/>
      <w:start w:val="3"/>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1)"/>
      <w:numFmt w:val="decimal"/>
      <w:start w:val="1"/>
    </w:lvl>
    <w:lvl w:ilvl="1">
      <w:lvlJc w:val="left"/>
      <w:lvlText w:val="(%2)"/>
      <w:numFmt w:val="decimal"/>
      <w:start w:val="2"/>
    </w:lvl>
  </w:abstractNum>
  <w:abstractNum w:abstractNumId="30">
    <w:nsid w:val="10233C99"/>
    <w:multiLevelType w:val="hybridMultilevel"/>
    <w:lvl w:ilvl="0">
      <w:lvlJc w:val="left"/>
      <w:lvlText w:val="(%1)"/>
      <w:numFmt w:val="decimal"/>
      <w:start w:val="4"/>
    </w:lvl>
  </w:abstractNum>
  <w:abstractNum w:abstractNumId="31">
    <w:nsid w:val="3F6AB60F"/>
    <w:multiLevelType w:val="hybridMultilevel"/>
    <w:lvl w:ilvl="0">
      <w:lvlJc w:val="left"/>
      <w:lvlText w:val="(%1)"/>
      <w:numFmt w:val="lowerRoman"/>
      <w:start w:val="1"/>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decimal"/>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1)"/>
      <w:numFmt w:val="lowerRoman"/>
      <w:start w:val="3"/>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1)"/>
      <w:numFmt w:val="lowerRoman"/>
      <w:start w:val="3"/>
    </w:lvl>
  </w:abstractNum>
  <w:abstractNum w:abstractNumId="44">
    <w:nsid w:val="5DB70AE5"/>
    <w:multiLevelType w:val="hybridMultilevel"/>
    <w:lvl w:ilvl="0">
      <w:lvlJc w:val="left"/>
      <w:lvlText w:val="(%1)"/>
      <w:numFmt w:val="lowerRoman"/>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1)"/>
      <w:numFmt w:val="lowerRoman"/>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1)"/>
      <w:numFmt w:val="lowerRoman"/>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1)"/>
      <w:numFmt w:val="lowerRoman"/>
      <w:start w:val="3"/>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1)"/>
      <w:numFmt w:val="lowerRoman"/>
      <w:start w:val="1"/>
    </w:lvl>
  </w:abstractNum>
  <w:abstractNum w:abstractNumId="60">
    <w:nsid w:val="613EFDC5"/>
    <w:multiLevelType w:val="hybridMultilevel"/>
    <w:lvl w:ilvl="0">
      <w:lvlJc w:val="left"/>
      <w:lvlText w:val="(%1)"/>
      <w:numFmt w:val="lowerRoman"/>
      <w:start w:val="1"/>
    </w:lvl>
  </w:abstractNum>
  <w:abstractNum w:abstractNumId="61">
    <w:nsid w:val="BF72B14"/>
    <w:multiLevelType w:val="hybridMultilevel"/>
    <w:lvl w:ilvl="0">
      <w:lvlJc w:val="left"/>
      <w:lvlText w:val="(%1)"/>
      <w:numFmt w:val="lowerLetter"/>
      <w:start w:val="2"/>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1)"/>
      <w:numFmt w:val="lowerLetter"/>
      <w:start w:val="1"/>
    </w:lvl>
  </w:abstractNum>
  <w:abstractNum w:abstractNumId="68">
    <w:nsid w:val="68EB2F63"/>
    <w:multiLevelType w:val="hybridMultilevel"/>
    <w:lvl w:ilvl="0">
      <w:lvlJc w:val="left"/>
      <w:lvlText w:val="(%1)"/>
      <w:numFmt w:val="lowerRoman"/>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1."/>
      <w:numFmt w:val="decimal"/>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1)"/>
      <w:numFmt w:val="lowerLetter"/>
      <w:start w:val="1"/>
    </w:lvl>
  </w:abstractNum>
  <w:abstractNum w:abstractNumId="78">
    <w:nsid w:val="6EB5BD4"/>
    <w:multiLevelType w:val="hybridMultilevel"/>
    <w:lvl w:ilvl="0">
      <w:lvlJc w:val="left"/>
      <w:lvlText w:val="(%1)"/>
      <w:numFmt w:val="lowerLetter"/>
      <w:start w:val="3"/>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1)"/>
      <w:numFmt w:val="decimal"/>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6"/>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
      <w:numFmt w:val="bullet"/>
      <w:start w:val="1"/>
    </w:lvl>
  </w:abstractNum>
  <w:abstractNum w:abstractNumId="89">
    <w:nsid w:val="2DF6D648"/>
    <w:multiLevelType w:val="hybridMultilevel"/>
    <w:lvl w:ilvl="0">
      <w:lvlJc w:val="left"/>
      <w:lvlText w:val="(%1)"/>
      <w:numFmt w:val="lowerLetter"/>
      <w:start w:val="1"/>
    </w:lvl>
    <w:lvl w:ilvl="1">
      <w:lvlJc w:val="left"/>
      <w:lvlText w:val="(%2)"/>
      <w:numFmt w:val="decimal"/>
      <w:start w:val="1"/>
    </w:lvl>
  </w:abstractNum>
  <w:abstractNum w:abstractNumId="90">
    <w:nsid w:val="46B7D44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2020-09-04T23:08:43Z</dcterms:created>
  <dcterms:modified xsi:type="dcterms:W3CDTF">2020-09-04T23:08:43Z</dcterms:modified>
</cp:coreProperties>
</file>