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ans-serif" w:hAnsi="Times New Roman;sans-serif"/>
          <w:b/>
          <w:color w:val="000000"/>
          <w:sz w:val="36"/>
        </w:rPr>
      </w:pPr>
      <w:r>
        <w:rPr>
          <w:rFonts w:ascii="Times New Roman;sans-serif" w:hAnsi="Times New Roman;sans-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March 27, 2025</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ans-serif" w:hAnsi="Times New Roman;sans-serif"/>
          <w:b/>
          <w:color w:val="000000"/>
          <w:sz w:val="40"/>
        </w:rPr>
      </w:pPr>
      <w:r>
        <w:rPr>
          <w:rFonts w:ascii="Times New Roman;sans-serif" w:hAnsi="Times New Roman;sans-serif"/>
          <w:b/>
          <w:color w:val="000000"/>
          <w:sz w:val="40"/>
        </w:rPr>
        <w:t>Bakkt Holdings, Inc.</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98-1550750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tbl>
      <w:tblPr>
        <w:tblW w:w="4525" w:type="dxa"/>
        <w:jc w:val="center"/>
        <w:tblInd w:w="0" w:type="dxa"/>
        <w:tblLayout w:type="fixed"/>
        <w:tblCellMar>
          <w:top w:w="28" w:type="dxa"/>
          <w:left w:w="28" w:type="dxa"/>
          <w:bottom w:w="28" w:type="dxa"/>
          <w:right w:w="28" w:type="dxa"/>
        </w:tblCellMar>
      </w:tblPr>
      <w:tblGrid>
        <w:gridCol w:w="1183"/>
        <w:gridCol w:w="1040"/>
        <w:gridCol w:w="1046"/>
        <w:gridCol w:w="109"/>
        <w:gridCol w:w="109"/>
        <w:gridCol w:w="109"/>
        <w:gridCol w:w="272"/>
        <w:gridCol w:w="272"/>
        <w:gridCol w:w="385"/>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10000 Avalon Boulevard, Suite 1000,</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Alpharetta,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30009</w:t>
            </w:r>
          </w:p>
        </w:tc>
      </w:tr>
      <w:tr>
        <w:trPr/>
        <w:tc>
          <w:tcPr>
            <w:tcW w:w="32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(678) 534-5849</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92"/>
        <w:gridCol w:w="516"/>
        <w:gridCol w:w="516"/>
        <w:gridCol w:w="545"/>
        <w:gridCol w:w="516"/>
        <w:gridCol w:w="516"/>
        <w:gridCol w:w="516"/>
        <w:gridCol w:w="516"/>
        <w:gridCol w:w="516"/>
        <w:gridCol w:w="707"/>
        <w:gridCol w:w="516"/>
        <w:gridCol w:w="516"/>
        <w:gridCol w:w="516"/>
        <w:gridCol w:w="516"/>
        <w:gridCol w:w="516"/>
        <w:gridCol w:w="818"/>
        <w:gridCol w:w="516"/>
        <w:gridCol w:w="735"/>
      </w:tblGrid>
      <w:tr>
        <w:trPr/>
        <w:tc>
          <w:tcPr>
            <w:tcW w:w="69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 pursuant to Rule 425 under the Securities Act (17 CFR 230.425)</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530"/>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120"/>
              <w:ind w:left="0" w:right="0" w:firstLine="14"/>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Name of each exchange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3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BKKT</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New York Stock Exchange</w:t>
            </w:r>
          </w:p>
        </w:tc>
      </w:tr>
      <w:tr>
        <w:trPr/>
        <w:tc>
          <w:tcPr>
            <w:tcW w:w="330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Warrants to purchase Class A Common Stock</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BKKT WS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New York Stock Exchange</w:t>
            </w:r>
          </w:p>
        </w:tc>
      </w:tr>
    </w:tbl>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8" w:after="283"/>
        <w:ind w:left="0" w:right="0" w:hanging="1335"/>
        <w:jc w:val="both"/>
        <w:rPr>
          <w:rFonts w:ascii="Times New Roman;sans-serif" w:hAnsi="Times New Roman;sans-serif"/>
          <w:b/>
          <w:color w:val="000000"/>
          <w:sz w:val="20"/>
        </w:rPr>
      </w:pPr>
      <w:r>
        <w:rPr>
          <w:rFonts w:ascii="Times New Roman;sans-serif" w:hAnsi="Times New Roman;sans-serif"/>
          <w:b/>
          <w:color w:val="000000"/>
          <w:sz w:val="20"/>
        </w:rPr>
        <w:t>Item 2.03     Creation of a Direct Financial Obligation or an Obligation under an Off-Balance Sheet Arrangement of a Registrant</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0"/>
        </w:rPr>
        <w:t>On March 27, 2025, in furtherance of the funding plans of Bakkt Holdings, Inc. (the “Company”), as described in the Company’s Annual Report on Form 10-K for the year ended December 31, 2024 (the “2024 Form 10-K”), the Company</w:t>
      </w:r>
      <w:r>
        <w:rPr>
          <w:color w:val="000000"/>
        </w:rPr>
        <w:t xml:space="preserve"> </w:t>
      </w:r>
      <w:r>
        <w:rPr>
          <w:rFonts w:ascii="Times New Roman;sans-serif" w:hAnsi="Times New Roman;sans-serif"/>
          <w:b w:val="false"/>
          <w:color w:val="000000"/>
          <w:sz w:val="20"/>
        </w:rPr>
        <w:t xml:space="preserve">drew down $5.0 million under that certain revolving credit agreement dated as of August 12, 2024, by and among the Company, Bakkt Opco Holdings, LLC, the subsidiaries of the Company, and Intercontinental Exchange Holdings, Inc. (“ICE” and, such facility, the “ICE Credit Facility”).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Additional information regarding the ICE Credit Facility is available in the section titled “</w:t>
      </w:r>
      <w:r>
        <w:rPr>
          <w:rFonts w:ascii="Times New Roman;sans-serif" w:hAnsi="Times New Roman;sans-serif"/>
          <w:b w:val="false"/>
          <w:i/>
          <w:color w:val="000000"/>
          <w:sz w:val="20"/>
        </w:rPr>
        <w:t>Item 7. Management’s Discussion And Analysis Of Financial Condition And Results of Operations—Liquidity and Capital Resources</w:t>
      </w:r>
      <w:r>
        <w:rPr>
          <w:color w:val="000000"/>
        </w:rPr>
        <w:t xml:space="preserve">” </w:t>
      </w:r>
      <w:r>
        <w:rPr>
          <w:rFonts w:ascii="Times New Roman;sans-serif" w:hAnsi="Times New Roman;sans-serif"/>
          <w:b w:val="false"/>
          <w:color w:val="000000"/>
          <w:sz w:val="20"/>
        </w:rPr>
        <w:t xml:space="preserve">in the 2024 Form 10-K, which is incorporated herein by reference.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ICE holds greater than ten percent (10%) of the Company’s capital stock. In addition, an affiliate of ICE employs David Clifton, who is currently serving on the Company’s board of directors. The Company also has certain commercial agreements with certain affiliates of ICE. See “Opco Related Transactions” of the Company’s most recent proxy statement on Schedule 14A, filed with the Securities and Exchange Commission on April 19, 2024, which disclosure is incorporated herein by reference, for more information.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8" w:after="283"/>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8" w:after="283"/>
        <w:jc w:val="left"/>
        <w:rPr/>
      </w:pPr>
      <w:r>
        <w:rPr/>
      </w:r>
    </w:p>
    <w:p>
      <w:pPr>
        <w:pStyle w:val="TextBody"/>
        <w:bidi w:val="0"/>
        <w:spacing w:lineRule="auto" w:line="242"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8" w:after="283"/>
        <w:jc w:val="left"/>
        <w:rPr/>
      </w:pPr>
      <w:r>
        <w:rPr/>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BAKKT HOLDINGS, INC.</w:t>
      </w:r>
    </w:p>
    <w:p>
      <w:pPr>
        <w:pStyle w:val="TextBody"/>
        <w:bidi w:val="0"/>
        <w:spacing w:before="7" w:after="283"/>
        <w:jc w:val="left"/>
        <w:rPr/>
      </w:pPr>
      <w:r>
        <w:rPr/>
      </w:r>
    </w:p>
    <w:p>
      <w:pPr>
        <w:pStyle w:val="TextBody"/>
        <w:bidi w:val="0"/>
        <w:spacing w:before="7" w:after="283"/>
        <w:jc w:val="left"/>
        <w:rPr/>
      </w:pPr>
      <w:r>
        <w:rPr/>
      </w:r>
    </w:p>
    <w:p>
      <w:pPr>
        <w:pStyle w:val="TextBody"/>
        <w:bidi w:val="0"/>
        <w:spacing w:lineRule="auto" w:line="288" w:before="7" w:after="283"/>
        <w:ind w:left="0" w:right="0" w:firstLine="720"/>
        <w:jc w:val="left"/>
        <w:rPr/>
      </w:pPr>
      <w:r>
        <w:rPr>
          <w:rFonts w:ascii="Times New Roman;sans-serif" w:hAnsi="Times New Roman;sans-serif"/>
          <w:b w:val="false"/>
          <w:color w:val="000000"/>
          <w:sz w:val="20"/>
        </w:rPr>
        <w:t>By:</w:t>
      </w:r>
      <w:r>
        <w:rPr>
          <w:rFonts w:ascii="Times New Roman;sans-serif" w:hAnsi="Times New Roman;sans-serif"/>
          <w:b w:val="false"/>
          <w:color w:val="000000"/>
          <w:sz w:val="20"/>
          <w:u w:val="single"/>
        </w:rPr>
        <w:t>/s/ Marc D’Annunzio</w:t>
      </w:r>
    </w:p>
    <w:p>
      <w:pPr>
        <w:pStyle w:val="TextBody"/>
        <w:bidi w:val="0"/>
        <w:spacing w:lineRule="auto" w:line="288" w:before="7"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Name: Marc D’Annunzio</w:t>
      </w:r>
    </w:p>
    <w:p>
      <w:pPr>
        <w:pStyle w:val="TextBody"/>
        <w:bidi w:val="0"/>
        <w:spacing w:lineRule="auto" w:line="288" w:before="7"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Title: General Counsel and Secretary</w:t>
      </w:r>
    </w:p>
    <w:p>
      <w:pPr>
        <w:pStyle w:val="TextBody"/>
        <w:bidi w:val="0"/>
        <w:spacing w:before="7" w:after="283"/>
        <w:jc w:val="left"/>
        <w:rPr/>
      </w:pPr>
      <w:r>
        <w:rPr/>
      </w:r>
    </w:p>
    <w:p>
      <w:pPr>
        <w:pStyle w:val="TextBody"/>
        <w:bidi w:val="0"/>
        <w:spacing w:lineRule="auto" w:line="288" w:before="7"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March 31, 2025</w:t>
      </w:r>
    </w:p>
    <w:p>
      <w:pPr>
        <w:pStyle w:val="TextBody"/>
        <w:bidi w:val="0"/>
        <w:spacing w:before="0" w:after="0"/>
        <w:ind w:left="0" w:right="0" w:hanging="360"/>
        <w:jc w:val="left"/>
        <w:rPr/>
      </w:pPr>
      <w:r>
        <w:rPr/>
      </w:r>
    </w:p>
    <w:p>
      <w:pPr>
        <w:pStyle w:val="TextBody"/>
        <w:bidi w:val="0"/>
        <w:ind w:left="0" w:right="0" w:hanging="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582</Words>
  <Characters>3207</Characters>
  <CharactersWithSpaces>3743</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