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PROSPECTUS SUPPLEMENT NO. 5</w:t>
      </w:r>
    </w:p>
    <w:p>
      <w:pPr>
        <w:spacing w:after="0" w:line="3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(to prospectus dated April 13, 2022)</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6"/>
          <w:szCs w:val="16"/>
          <w:b w:val="1"/>
          <w:bCs w:val="1"/>
          <w:color w:val="auto"/>
        </w:rPr>
        <w:t>Filed Pursuant to Rule 424(b)(3)</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333-261034</w:t>
      </w:r>
    </w:p>
    <w:p>
      <w:pPr>
        <w:spacing w:after="0" w:line="200" w:lineRule="exact"/>
        <w:rPr>
          <w:sz w:val="24"/>
          <w:szCs w:val="24"/>
          <w:color w:val="auto"/>
        </w:rPr>
      </w:pPr>
    </w:p>
    <w:p>
      <w:pPr>
        <w:sectPr>
          <w:pgSz w:w="11900" w:h="16838" w:orient="portrait"/>
          <w:cols w:equalWidth="0" w:num="2">
            <w:col w:w="7800" w:space="720"/>
            <w:col w:w="2500"/>
          </w:cols>
          <w:pgMar w:left="440" w:top="445" w:right="439" w:bottom="1440" w:gutter="0" w:footer="0" w:header="0"/>
        </w:sectPr>
      </w:pP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190,726,638 Shares of Class A Common Stock Issuable Upon the Exchange of Paired Interests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32,500,000 Shares of Class A Common Stock issued in the PIPE Financing</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5,184,300 Shares of Class A Common Stock Issued in Respect of Founder Shares</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3,151,890 shares of Class A Common Stock Issued Upon the Exchange of a Portion of the Private Placement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768985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both"/>
        <w:ind w:right="60" w:firstLine="440"/>
        <w:spacing w:after="0" w:line="311" w:lineRule="auto"/>
        <w:rPr>
          <w:sz w:val="20"/>
          <w:szCs w:val="20"/>
          <w:color w:val="auto"/>
        </w:rPr>
      </w:pPr>
      <w:r>
        <w:rPr>
          <w:rFonts w:ascii="Arial" w:cs="Arial" w:eastAsia="Arial" w:hAnsi="Arial"/>
          <w:sz w:val="16"/>
          <w:szCs w:val="16"/>
          <w:color w:val="auto"/>
        </w:rPr>
        <w:t>This prospectus supplement is being filed to update and supplement the information contained in the prospectus dated April 13, 2022 (as amended and supplemented from time to time, the “Prospectus”) with the information contained in our Current Report on Form 8-K, filed with the Securities and Exchange Commission on May 20, 2022 (the “Form 8-K”). Accordingly, we have attached the Form 8-K to this prospectus supplement.</w:t>
      </w:r>
    </w:p>
    <w:p>
      <w:pPr>
        <w:spacing w:after="0" w:line="149" w:lineRule="exact"/>
        <w:rPr>
          <w:sz w:val="24"/>
          <w:szCs w:val="24"/>
          <w:color w:val="auto"/>
        </w:rPr>
      </w:pPr>
    </w:p>
    <w:p>
      <w:pPr>
        <w:ind w:right="20" w:firstLine="440"/>
        <w:spacing w:after="0" w:line="254" w:lineRule="auto"/>
        <w:rPr>
          <w:sz w:val="20"/>
          <w:szCs w:val="20"/>
          <w:color w:val="auto"/>
        </w:rPr>
      </w:pPr>
      <w:r>
        <w:rPr>
          <w:rFonts w:ascii="Arial" w:cs="Arial" w:eastAsia="Arial" w:hAnsi="Arial"/>
          <w:sz w:val="18"/>
          <w:szCs w:val="18"/>
          <w:color w:val="auto"/>
        </w:rPr>
        <w:t>The Prospectus relates to the issuance by us, and the resale by the Selling Securityholders (as defined in “Selling Securityholders” below), of up to 190,726,638 shares of Class A common stock, par value $0.0001 per share (“Class A Common Stock”), issuable upon the exchange of an equal number of Paired Interests (the “Legacy Opco Shares”). The prospectus also relates to the resale by the Selling Securityholders of (i) 32,500,000 shares of Class A Common Stock (the “PIPE Shares”) issued in the PIPE Financing; (ii) 5,184,300 shares of Class A Common Stock issued to VPC Impact Acquisition Holdings Sponsor, LLC (the “Sponsor”) and certain of its affiliates that relate to securities acquired by them prior to the IPO (the “Founder Shares”); and (iii) 3,151,890 shares of Class A Common Stock issued to the Sponsor upon the exercise of a portion of the Private Placement Warrants (the “Private Warrant Shares”). Unless otherwise defined, capitalized terms have the meanings ascribed to them in the section entitled “</w:t>
      </w:r>
      <w:r>
        <w:rPr>
          <w:rFonts w:ascii="Arial" w:cs="Arial" w:eastAsia="Arial" w:hAnsi="Arial"/>
          <w:sz w:val="18"/>
          <w:szCs w:val="18"/>
          <w:i w:val="1"/>
          <w:iCs w:val="1"/>
          <w:color w:val="auto"/>
        </w:rPr>
        <w:t>About this</w:t>
      </w:r>
      <w:r>
        <w:rPr>
          <w:rFonts w:ascii="Arial" w:cs="Arial" w:eastAsia="Arial" w:hAnsi="Arial"/>
          <w:sz w:val="18"/>
          <w:szCs w:val="18"/>
          <w:color w:val="auto"/>
        </w:rPr>
        <w:t xml:space="preserve"> </w:t>
      </w:r>
      <w:r>
        <w:rPr>
          <w:rFonts w:ascii="Arial" w:cs="Arial" w:eastAsia="Arial" w:hAnsi="Arial"/>
          <w:sz w:val="18"/>
          <w:szCs w:val="18"/>
          <w:i w:val="1"/>
          <w:iCs w:val="1"/>
          <w:color w:val="auto"/>
        </w:rPr>
        <w:t>Prospectus</w:t>
      </w:r>
      <w:r>
        <w:rPr>
          <w:rFonts w:ascii="Arial" w:cs="Arial" w:eastAsia="Arial" w:hAnsi="Arial"/>
          <w:sz w:val="18"/>
          <w:szCs w:val="18"/>
          <w:color w:val="auto"/>
        </w:rPr>
        <w:t>”.</w:t>
      </w:r>
    </w:p>
    <w:p>
      <w:pPr>
        <w:spacing w:after="0" w:line="192" w:lineRule="exact"/>
        <w:rPr>
          <w:sz w:val="24"/>
          <w:szCs w:val="24"/>
          <w:color w:val="auto"/>
        </w:rPr>
      </w:pPr>
    </w:p>
    <w:p>
      <w:pPr>
        <w:ind w:right="100" w:firstLine="440"/>
        <w:spacing w:after="0" w:line="259"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7" w:lineRule="exact"/>
        <w:rPr>
          <w:sz w:val="24"/>
          <w:szCs w:val="24"/>
          <w:color w:val="auto"/>
        </w:rPr>
      </w:pPr>
    </w:p>
    <w:p>
      <w:pPr>
        <w:ind w:right="260" w:firstLine="440"/>
        <w:spacing w:after="0" w:line="259" w:lineRule="auto"/>
        <w:rPr>
          <w:sz w:val="20"/>
          <w:szCs w:val="20"/>
          <w:color w:val="auto"/>
        </w:rPr>
      </w:pPr>
      <w:r>
        <w:rPr>
          <w:rFonts w:ascii="Arial" w:cs="Arial" w:eastAsia="Arial" w:hAnsi="Arial"/>
          <w:sz w:val="18"/>
          <w:szCs w:val="18"/>
          <w:color w:val="auto"/>
        </w:rPr>
        <w:t>Our Class A Common Stock is listed on The New York Stock Exchange (“NYSE”) under the symbol “BKKT” and our warrants to purchase Class A Common Stock (the “Warrants”) are listed on NYSE under the symbol “BKKT WS.” On May 19, 2022, the last quoted sale price for our Class A Common Stock as reported on NYSE was $2.73 per share and the last quoted sale price for our Warrants as reported on NYSE was $0.97 per warrant.</w:t>
      </w:r>
    </w:p>
    <w:p>
      <w:pPr>
        <w:spacing w:after="0" w:line="187" w:lineRule="exact"/>
        <w:rPr>
          <w:sz w:val="24"/>
          <w:szCs w:val="24"/>
          <w:color w:val="auto"/>
        </w:rPr>
      </w:pPr>
    </w:p>
    <w:p>
      <w:pPr>
        <w:ind w:right="480" w:firstLine="440"/>
        <w:spacing w:after="0" w:line="277" w:lineRule="auto"/>
        <w:rPr>
          <w:sz w:val="20"/>
          <w:szCs w:val="20"/>
          <w:color w:val="auto"/>
        </w:rPr>
      </w:pPr>
      <w:r>
        <w:rPr>
          <w:rFonts w:ascii="Arial" w:cs="Arial" w:eastAsia="Arial" w:hAnsi="Arial"/>
          <w:sz w:val="18"/>
          <w:szCs w:val="18"/>
          <w:color w:val="auto"/>
        </w:rPr>
        <w:t>We are an “emerging growth company,” as defined under the federal securities laws, and have elected to comply with certain reduced public company reporting requirements for the Prospectus and for future filings.</w:t>
      </w:r>
    </w:p>
    <w:p>
      <w:pPr>
        <w:spacing w:after="0" w:line="166" w:lineRule="exact"/>
        <w:rPr>
          <w:sz w:val="24"/>
          <w:szCs w:val="24"/>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Before buying any securities, you should carefully read the discussion of the risks of investing in our securities in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of the Prospectus.</w:t>
      </w:r>
    </w:p>
    <w:p>
      <w:pPr>
        <w:spacing w:after="0" w:line="162" w:lineRule="exact"/>
        <w:rPr>
          <w:sz w:val="24"/>
          <w:szCs w:val="24"/>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You should rely only on the information contained in the Prospectus or any prospectus supplement or amendment hereto. We have not authorized anyone to provide you with different information.</w:t>
      </w:r>
    </w:p>
    <w:p>
      <w:pPr>
        <w:spacing w:after="0" w:line="162" w:lineRule="exact"/>
        <w:rPr>
          <w:sz w:val="24"/>
          <w:szCs w:val="24"/>
          <w:color w:val="auto"/>
        </w:rPr>
      </w:pPr>
    </w:p>
    <w:p>
      <w:pPr>
        <w:ind w:right="16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the Prospectus is truthful or complete. Any representation to the contrary is a criminal offense.</w:t>
      </w:r>
    </w:p>
    <w:p>
      <w:pPr>
        <w:spacing w:after="0" w:line="1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The date of this prospectus supplement is May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222885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45" w:right="439" w:bottom="1440" w:gutter="0" w:footer="0" w:header="0"/>
          <w:type w:val="continuous"/>
        </w:sectPr>
      </w:pPr>
    </w:p>
    <w:bookmarkStart w:id="1" w:name="page2"/>
    <w:bookmarkEnd w:id="1"/>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Bakkt Holdings, Inc.</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1044" w:type="dxa"/>
        <w:tblCellMar>
          <w:top w:w="0" w:type="dxa"/>
          <w:left w:w="0" w:type="dxa"/>
          <w:bottom w:w="0" w:type="dxa"/>
          <w:right w:w="0" w:type="dxa"/>
        </w:tblCellMar>
      </w:tblPr>
      <w:tr>
        <w:trPr>
          <w:trHeight w:val="212"/>
        </w:trPr>
        <w:tc>
          <w:tcPr>
            <w:tcW w:w="4000" w:type="dxa"/>
            <w:vAlign w:val="bottom"/>
          </w:tcPr>
          <w:p>
            <w:pPr>
              <w:jc w:val="center"/>
              <w:ind w:right="2281"/>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001-39544</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98-1550750</w:t>
            </w:r>
          </w:p>
        </w:tc>
      </w:tr>
      <w:tr>
        <w:trPr>
          <w:trHeight w:val="148"/>
        </w:trPr>
        <w:tc>
          <w:tcPr>
            <w:tcW w:w="4000" w:type="dxa"/>
            <w:vAlign w:val="bottom"/>
          </w:tcPr>
          <w:p>
            <w:pPr>
              <w:jc w:val="center"/>
              <w:ind w:right="22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00" w:type="dxa"/>
            <w:vAlign w:val="bottom"/>
          </w:tcPr>
          <w:p>
            <w:pPr>
              <w:jc w:val="center"/>
              <w:ind w:right="2261"/>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6320" w:type="dxa"/>
            <w:vAlign w:val="bottom"/>
            <w:gridSpan w:val="2"/>
          </w:tcPr>
          <w:p>
            <w:pPr>
              <w:jc w:val="center"/>
              <w:ind w:right="962"/>
              <w:spacing w:after="0"/>
              <w:rPr>
                <w:sz w:val="20"/>
                <w:szCs w:val="20"/>
                <w:color w:val="auto"/>
              </w:rPr>
            </w:pPr>
            <w:r>
              <w:rPr>
                <w:rFonts w:ascii="Arial" w:cs="Arial" w:eastAsia="Arial" w:hAnsi="Arial"/>
                <w:sz w:val="18"/>
                <w:szCs w:val="18"/>
                <w:b w:val="1"/>
                <w:bCs w:val="1"/>
                <w:color w:val="auto"/>
                <w:w w:val="90"/>
              </w:rPr>
              <w:t>10000 Avalon Boulevard, Suite 1000, Alpharetta, Georgia</w:t>
            </w: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30009</w:t>
            </w:r>
          </w:p>
        </w:tc>
      </w:tr>
      <w:tr>
        <w:trPr>
          <w:trHeight w:val="186"/>
        </w:trPr>
        <w:tc>
          <w:tcPr>
            <w:tcW w:w="4000" w:type="dxa"/>
            <w:vAlign w:val="bottom"/>
          </w:tcPr>
          <w:p>
            <w:pPr>
              <w:jc w:val="center"/>
              <w:ind w:left="12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369"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to purchase Class A Common Stock</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BKKT WS</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0"/>
          <w:szCs w:val="20"/>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0"/>
          <w:szCs w:val="20"/>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disclosure under Item 5.02 of this current report on Form 8-K is incorporated herein by reference.</w:t>
      </w:r>
    </w:p>
    <w:p>
      <w:pPr>
        <w:spacing w:after="0" w:line="370" w:lineRule="exact"/>
        <w:rPr>
          <w:sz w:val="20"/>
          <w:szCs w:val="20"/>
          <w:color w:val="auto"/>
        </w:rPr>
      </w:pPr>
    </w:p>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On May 18, 2022, Andrew LaBenne tendered his resignation from his position as Chief Financial Officer of Bakkt Holdings, Inc. (the “Company”), to be effective as of May 23, 2022. Mr. LaBenne’s resignation did not result from any disagreement with the Company. Mr. LaBenne is departing on good terms and will serve as a consultant to the Company through June 17, 2022, through which time his existing compensation arrangements will remain in place.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Mr. LaBenne’s resignation, Mr. LaBenne’s Employment Agreement with the Company has been terminated.</w:t>
      </w:r>
    </w:p>
    <w:p>
      <w:pPr>
        <w:spacing w:after="0" w:line="225"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On May 19, 2022, the Company appointed its Chief Accounting Officer, Karen Alexander (age 51), as interim Chief Financial Officer and interim Principal Financial Officer to be effective as of May 23, 2022. Ms. Alexander began serving as the Chief Accounting Officer of the Company in connection with the closing of its business combination with VPC Impact Acquisition Holdings in October 2021, after serving in the same position with Bakkt Holdings, LLC (the Company’s predecessor) since June 2021. Prior to joining the Company, Ms. Alexander worked at GE Capital from October 2004 to April 2021 in finance and accounting roles of increasing responsibility, most recently serving as Global Technical Controller from January 2017 to April 2021. Ms. Alexander began her career as an external auditor with Arthur Andersen LLP and Ernst &amp; Young LLP. She holds a bachelor’s degree in accounting from Miami University (Ohio).</w:t>
      </w:r>
    </w:p>
    <w:p>
      <w:pPr>
        <w:spacing w:after="0" w:line="19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There are no arrangements or understandings between Ms. Alexander and any other persons in connection with Ms. Alexander’s appointment as interim Chief Financial Officer and interim Principal Financial Officer. There are also no familial relationships between Ms. Alexander and any director or executive officer of the Company and Ms. Alexander has no direct or indirect interest in any transaction or proposed transaction required to be disclosed pursuant to Item 404(a) of Regulation S-K. The amount of additional compensation, if any, for Ms. Alexander as a result of her appointment as interim Chief Financial Officer and interim Principal Financial Officer, will be determined at a later date.</w:t>
      </w:r>
    </w:p>
    <w:p>
      <w:pPr>
        <w:spacing w:after="0" w:line="176" w:lineRule="exact"/>
        <w:rPr>
          <w:sz w:val="20"/>
          <w:szCs w:val="20"/>
          <w:color w:val="auto"/>
        </w:rPr>
      </w:pPr>
    </w:p>
    <w:p>
      <w:pPr>
        <w:ind w:right="520" w:firstLine="440"/>
        <w:spacing w:after="0" w:line="301" w:lineRule="auto"/>
        <w:rPr>
          <w:sz w:val="20"/>
          <w:szCs w:val="20"/>
          <w:color w:val="auto"/>
        </w:rPr>
      </w:pPr>
      <w:r>
        <w:rPr>
          <w:rFonts w:ascii="Arial" w:cs="Arial" w:eastAsia="Arial" w:hAnsi="Arial"/>
          <w:sz w:val="16"/>
          <w:szCs w:val="16"/>
          <w:color w:val="auto"/>
        </w:rPr>
        <w:t>In connection with Ms. Alexander’s appointment, the Company plans to enter into its standard form of director and officer indemnification agreement with Ms. Alexander, providing for indemnification and advancement of expenses. The foregoing description of the indemnification agreement is qualified in its entirety by reference to the full text of such agreement, the form of which was filed as Exhibit 10.7 to the Company’s Current Report on Form 8-K, filed with the SEC on October 21, 2021, and incorporated in this Item 5.02 by reference.</w:t>
      </w:r>
    </w:p>
    <w:p>
      <w:pPr>
        <w:sectPr>
          <w:pgSz w:w="11900" w:h="16838" w:orient="portrait"/>
          <w:cols w:equalWidth="0" w:num="1">
            <w:col w:w="11000"/>
          </w:cols>
          <w:pgMar w:left="440" w:top="270"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20, 2022</w:t>
      </w:r>
    </w:p>
    <w:p>
      <w:pPr>
        <w:spacing w:after="0" w:line="244" w:lineRule="exact"/>
        <w:rPr>
          <w:sz w:val="20"/>
          <w:szCs w:val="20"/>
          <w:color w:val="auto"/>
        </w:rPr>
      </w:pPr>
    </w:p>
    <w:p>
      <w:pPr>
        <w:ind w:left="6620"/>
        <w:spacing w:after="0"/>
        <w:rPr>
          <w:sz w:val="20"/>
          <w:szCs w:val="20"/>
          <w:color w:val="auto"/>
        </w:rPr>
      </w:pPr>
      <w:r>
        <w:rPr>
          <w:rFonts w:ascii="Arial" w:cs="Arial" w:eastAsia="Arial" w:hAnsi="Arial"/>
          <w:sz w:val="20"/>
          <w:szCs w:val="20"/>
          <w:b w:val="1"/>
          <w:bCs w:val="1"/>
          <w:color w:val="auto"/>
        </w:rPr>
        <w:t>BAKKT HOLDINGS, INC.</w:t>
      </w:r>
    </w:p>
    <w:p>
      <w:pPr>
        <w:spacing w:after="0" w:line="224"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D’Annunzio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Marc D’Annunzio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2022-05-20T15:14:37Z</dcterms:created>
  <dcterms:modified xsi:type="dcterms:W3CDTF">2022-05-20T15:14:37Z</dcterms:modified>
</cp:coreProperties>
</file>