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6" w:lineRule="auto"/>
        <w:rPr>
          <w:sz w:val="20"/>
          <w:szCs w:val="20"/>
          <w:color w:val="auto"/>
        </w:rPr>
      </w:pPr>
      <w:r>
        <w:rPr>
          <w:rFonts w:ascii="Times New Roman" w:cs="Times New Roman" w:eastAsia="Times New Roman" w:hAnsi="Times New Roman"/>
          <w:sz w:val="22"/>
          <w:szCs w:val="22"/>
          <w:b w:val="1"/>
          <w:bCs w:val="1"/>
          <w:color w:val="auto"/>
        </w:rPr>
        <w:t>240.13d-102 Schedule 13G - Information to be included in statements filed pursuant to 240.13d-1(b), (c), and (d) and amendments thereto filed pursuant to 240.13d-2.</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No. )*</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VPC Impact Acquisition Holdings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G9441E100 (a)</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February 23, 2021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is filed:</w:t>
      </w:r>
    </w:p>
    <w:p>
      <w:pPr>
        <w:spacing w:after="0" w:line="142"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 Rule 13d-1(c)</w:t>
      </w:r>
    </w:p>
    <w:p>
      <w:pPr>
        <w:spacing w:after="0" w:line="165"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166" w:lineRule="exact"/>
        <w:rPr>
          <w:sz w:val="24"/>
          <w:szCs w:val="24"/>
          <w:color w:val="auto"/>
        </w:rPr>
      </w:pPr>
    </w:p>
    <w:p>
      <w:pPr>
        <w:ind w:right="3459"/>
        <w:spacing w:after="0" w:line="239"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379"/>
        <w:spacing w:after="0" w:line="238"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3" w:lineRule="exact"/>
        <w:rPr>
          <w:sz w:val="24"/>
          <w:szCs w:val="24"/>
          <w:color w:val="auto"/>
        </w:rPr>
      </w:pPr>
    </w:p>
    <w:p>
      <w:pPr>
        <w:ind w:left="300" w:hanging="292"/>
        <w:spacing w:after="0"/>
        <w:tabs>
          <w:tab w:leader="none" w:pos="3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Class A Ordinary Shares have no CUSIP number. The CINS number for the Class A Ordinary Shares is 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G9441E100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Point72 Asset Management, L.P.</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1,159,546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1,159,546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1,159,546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G9441E100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Names of reporting persons  Point72 Capital Advisors, Inc.</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1,159,546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7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1,159,546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1,159,546 (see Item 4)</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6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G9441E100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Steven A. Cohen</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1,159,546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1,159,546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1,159,546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VPC Impact Acquisition Holdings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Victory Park Capital Advisors,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North Riverside Plaza, Suite 5200, Chicago, IL 60606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2(a) Name of person filing:</w:t>
      </w:r>
    </w:p>
    <w:p>
      <w:pPr>
        <w:spacing w:after="0" w:line="206" w:lineRule="exact"/>
        <w:rPr>
          <w:sz w:val="20"/>
          <w:szCs w:val="20"/>
          <w:color w:val="auto"/>
        </w:rPr>
      </w:pPr>
    </w:p>
    <w:p>
      <w:pPr>
        <w:ind w:right="2819"/>
        <w:spacing w:after="0" w:line="253"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shares of Class A Ordinary Shares, par value $0.0001</w:t>
      </w:r>
    </w:p>
    <w:p>
      <w:pPr>
        <w:spacing w:after="0" w:line="1" w:lineRule="exact"/>
        <w:rPr>
          <w:sz w:val="20"/>
          <w:szCs w:val="20"/>
          <w:color w:val="auto"/>
        </w:rPr>
      </w:pPr>
    </w:p>
    <w:p>
      <w:pPr>
        <w:ind w:right="2239"/>
        <w:spacing w:after="0" w:line="233" w:lineRule="auto"/>
        <w:rPr>
          <w:sz w:val="20"/>
          <w:szCs w:val="20"/>
          <w:color w:val="auto"/>
        </w:rPr>
      </w:pPr>
      <w:r>
        <w:rPr>
          <w:rFonts w:ascii="Times New Roman" w:cs="Times New Roman" w:eastAsia="Times New Roman" w:hAnsi="Times New Roman"/>
          <w:sz w:val="22"/>
          <w:szCs w:val="22"/>
          <w:color w:val="auto"/>
        </w:rPr>
        <w:t>per share (“Shares”), of the Issuer held by certain investment funds it manages; (ii) Point72 Capital Advisors, Inc. (“Point72 Capital Advisors Inc.”) with respect to Shares held by certain investment funds managed by Point72 Asset Management; and (iii) Steven A. Cohen (“Mr. Cohen”) with respect to Shares beneficially owned by Point72 Asset Management and Point72 Capital Advisors Inc.</w:t>
      </w:r>
    </w:p>
    <w:p>
      <w:pPr>
        <w:spacing w:after="0" w:line="206" w:lineRule="exact"/>
        <w:rPr>
          <w:sz w:val="20"/>
          <w:szCs w:val="20"/>
          <w:color w:val="auto"/>
        </w:rPr>
      </w:pPr>
    </w:p>
    <w:p>
      <w:pPr>
        <w:ind w:right="3199"/>
        <w:spacing w:after="0" w:line="238" w:lineRule="auto"/>
        <w:rPr>
          <w:sz w:val="20"/>
          <w:szCs w:val="20"/>
          <w:color w:val="auto"/>
        </w:rPr>
      </w:pPr>
      <w:r>
        <w:rPr>
          <w:rFonts w:ascii="Times New Roman" w:cs="Times New Roman" w:eastAsia="Times New Roman" w:hAnsi="Times New Roman"/>
          <w:sz w:val="22"/>
          <w:szCs w:val="22"/>
          <w:color w:val="auto"/>
        </w:rPr>
        <w:t>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2(b) Address or principal business office or, if none, residence:</w:t>
      </w:r>
    </w:p>
    <w:p>
      <w:pPr>
        <w:spacing w:after="0" w:line="206" w:lineRule="exact"/>
        <w:rPr>
          <w:sz w:val="20"/>
          <w:szCs w:val="20"/>
          <w:color w:val="auto"/>
        </w:rPr>
      </w:pPr>
    </w:p>
    <w:p>
      <w:pPr>
        <w:jc w:val="both"/>
        <w:ind w:right="3619"/>
        <w:spacing w:after="0" w:line="244" w:lineRule="auto"/>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 Cohen is 72 Cummings Point Road, Stamford, CT 06902.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2(c) Citizenship:</w:t>
      </w:r>
    </w:p>
    <w:p>
      <w:pPr>
        <w:spacing w:after="0" w:line="206" w:lineRule="exact"/>
        <w:rPr>
          <w:sz w:val="20"/>
          <w:szCs w:val="20"/>
          <w:color w:val="auto"/>
        </w:rPr>
      </w:pPr>
    </w:p>
    <w:p>
      <w:pPr>
        <w:ind w:right="2539"/>
        <w:spacing w:after="0" w:line="258"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G9441E100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4. </w:t>
      </w:r>
      <w:r>
        <w:rPr>
          <w:rFonts w:ascii="Times New Roman" w:cs="Times New Roman" w:eastAsia="Times New Roman" w:hAnsi="Times New Roman"/>
          <w:sz w:val="22"/>
          <w:szCs w:val="22"/>
          <w:color w:val="auto"/>
        </w:rPr>
        <w:t>Ownership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close of business on February 23,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Point72 Asset Management, L.P.</w:t>
      </w:r>
    </w:p>
    <w:p>
      <w:pPr>
        <w:spacing w:after="0" w:line="4"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1,159,546</w:t>
      </w:r>
    </w:p>
    <w:p>
      <w:pPr>
        <w:ind w:left="320" w:hanging="312"/>
        <w:spacing w:after="0" w:line="230"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5.6%</w:t>
      </w:r>
    </w:p>
    <w:p>
      <w:pPr>
        <w:ind w:left="300" w:hanging="292"/>
        <w:spacing w:after="0" w:line="230" w:lineRule="auto"/>
        <w:tabs>
          <w:tab w:leader="none" w:pos="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1,159,546</w:t>
      </w:r>
    </w:p>
    <w:p>
      <w:pPr>
        <w:ind w:left="380" w:hanging="372"/>
        <w:spacing w:after="0" w:line="230" w:lineRule="auto"/>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1,159,546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Point72 Capital Advisors, Inc.</w:t>
      </w:r>
    </w:p>
    <w:p>
      <w:pPr>
        <w:spacing w:after="0" w:line="4"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1,159,546</w:t>
      </w:r>
    </w:p>
    <w:p>
      <w:pPr>
        <w:ind w:left="320" w:hanging="312"/>
        <w:spacing w:after="0" w:line="230" w:lineRule="auto"/>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5.6%</w:t>
      </w:r>
    </w:p>
    <w:p>
      <w:pPr>
        <w:ind w:left="300" w:hanging="292"/>
        <w:spacing w:after="0" w:line="230" w:lineRule="auto"/>
        <w:tabs>
          <w:tab w:leader="none" w:pos="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1,159,546</w:t>
      </w:r>
    </w:p>
    <w:p>
      <w:pPr>
        <w:ind w:left="380" w:hanging="372"/>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ectPr>
          <w:pgSz w:w="11900" w:h="16838" w:orient="portrait"/>
          <w:cols w:equalWidth="0" w:num="1">
            <w:col w:w="10139"/>
          </w:cols>
          <w:pgMar w:left="320" w:top="328" w:right="1440"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1,159,546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Steven A. Cohen</w:t>
      </w:r>
    </w:p>
    <w:p>
      <w:pPr>
        <w:spacing w:after="0" w:line="4"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1,159,546</w:t>
      </w:r>
    </w:p>
    <w:p>
      <w:pPr>
        <w:ind w:left="320" w:hanging="312"/>
        <w:spacing w:after="0" w:line="230" w:lineRule="auto"/>
        <w:tabs>
          <w:tab w:leader="none" w:pos="3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5.6%</w:t>
      </w:r>
    </w:p>
    <w:p>
      <w:pPr>
        <w:ind w:left="300" w:hanging="292"/>
        <w:spacing w:after="0" w:line="230" w:lineRule="auto"/>
        <w:tabs>
          <w:tab w:leader="none" w:pos="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1,159,546</w:t>
      </w:r>
    </w:p>
    <w:p>
      <w:pPr>
        <w:ind w:left="380" w:hanging="372"/>
        <w:spacing w:after="0" w:line="230"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1,159,546</w:t>
      </w:r>
    </w:p>
    <w:p>
      <w:pPr>
        <w:spacing w:after="0" w:line="182" w:lineRule="exact"/>
        <w:rPr>
          <w:sz w:val="20"/>
          <w:szCs w:val="20"/>
          <w:color w:val="auto"/>
        </w:rPr>
      </w:pPr>
    </w:p>
    <w:p>
      <w:pPr>
        <w:ind w:right="2999"/>
        <w:spacing w:after="0" w:line="233" w:lineRule="auto"/>
        <w:rPr>
          <w:sz w:val="20"/>
          <w:szCs w:val="20"/>
          <w:color w:val="auto"/>
        </w:rPr>
      </w:pPr>
      <w:r>
        <w:rPr>
          <w:rFonts w:ascii="Times New Roman" w:cs="Times New Roman" w:eastAsia="Times New Roman" w:hAnsi="Times New Roman"/>
          <w:sz w:val="22"/>
          <w:szCs w:val="22"/>
          <w:color w:val="auto"/>
        </w:rPr>
        <w:t>Point72 Asset Management, Point72 Capital Advisors Inc.,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Mr. Cohen controls each of Point72 Asset Management and Point72 Capital Advisors Inc. By reason of the provisions of Rule 13d-3 of the Securities Exchange Act of 1934, as amended, each of Point72 Asset Management, Point72 Capital Advisors</w:t>
      </w:r>
    </w:p>
    <w:p>
      <w:pPr>
        <w:spacing w:after="0" w:line="3" w:lineRule="exact"/>
        <w:rPr>
          <w:sz w:val="20"/>
          <w:szCs w:val="20"/>
          <w:color w:val="auto"/>
        </w:rPr>
      </w:pPr>
    </w:p>
    <w:p>
      <w:pPr>
        <w:ind w:right="3419"/>
        <w:spacing w:after="0" w:line="247" w:lineRule="auto"/>
        <w:rPr>
          <w:sz w:val="20"/>
          <w:szCs w:val="20"/>
          <w:color w:val="auto"/>
        </w:rPr>
      </w:pPr>
      <w:r>
        <w:rPr>
          <w:rFonts w:ascii="Times New Roman" w:cs="Times New Roman" w:eastAsia="Times New Roman" w:hAnsi="Times New Roman"/>
          <w:sz w:val="21"/>
          <w:szCs w:val="21"/>
          <w:color w:val="auto"/>
        </w:rPr>
        <w:t>Inc. and Mr. Cohen may be deemed to beneficially own 1,159,546 Shares (constituting approximately 5.6% of the Shares outstanding). Each of Point72 Asset Management, Point72 Capital Advisors Inc., and Mr. Cohen disclaims beneficial ownership of any of the securities covered by this statement.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5. </w:t>
      </w:r>
      <w:r>
        <w:rPr>
          <w:rFonts w:ascii="Times New Roman" w:cs="Times New Roman" w:eastAsia="Times New Roman" w:hAnsi="Times New Roman"/>
          <w:sz w:val="22"/>
          <w:szCs w:val="22"/>
          <w:color w:val="auto"/>
        </w:rPr>
        <w:t>Ownership of 5 Percent or Less of a Class.</w:t>
      </w:r>
    </w:p>
    <w:p>
      <w:pPr>
        <w:spacing w:after="0" w:line="237" w:lineRule="exact"/>
        <w:rPr>
          <w:sz w:val="20"/>
          <w:szCs w:val="20"/>
          <w:color w:val="auto"/>
        </w:rPr>
      </w:pPr>
    </w:p>
    <w:p>
      <w:pPr>
        <w:jc w:val="both"/>
        <w:ind w:right="38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6. </w:t>
      </w:r>
      <w:r>
        <w:rPr>
          <w:rFonts w:ascii="Times New Roman" w:cs="Times New Roman" w:eastAsia="Times New Roman" w:hAnsi="Times New Roman"/>
          <w:sz w:val="22"/>
          <w:szCs w:val="22"/>
          <w:color w:val="auto"/>
        </w:rPr>
        <w:t>Ownership of More than 5 Percent on Behalf of Another Person.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jc w:val="both"/>
        <w:ind w:right="353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Item 7. </w:t>
      </w:r>
      <w:r>
        <w:rPr>
          <w:rFonts w:ascii="Times New Roman" w:cs="Times New Roman" w:eastAsia="Times New Roman" w:hAnsi="Times New Roman"/>
          <w:sz w:val="22"/>
          <w:szCs w:val="22"/>
          <w:color w:val="auto"/>
        </w:rPr>
        <w:t>Identification and Classification of the Subsidiary Which Acquired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Security Being Reporting on by the Parent Holding Company or Control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8. </w:t>
      </w:r>
      <w:r>
        <w:rPr>
          <w:rFonts w:ascii="Times New Roman" w:cs="Times New Roman" w:eastAsia="Times New Roman" w:hAnsi="Times New Roman"/>
          <w:sz w:val="22"/>
          <w:szCs w:val="22"/>
          <w:color w:val="auto"/>
        </w:rPr>
        <w:t>Identification and Classification of Members of the Group</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9. </w:t>
      </w:r>
      <w:r>
        <w:rPr>
          <w:rFonts w:ascii="Times New Roman" w:cs="Times New Roman" w:eastAsia="Times New Roman" w:hAnsi="Times New Roman"/>
          <w:sz w:val="22"/>
          <w:szCs w:val="22"/>
          <w:color w:val="auto"/>
        </w:rPr>
        <w:t>Notice of Dissolution of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10. </w:t>
      </w:r>
      <w:r>
        <w:rPr>
          <w:rFonts w:ascii="Times New Roman" w:cs="Times New Roman" w:eastAsia="Times New Roman" w:hAnsi="Times New Roman"/>
          <w:sz w:val="22"/>
          <w:szCs w:val="22"/>
          <w:color w:val="auto"/>
        </w:rPr>
        <w:t>Certifications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w:t>
      </w:r>
    </w:p>
    <w:p>
      <w:pPr>
        <w:spacing w:after="0" w:line="14" w:lineRule="exact"/>
        <w:rPr>
          <w:sz w:val="20"/>
          <w:szCs w:val="20"/>
          <w:color w:val="auto"/>
        </w:rPr>
      </w:pPr>
    </w:p>
    <w:p>
      <w:pPr>
        <w:ind w:right="3059"/>
        <w:spacing w:after="0" w:line="230" w:lineRule="auto"/>
        <w:rPr>
          <w:sz w:val="20"/>
          <w:szCs w:val="20"/>
          <w:color w:val="auto"/>
        </w:rPr>
      </w:pPr>
      <w:r>
        <w:rPr>
          <w:rFonts w:ascii="Times New Roman" w:cs="Times New Roman" w:eastAsia="Times New Roman" w:hAnsi="Times New Roman"/>
          <w:sz w:val="22"/>
          <w:szCs w:val="22"/>
          <w:color w:val="auto"/>
        </w:rPr>
        <w:t>the securities referred to above were not acquired and are not held for the purpose of or with the effect of changing or influencing the control of the issuer of the securities and were not acquired and are not held in connection with or</w:t>
      </w:r>
    </w:p>
    <w:p>
      <w:pPr>
        <w:spacing w:after="0" w:line="2" w:lineRule="exact"/>
        <w:rPr>
          <w:sz w:val="20"/>
          <w:szCs w:val="20"/>
          <w:color w:val="auto"/>
        </w:rPr>
      </w:pPr>
    </w:p>
    <w:p>
      <w:pPr>
        <w:ind w:right="2879"/>
        <w:spacing w:after="0" w:line="237" w:lineRule="auto"/>
        <w:rPr>
          <w:sz w:val="20"/>
          <w:szCs w:val="20"/>
          <w:color w:val="auto"/>
        </w:rPr>
      </w:pPr>
      <w:r>
        <w:rPr>
          <w:rFonts w:ascii="Times New Roman" w:cs="Times New Roman" w:eastAsia="Times New Roman" w:hAnsi="Times New Roman"/>
          <w:sz w:val="22"/>
          <w:szCs w:val="22"/>
          <w:color w:val="auto"/>
        </w:rPr>
        <w:t>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p>
      <w:pPr>
        <w:ind w:right="3179"/>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Signature. </w:t>
      </w:r>
      <w:r>
        <w:rPr>
          <w:rFonts w:ascii="Times New Roman" w:cs="Times New Roman" w:eastAsia="Times New Roman" w:hAnsi="Times New Roman"/>
          <w:sz w:val="22"/>
          <w:szCs w:val="22"/>
          <w:color w:val="auto"/>
        </w:rPr>
        <w:t>After reasonable inquiry and to the best of my knowledge and belief,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February 24,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ectPr>
          <w:pgSz w:w="11900" w:h="16838" w:orient="portrait"/>
          <w:cols w:equalWidth="0" w:num="1">
            <w:col w:w="10139"/>
          </w:cols>
          <w:pgMar w:left="320" w:top="11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Exhibit 99.1</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February 24,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decimal"/>
      <w:start w:val="11"/>
    </w:lvl>
  </w:abstractNum>
  <w:abstractNum w:abstractNumId="3">
    <w:nsid w:val="216231B"/>
    <w:multiLevelType w:val="hybridMultilevel"/>
    <w:lvl w:ilvl="0">
      <w:lvlJc w:val="left"/>
      <w:lvlText w:val="(%1)"/>
      <w:numFmt w:val="decimal"/>
      <w:start w:val="11"/>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9"/>
    </w:lvl>
  </w:abstractNum>
  <w:abstractNum w:abstractNumId="7">
    <w:nsid w:val="140E0F76"/>
    <w:multiLevelType w:val="hybridMultilevel"/>
    <w:lvl w:ilvl="0">
      <w:lvlJc w:val="left"/>
      <w:lvlText w:val="(%1)"/>
      <w:numFmt w:val="lowerLetter"/>
      <w:start w:val="35"/>
    </w:lvl>
  </w:abstractNum>
  <w:abstractNum w:abstractNumId="8">
    <w:nsid w:val="3352255A"/>
    <w:multiLevelType w:val="hybridMultilevel"/>
    <w:lvl w:ilvl="0">
      <w:lvlJc w:val="left"/>
      <w:lvlText w:val="(%1)"/>
      <w:numFmt w:val="lowerLetter"/>
      <w:start w:val="6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9"/>
    </w:lvl>
  </w:abstractNum>
  <w:abstractNum w:abstractNumId="11">
    <w:nsid w:val="7FDCC233"/>
    <w:multiLevelType w:val="hybridMultilevel"/>
    <w:lvl w:ilvl="0">
      <w:lvlJc w:val="left"/>
      <w:lvlText w:val="(%1)"/>
      <w:numFmt w:val="lowerLetter"/>
      <w:start w:val="35"/>
    </w:lvl>
  </w:abstractNum>
  <w:abstractNum w:abstractNumId="12">
    <w:nsid w:val="1BEFD79F"/>
    <w:multiLevelType w:val="hybridMultilevel"/>
    <w:lvl w:ilvl="0">
      <w:lvlJc w:val="left"/>
      <w:lvlText w:val="(%1)"/>
      <w:numFmt w:val="lowerLetter"/>
      <w:start w:val="6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9"/>
    </w:lvl>
  </w:abstractNum>
  <w:abstractNum w:abstractNumId="15">
    <w:nsid w:val="4E6AFB66"/>
    <w:multiLevelType w:val="hybridMultilevel"/>
    <w:lvl w:ilvl="0">
      <w:lvlJc w:val="left"/>
      <w:lvlText w:val="(%1)"/>
      <w:numFmt w:val="lowerLetter"/>
      <w:start w:val="35"/>
    </w:lvl>
  </w:abstractNum>
  <w:abstractNum w:abstractNumId="16">
    <w:nsid w:val="25E45D3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2021-02-24T15:58:24Z</dcterms:created>
  <dcterms:modified xsi:type="dcterms:W3CDTF">2021-02-24T15:58:24Z</dcterms:modified>
</cp:coreProperties>
</file>