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4"/>
          </w:cols>
          <w:pgMar w:left="436" w:top="443" w:right="439" w:bottom="1440" w:gutter="0" w:footer="0" w:header="0"/>
          <w:type w:val="continuous"/>
        </w:sectPr>
      </w:pPr>
    </w:p>
    <w:p>
      <w:pPr>
        <w:spacing w:after="0" w:line="1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$0.0001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left="4" w:right="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820"/>
          </w:cols>
          <w:pgMar w:left="436" w:top="293" w:right="439" w:bottom="1440" w:gutter="0" w:footer="0" w:header="0"/>
        </w:sect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On October 31, 2025, Bakkt Holdings, Inc. (the “Company”) called to order the special meeting of the Company’s shareholders (the “Special Meeting”) in accordance with the Notice of Special Meeting of Stockholders (the “Proxy Statement”) dated September 9, 2025, filed with the Securities and Exchange Commission (the “SEC”), as supplemented by the current report on Form 8-K filed by the Company with the SEC on October 22, 2025 (the “Supplemental Solicitation Materials”). At the Special Meeting, the shareholders approved the grant of options (the “Options”) to select members of management to purchase up to 2,000,000 shares of Class A Common Stock (such Common Stock, the “Class A Common Stock”, and such proposal, the “Options Proposal”).</w:t>
      </w:r>
    </w:p>
    <w:p>
      <w:pPr>
        <w:spacing w:after="0" w:line="18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 summary of the material terms of the Options is set forth in the Proxy Statement, as supplemented and amended by the Supplemental Solicitation Materials, which is qualified in its entirety by reference to the form of award agreement in respect of the Options, which is attached to this Current Report on Form 8-K and incorporated by reference into this Item.</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disclosure in Item 5.02 is incorporated into this Item 5.07 by reference.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 Special Meeting, the Company’s shareholders voted on the proposal as follows: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Proposal 1: The Options Proposal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Company’s shareholders approved the Options Proposal. The votes were cast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Abstain</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9"/>
        </w:trPr>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10,809,572</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1,001,367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pacing w:after="0" w:line="34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2"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color w:val="auto"/>
        </w:rPr>
        <w:t>Exhibit</w:t>
      </w:r>
    </w:p>
    <w:p>
      <w:pPr>
        <w:ind w:left="124"/>
        <w:spacing w:after="0"/>
        <w:tabs>
          <w:tab w:leader="none" w:pos="76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Option Award Agreement.</w:t>
      </w:r>
    </w:p>
    <w:p>
      <w:pPr>
        <w:spacing w:after="0" w:line="117" w:lineRule="exact"/>
        <w:rPr>
          <w:sz w:val="20"/>
          <w:szCs w:val="20"/>
          <w:color w:val="auto"/>
        </w:rPr>
      </w:pPr>
    </w:p>
    <w:p>
      <w:pPr>
        <w:ind w:left="4" w:right="4420" w:hanging="4"/>
        <w:spacing w:after="0" w:line="563" w:lineRule="auto"/>
        <w:tabs>
          <w:tab w:leader="none" w:pos="7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Represents a management contract, compensatory plan or arrangement.</w:t>
      </w:r>
    </w:p>
    <w:p>
      <w:pPr>
        <w:sectPr>
          <w:pgSz w:w="11900" w:h="16838" w:orient="portrait"/>
          <w:cols w:equalWidth="0" w:num="1">
            <w:col w:w="11024"/>
          </w:cols>
          <w:pgMar w:left="436" w:top="293" w:right="4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2025</w:t>
      </w:r>
    </w:p>
    <w:p>
      <w:pPr>
        <w:spacing w:after="0" w:line="1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STOCK OPTION GRANT</w:t>
      </w:r>
    </w:p>
    <w:p>
      <w:pPr>
        <w:spacing w:after="0" w:line="229"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Unless otherwise defined herein, the terms defined in the Bakkt Holdings, Inc. 2021 Omnibus Employee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meanings in this Stock Option Award Agreement which includes the Notice of Stock Option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Award Agreement and the Options granted hereunder are subject to approval of the Options by the shareholders of the Company, and if such shareholder approval is not obtained, this Award Agreement and the Options granted hereunder shall be null and void.</w:t>
      </w:r>
    </w:p>
    <w:p>
      <w:pPr>
        <w:spacing w:after="0" w:line="210" w:lineRule="exact"/>
        <w:rPr>
          <w:sz w:val="20"/>
          <w:szCs w:val="20"/>
          <w:color w:val="auto"/>
        </w:rPr>
      </w:pPr>
    </w:p>
    <w:p>
      <w:pPr>
        <w:ind w:left="4"/>
        <w:spacing w:after="0"/>
        <w:tabs>
          <w:tab w:leader="none" w:pos="4184" w:val="left"/>
        </w:tabs>
        <w:rPr>
          <w:sz w:val="20"/>
          <w:szCs w:val="20"/>
          <w:color w:val="auto"/>
        </w:rPr>
      </w:pPr>
      <w:r>
        <w:rPr>
          <w:rFonts w:ascii="Times New Roman" w:cs="Times New Roman" w:eastAsia="Times New Roman" w:hAnsi="Times New Roman"/>
          <w:sz w:val="18"/>
          <w:szCs w:val="18"/>
          <w:color w:val="auto"/>
        </w:rPr>
        <w:t>Grantee Name: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17145</wp:posOffset>
            </wp:positionV>
            <wp:extent cx="2168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3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undersigned Grantee has been granted an Award of stock options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to purchase, on or prior to the earlier of the Expiration Date and the Forfeiture Date specified below, all or part of the number of shares of Common Stock, par value $0.0001 per share, of the Company specified below at the Option Exercise Price per share specified below, subject to the terms and conditions of this Award Agreement, as follows:</w:t>
      </w:r>
    </w:p>
    <w:p>
      <w:pPr>
        <w:spacing w:after="0" w:line="1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Number of Options:</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-17780</wp:posOffset>
            </wp:positionV>
            <wp:extent cx="2168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Number of Mandatory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4445</wp:posOffset>
            </wp:positionV>
            <wp:extent cx="2168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Number of Optional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17145</wp:posOffset>
            </wp:positionV>
            <wp:extent cx="2168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Option Exercise Price per Share:</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-34925</wp:posOffset>
            </wp:positionV>
            <wp:extent cx="2168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-12065</wp:posOffset>
            </wp:positionV>
            <wp:extent cx="2168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Exercise Schedule:</w:t>
      </w:r>
    </w:p>
    <w:p>
      <w:pPr>
        <w:spacing w:after="0" w:line="117"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1/8 of each of the Mandatory Exercise Options and the Optional Exercise Options, rounded down to the nearest whole number of options (with the remaining options comprising the final Quarterly Tranche) shall become exercisable each quarter (each, a “</w:t>
      </w:r>
      <w:r>
        <w:rPr>
          <w:rFonts w:ascii="Times New Roman" w:cs="Times New Roman" w:eastAsia="Times New Roman" w:hAnsi="Times New Roman"/>
          <w:sz w:val="18"/>
          <w:szCs w:val="18"/>
          <w:u w:val="single" w:color="auto"/>
          <w:color w:val="auto"/>
        </w:rPr>
        <w:t>Quarterly Tranche</w:t>
      </w:r>
      <w:r>
        <w:rPr>
          <w:rFonts w:ascii="Times New Roman" w:cs="Times New Roman" w:eastAsia="Times New Roman" w:hAnsi="Times New Roman"/>
          <w:sz w:val="18"/>
          <w:szCs w:val="18"/>
          <w:color w:val="auto"/>
        </w:rPr>
        <w:t>”) as follows:</w:t>
      </w:r>
    </w:p>
    <w:p>
      <w:pPr>
        <w:spacing w:after="0" w:line="67" w:lineRule="exact"/>
        <w:rPr>
          <w:sz w:val="20"/>
          <w:szCs w:val="20"/>
          <w:color w:val="auto"/>
        </w:rPr>
      </w:pPr>
    </w:p>
    <w:p>
      <w:pPr>
        <w:ind w:left="964"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Options</w:t>
      </w:r>
      <w:r>
        <w:rPr>
          <w:rFonts w:ascii="Times New Roman" w:cs="Times New Roman" w:eastAsia="Times New Roman" w:hAnsi="Times New Roman"/>
          <w:sz w:val="18"/>
          <w:szCs w:val="18"/>
          <w:color w:val="auto"/>
        </w:rPr>
        <w:t>: [20%][10%] of each Quarterly Tranche (i.e., the portion representing the Mandatory Exercise Option) shall be exercisable over a two day period commencing on the first trading day after the applicable quarterly blackout period ends in</w:t>
      </w:r>
    </w:p>
    <w:p>
      <w:pPr>
        <w:spacing w:after="0" w:line="252" w:lineRule="exact"/>
        <w:rPr>
          <w:rFonts w:ascii="Times New Roman" w:cs="Times New Roman" w:eastAsia="Times New Roman" w:hAnsi="Times New Roman"/>
          <w:sz w:val="18"/>
          <w:szCs w:val="18"/>
          <w:color w:val="auto"/>
        </w:rPr>
      </w:pPr>
    </w:p>
    <w:p>
      <w:pPr>
        <w:ind w:left="424" w:hanging="432"/>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For Akshay Naheta and Phillip Lord, 20% of the Options will be Mandatory Exercise Options and 80% of the Options will be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Optional Exercise Options. For all other Grantees, 10% of the Options will be Mandatory Exercise Options and 90% of the Options will be Optional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24" w:right="20" w:hanging="424"/>
        <w:spacing w:after="0" w:line="20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Exercise price to equal to the share price in Project Broadway, which reflects a third-party negotiated FMV, or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comply with Section 409A of the Internal Revenue Code, FMV on the date of grant.</w:t>
      </w:r>
    </w:p>
    <w:p>
      <w:pPr>
        <w:sectPr>
          <w:pgSz w:w="11900" w:h="16838" w:orient="portrait"/>
          <w:cols w:equalWidth="0" w:num="1">
            <w:col w:w="11024"/>
          </w:cols>
          <w:pgMar w:left="436" w:top="117" w:right="439" w:bottom="1440" w:gutter="0" w:footer="0" w:header="0"/>
        </w:sectPr>
      </w:pPr>
    </w:p>
    <w:bookmarkStart w:id="4" w:name="page5"/>
    <w:bookmarkEnd w:id="4"/>
    <w:p>
      <w:pPr>
        <w:jc w:val="both"/>
        <w:ind w:left="4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the Company’s Insider Trading Policy, as in place and updated from time to time, beginning with the first such quarterly trading window following the date on which the Company’s shareholders approve the Options (each, a “</w:t>
      </w:r>
      <w:r>
        <w:rPr>
          <w:rFonts w:ascii="Times New Roman" w:cs="Times New Roman" w:eastAsia="Times New Roman" w:hAnsi="Times New Roman"/>
          <w:sz w:val="18"/>
          <w:szCs w:val="18"/>
          <w:u w:val="single" w:color="auto"/>
          <w:color w:val="auto"/>
        </w:rPr>
        <w:t>Mandatory Exercise Period</w:t>
      </w:r>
      <w:r>
        <w:rPr>
          <w:rFonts w:ascii="Times New Roman" w:cs="Times New Roman" w:eastAsia="Times New Roman" w:hAnsi="Times New Roman"/>
          <w:sz w:val="18"/>
          <w:szCs w:val="18"/>
          <w:color w:val="auto"/>
        </w:rPr>
        <w:t xml:space="preserve">”), subject to compliance with insider trading laws and Company policies (that may be in place or as may be updated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Mandatory Exercise Period for a Quarterly Tranche occurs during a blackout period that is otherwise in effect in respect of the Company’s Common Stock or Grantee is otherwise restricted from trading in the Company’s Common Stock in compliance with Company policies and applicable law, then such Mandatory Exercise Period shall instead be the next quarterly Mandatory Exercise Period.</w:t>
      </w:r>
    </w:p>
    <w:p>
      <w:pPr>
        <w:spacing w:after="0" w:line="94" w:lineRule="exact"/>
        <w:rPr>
          <w:sz w:val="20"/>
          <w:szCs w:val="20"/>
          <w:color w:val="auto"/>
        </w:rPr>
      </w:pPr>
    </w:p>
    <w:p>
      <w:pPr>
        <w:jc w:val="both"/>
        <w:ind w:left="424" w:right="20" w:hanging="424"/>
        <w:spacing w:after="0" w:line="25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Exercise Options</w:t>
      </w:r>
      <w:r>
        <w:rPr>
          <w:rFonts w:ascii="Times New Roman" w:cs="Times New Roman" w:eastAsia="Times New Roman" w:hAnsi="Times New Roman"/>
          <w:sz w:val="18"/>
          <w:szCs w:val="18"/>
          <w:color w:val="auto"/>
        </w:rPr>
        <w:t>: The Optional Exercise Options may be exercised only on or after the exercise of the corresponding Mandatory Exercise Options for the applicable quarter. If Grantee exercises the Mandatory Exercise Option portion of the Quarterly Tranche, the Optional Exercise Option portion of the Quarterly Tranche shall remain exercisable, at Grantee’s discretion, for a period of one year following the date on which the corresponding Mandatory Exercise Option was exercised, subject to “Forfeiture” below and compliance with insider trading laws and Company policies (that may be in place or as may be updated from time to time) (the last day of such one-year period is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84"/>
          </w:cols>
          <w:pgMar w:left="976" w:top="270" w:right="439" w:bottom="1440" w:gutter="0" w:footer="0" w:header="0"/>
        </w:sectPr>
      </w:pPr>
    </w:p>
    <w:bookmarkStart w:id="5" w:name="page6"/>
    <w:bookmarkEnd w:id="5"/>
    <w:p>
      <w:pPr>
        <w:jc w:val="both"/>
        <w:ind w:left="964" w:hanging="424"/>
        <w:spacing w:after="0" w:line="253"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Treatment; Forfeiture</w:t>
      </w:r>
      <w:r>
        <w:rPr>
          <w:rFonts w:ascii="Times New Roman" w:cs="Times New Roman" w:eastAsia="Times New Roman" w:hAnsi="Times New Roman"/>
          <w:sz w:val="18"/>
          <w:szCs w:val="18"/>
          <w:color w:val="auto"/>
        </w:rPr>
        <w:t>: Unless specifically provided otherwise in this Award Agreement, and notwithstanding anything provided in any employment agreement or other written agreement between Grantee and the Company or any of its Subsidiaries, (i) if Grantee ceases to be Employed due to a termination for Cause, any Options awarded under this Award Agreement (whether exercisable as of the date of Grantee’s termination of Employment or service or not) will be forfeited automatically, (ii) if Grantee ceases to be Employed due to a voluntary termination or resignation by Grantee without Good Reason, (A) any Options awarded under this Award Agreement in respect of which the Mandatory Exercise Period has not yet occurred and which are not yet exercisable will be forfeited automatically and</w:t>
      </w:r>
    </w:p>
    <w:p>
      <w:pPr>
        <w:spacing w:after="0" w:line="5" w:lineRule="exact"/>
        <w:rPr>
          <w:rFonts w:ascii="Times New Roman" w:cs="Times New Roman" w:eastAsia="Times New Roman" w:hAnsi="Times New Roman"/>
          <w:sz w:val="18"/>
          <w:szCs w:val="18"/>
          <w:color w:val="auto"/>
        </w:rPr>
      </w:pPr>
    </w:p>
    <w:p>
      <w:pPr>
        <w:jc w:val="both"/>
        <w:ind w:left="96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Options awarded under this Award Agreement in respect of which the Mandatory Exercise Period has occurred and which are exercisable as of the date of Grantee’s termination of Employment or service will remain exercisable for a period of 90 days following the date of Grantee’s termination of Employment or services, (iii) if Grantee ceases to be Employed due to a termination of Employment or services by the Company without Cause, by Grantee for Good Reason, or due to Grantee’s death or disability (as determined by the Committee in its sole discretion), (A) any Options awarded under this Award Agreement in respect of which the Mandatory Exercise Period has not yet occurred and which are not yet exercisable will be forfeited automatically and (B) any Options awarded under this Award Agreement in respect of which the Mandatory Exercise Period has occurred and which are exercisable as of the date of Grantee’s termination of Employment or service will remain exercisable for a period of 12 months following the date of Grantee’s termination of Employment or services, and (iv) if Grantee does not exercise the Mandatory Exercise Option portion of any Quarterly Tranche during the Mandatory Exercise Period, all remaining Options (in respect of the current Quarterly Tranche and any subsequent Quarterly Tranche) will be forfeited automatically (the date of forfeiture pursuant to (i) – (iv), the “</w:t>
      </w:r>
      <w:r>
        <w:rPr>
          <w:rFonts w:ascii="Times New Roman" w:cs="Times New Roman" w:eastAsia="Times New Roman" w:hAnsi="Times New Roman"/>
          <w:sz w:val="18"/>
          <w:szCs w:val="18"/>
          <w:u w:val="single" w:color="auto"/>
          <w:color w:val="auto"/>
        </w:rPr>
        <w:t>Forfeiture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Notwithstanding the foregoing, any portion of the Options, including the Mandatory Exercise Options and/or the Optional Exercise Options subject to any Quarterly Tranche, may be exercised prior to the applicable quarter in which the Quarterly Tranche would otherwise become exercisable in accordance with the schedule above (“</w:t>
      </w: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Early Exercise may not occur prior to the first Mandatory Exercise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 respect to any shares of Common Stock so acquired by Grantee on exercise of Optional Exercise Options, from the applicable Early Exercise date until the date on which such Optional Exercise Options would otherwise have become exercisable pursuant to the Quarterly Tranche schedule described above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xml:space="preserve">”), Grantee shall not (i) lend; offer; pledge; sell; hypothecate; contract to sell; sell any option or contract to purchase; purchase any option or contract to sell; grant any option, right, or warrant to purchase; or otherwise transfer or dispose of, directly or indirectly, the shares of Common Stock so acquired by Grantee or any securities convertible into or exercisable or exchangeable (directly or indirectly) for such shares of Common Stock and/or (ii) enter into any swap or other arrangement that transfers to another, in whole or in part, any of the economic consequences of ownership of such shares of Common Stock so acquired by Grantee, whether any such transaction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w:t>
      </w:r>
    </w:p>
    <w:p>
      <w:pPr>
        <w:spacing w:after="0" w:line="5" w:lineRule="exact"/>
        <w:rPr>
          <w:sz w:val="20"/>
          <w:szCs w:val="20"/>
          <w:color w:val="auto"/>
        </w:rPr>
      </w:pPr>
    </w:p>
    <w:p>
      <w:pPr>
        <w:jc w:val="both"/>
        <w:ind w:left="4" w:right="20" w:hanging="4"/>
        <w:spacing w:after="0" w:line="255" w:lineRule="auto"/>
        <w:tabs>
          <w:tab w:leader="none" w:pos="286"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is to be settled by delivery of shares of Common Stock or other securities, in cash, or otherwise. The Company may impose stop-transfer instructions with respect to securities subject to the foregoing restrictions until the end of the Lock-Up Period. Unless specifically provided otherwise in this Award Agreement, and notwithstanding anything provided in any employment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6" w:name="page7"/>
    <w:bookmarkEnd w:id="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other written agreement between Grantee and the Company or any of its Subsidiaries, if Grantee ceases to be Employed for any reason or no reason, any Shares held by Grantee as a result of Early Exercise shall continue to be held by Grantee, subject to the foregoing restrictions, which shall continue to apply to such Shares until the end of the Lock-Up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By Grantee’s signature and the signature of the representative of the Company below, Grantee and the Company agree that this Award of Options is governed by the terms and conditions of the Plan, except for Section 2.4 of the Plan (notwithstanding it is not granted under the Plan) and this Award Agreement, including the Terms and Conditions of the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ectPr>
          <w:pgSz w:w="11900" w:h="16838" w:orient="portrait"/>
          <w:cols w:equalWidth="0" w:num="1">
            <w:col w:w="11020"/>
          </w:cols>
          <w:pgMar w:left="440" w:top="270" w:right="4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32918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32918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2918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32918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462915</wp:posOffset>
            </wp:positionV>
            <wp:extent cx="3291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617220</wp:posOffset>
            </wp:positionV>
            <wp:extent cx="32918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163195</wp:posOffset>
            </wp:positionV>
            <wp:extent cx="3282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445770</wp:posOffset>
            </wp:positionV>
            <wp:extent cx="3282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32829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645" w:lineRule="exact"/>
        <w:rPr>
          <w:sz w:val="20"/>
          <w:szCs w:val="20"/>
          <w:color w:val="auto"/>
        </w:rPr>
      </w:pPr>
    </w:p>
    <w:p>
      <w:pPr>
        <w:sectPr>
          <w:pgSz w:w="11900" w:h="16838" w:orient="portrait"/>
          <w:cols w:equalWidth="0" w:num="2">
            <w:col w:w="5120" w:space="720"/>
            <w:col w:w="5180"/>
          </w:cols>
          <w:pgMar w:left="440" w:top="27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020"/>
          </w:cols>
          <w:pgMar w:left="440" w:top="270" w:right="4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STOCK OPTION GRANT</w:t>
      </w:r>
    </w:p>
    <w:p>
      <w:pPr>
        <w:spacing w:after="0" w:line="229" w:lineRule="exact"/>
        <w:rPr>
          <w:sz w:val="20"/>
          <w:szCs w:val="20"/>
          <w:color w:val="auto"/>
        </w:rPr>
      </w:pPr>
    </w:p>
    <w:p>
      <w:pPr>
        <w:jc w:val="both"/>
        <w:ind w:firstLine="436"/>
        <w:spacing w:after="0" w:line="253" w:lineRule="auto"/>
        <w:tabs>
          <w:tab w:leader="none" w:pos="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named in the Notice of Stock Option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Options, and subject to the terms and conditions of this Award Agreement and the Plan, which is incorporated herein by reference. Although this Award was granted outside the Plan, the Award will be governed in all respects as if issued under the Plan, except with respect to the provisions of Section 2.4 of the Plan, as currently in effect and as may be amended hereafter from time to time, which is incorporated herein by reference. Subject to Section 3.1 of the Plan, in the event of a conflict between the terms and conditions of the Plan and this Award Agreement, the terms and conditions of the Plan shall prevail. Each Option represents the right to purchase, on or prior to the Expiration Date specified in the Notice of Grant, all or part of the number of shares of Company Class A Common Stock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specified in the Notice of Grant at the Option Exercise Price per Share specified in the Notice of Grant on or following the date the Option becomes exercisable in accordance with the terms of this Award Agreement. Unless and until the Option has become exercisable in the manner set forth in Section 2 or 3, Grantee will have no right to exercise any such Option. Once exercisable, the Options shall continue to be exercisable at any time or times prior to the close of business on the Expiration Date, subject to the provisions of this Award Agreement and of the Plan.</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Schedule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awarded by this Award Agreement will be exercisable in accordance with the Notice of Grant. Unless specifically provided otherwise in this Award Agreement or other written agreement authorized by the Committee between Grantee and the Company or any Subsidiary of the Company, as applicable, governing the terms of this Award, Options scheduled to become exercisable on a certain date or upon the occurrence of a certain condition will not become exercisable in accordance with any of the provisions of this Award Agreement, unless Grantee will have been continuously Employed from the Date of Grant until such date occurs.</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Upon Termination; Forfeiture</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4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 Upon Termination of Employment for Cause</w:t>
      </w:r>
      <w:r>
        <w:rPr>
          <w:rFonts w:ascii="Times New Roman" w:cs="Times New Roman" w:eastAsia="Times New Roman" w:hAnsi="Times New Roman"/>
          <w:sz w:val="18"/>
          <w:szCs w:val="18"/>
          <w:color w:val="auto"/>
        </w:rPr>
        <w:t>. Unless specifically provided otherwise in this Award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agreement authorized by the Committee between Grantee and the Company or any of its Subsidiaries, as applicable, governing the terms of this Award, if Grantee ceases to be Employed for any or no reason (including any termination or resignation by Grantee), any Options awarded under this Award Agreement will thereupon be forfeited at no cost to the Company and Grantee will have no further rights thereunder.</w:t>
      </w:r>
    </w:p>
    <w:p>
      <w:pPr>
        <w:sectPr>
          <w:pgSz w:w="11900" w:h="16838" w:orient="portrait"/>
          <w:cols w:equalWidth="0" w:num="1">
            <w:col w:w="11020"/>
          </w:cols>
          <w:pgMar w:left="440" w:top="266" w:right="439" w:bottom="1440" w:gutter="0" w:footer="0" w:header="0"/>
        </w:sectPr>
      </w:pPr>
    </w:p>
    <w:bookmarkStart w:id="8" w:name="page9"/>
    <w:bookmarkEnd w:id="8"/>
    <w:p>
      <w:pPr>
        <w:jc w:val="both"/>
        <w:ind w:left="4" w:right="20" w:firstLine="1428"/>
        <w:spacing w:after="0" w:line="267" w:lineRule="auto"/>
        <w:tabs>
          <w:tab w:leader="none" w:pos="1714"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Forfeiture Upon Failure to Mandatory Exercise</w:t>
      </w:r>
      <w:r>
        <w:rPr>
          <w:rFonts w:ascii="Times New Roman" w:cs="Times New Roman" w:eastAsia="Times New Roman" w:hAnsi="Times New Roman"/>
          <w:sz w:val="18"/>
          <w:szCs w:val="18"/>
          <w:color w:val="auto"/>
        </w:rPr>
        <w:t>. If Grantee does not exercise the Mandatory Exercise Option portion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Tranche during the Mandatory Exercise Period, all remaining Options (in respect of the current Quarterly Tranche and any subsequent Quarterly Tranche) shall be forfeited.</w:t>
      </w:r>
    </w:p>
    <w:p>
      <w:pPr>
        <w:spacing w:after="0" w:line="65" w:lineRule="exact"/>
        <w:rPr>
          <w:rFonts w:ascii="Times New Roman" w:cs="Times New Roman" w:eastAsia="Times New Roman" w:hAnsi="Times New Roman"/>
          <w:sz w:val="18"/>
          <w:szCs w:val="18"/>
          <w:color w:val="auto"/>
        </w:rPr>
      </w:pPr>
    </w:p>
    <w:p>
      <w:pPr>
        <w:jc w:val="both"/>
        <w:ind w:left="4" w:right="20" w:firstLine="1428"/>
        <w:spacing w:after="0" w:line="258" w:lineRule="auto"/>
        <w:tabs>
          <w:tab w:leader="none" w:pos="1805"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Employment by Executive without Good Reason</w:t>
      </w:r>
      <w:r>
        <w:rPr>
          <w:rFonts w:ascii="Times New Roman" w:cs="Times New Roman" w:eastAsia="Times New Roman" w:hAnsi="Times New Roman"/>
          <w:sz w:val="18"/>
          <w:szCs w:val="18"/>
          <w:color w:val="auto"/>
        </w:rPr>
        <w:t>. Unless specifically provided otherwise in this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if Grantee ceases to be Employed due to Grantee’s voluntary resignation of Employment, (A) any Options awarded under this Award Agreement in respect of which the Mandatory Exercise Period has not yet occurred and which are not yet exercisable will be forfeited automatically and</w:t>
      </w:r>
    </w:p>
    <w:p>
      <w:pPr>
        <w:jc w:val="both"/>
        <w:ind w:left="4" w:right="20" w:hanging="4"/>
        <w:spacing w:after="0" w:line="255" w:lineRule="auto"/>
        <w:tabs>
          <w:tab w:leader="none" w:pos="2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awarded under this Award Agreement in respect of which the Mandatory Exercise Period has occurred and which are exercisable as of the date of Grantee’s termination of Employment or service will remain exercisable for a period of 90 days following the date of Grantee’s termination of Employment or services.</w:t>
      </w:r>
    </w:p>
    <w:p>
      <w:pPr>
        <w:spacing w:after="0" w:line="75" w:lineRule="exact"/>
        <w:rPr>
          <w:rFonts w:ascii="Times New Roman" w:cs="Times New Roman" w:eastAsia="Times New Roman" w:hAnsi="Times New Roman"/>
          <w:sz w:val="18"/>
          <w:szCs w:val="18"/>
          <w:color w:val="auto"/>
        </w:rPr>
      </w:pPr>
    </w:p>
    <w:p>
      <w:pPr>
        <w:jc w:val="both"/>
        <w:ind w:left="4" w:firstLine="1428"/>
        <w:spacing w:after="0" w:line="256" w:lineRule="auto"/>
        <w:tabs>
          <w:tab w:leader="none" w:pos="1781"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Employment without Cause or for Good Reason</w:t>
      </w:r>
      <w:r>
        <w:rPr>
          <w:rFonts w:ascii="Times New Roman" w:cs="Times New Roman" w:eastAsia="Times New Roman" w:hAnsi="Times New Roman"/>
          <w:sz w:val="18"/>
          <w:szCs w:val="18"/>
          <w:color w:val="auto"/>
        </w:rPr>
        <w:t>. Unless specifically provided otherwise in this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if Grantee ceases to be Employed due to a termination of Employment or services by the Company without Cause, by Grantee for Good Reason, or due to Grantee’s death or disability (as determined by the Committee in its sole discretion), (A) any Options awarded under this Award Agreement in respect of which the Mandatory Exercise Period has not yet occurred and which are not yet exercisable will be forfeited automatically and</w:t>
      </w:r>
    </w:p>
    <w:p>
      <w:pPr>
        <w:spacing w:after="0" w:line="1"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awarded under this Award Agreement in respect of which the Mandatory Exercise Period has occurred and which are exercisable as of the date of Grantee’s termination of Employment or service will remain exercisable for a period of 12 months following the date of Grantee’s termination of Employment or services.</w:t>
      </w:r>
    </w:p>
    <w:p>
      <w:pPr>
        <w:spacing w:after="0" w:line="18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48"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may exercise any exercisable Options in accordance with the Notice of Grant. Grantee may elect to give written notice to the Company of Grantee’s election to purchase all or any portion of any then-exercisable Options at the time of such notice. This notice shall specify the number of Shares to be purchased. Payment of the Exercise Price for the Option Shares shall be made by Grantee delivering to the Company a properly executed exercise notice or such other documents designated by the Company, or a third party designated by the Company, for exercise, and such payment of the Exercise Price shall be made by Grantee to the Company (i) in the case of any Exercise Price payable in respect of Mandatory Exercise Options, in cash or (ii) in the case of any Exercise Price payable in respect of Optional Exercise Options, (x) in cash or (y) by directing the Company to withhold such number of Shares otherwise issuable in connection with the exercise of the Optional Exercise Option having an aggregate fair market value equal to the Exercise Price. The delivery of Shares representing the Option Shares will be contingent upon the Company’s receipt from Grantee of full payment for the Option Shares, as set forth above and any agreement, statement or other evidence that the Company may require to satisfy itself that the issuance of Shares to be purchased pursuant to the exercise of Options under the Plan and any subsequent resale of the Shares will be in compliance with applicable laws and regulations.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8" w:right="439" w:bottom="1440" w:gutter="0" w:footer="0" w:header="0"/>
        </w:sectPr>
      </w:pPr>
    </w:p>
    <w:bookmarkStart w:id="9" w:name="page10"/>
    <w:bookmarkEnd w:id="9"/>
    <w:p>
      <w:pPr>
        <w:ind w:right="20" w:firstLine="987"/>
        <w:spacing w:after="0" w:line="282" w:lineRule="auto"/>
        <w:tabs>
          <w:tab w:leader="none" w:pos="12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hereof or of the Plan, no portion of the Options shall be exercisable after any applicable Expiration Date or Forfeiture Date.</w:t>
      </w:r>
    </w:p>
    <w:p>
      <w:pPr>
        <w:spacing w:after="0" w:line="161"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9" w:lineRule="exact"/>
        <w:rPr>
          <w:rFonts w:ascii="Times New Roman" w:cs="Times New Roman" w:eastAsia="Times New Roman" w:hAnsi="Times New Roman"/>
          <w:sz w:val="18"/>
          <w:szCs w:val="18"/>
          <w:color w:val="auto"/>
        </w:rPr>
      </w:pPr>
    </w:p>
    <w:p>
      <w:pPr>
        <w:jc w:val="both"/>
        <w:ind w:firstLine="436"/>
        <w:spacing w:after="0" w:line="257"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the requirements of Section 409A so that none of the Options provided under this Award Agreement or Shares issuable thereunder will be subject to the additional tax imposed under Section 409A, and any ambiguities or ambiguous terms herein will be interpreted to be so exempt or so comply. Each</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 payable under this Award Agreement is intended to constitute a separate payment for purposes of Treasury Regulations Section 1.409A-2(b)(2).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189" w:lineRule="exact"/>
        <w:rPr>
          <w:sz w:val="20"/>
          <w:szCs w:val="20"/>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987"/>
        <w:spacing w:after="0" w:line="252" w:lineRule="auto"/>
        <w:tabs>
          <w:tab w:leader="none" w:pos="126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Options, including, without limitation, (i) all federal, state, and local taxes (including Grantee’s Federal Insurance Contributions Act (FICA) obligations) that are required to be withheld by any Service Recipient or other payment of tax-related items related to the Award Agreement and legally applicable to Grantee, (ii) Grantee’s and, to the extent required by any Service Recipient, the Service Recipient’s fringe benefit tax liability, if any, associated with the grant, vesting, or exercise of the Options or sale of Shares, and (iii) any other Service Recipient taxes the responsibility for which Grantee has, or has agreed to bear, with respect to the Options (or exercise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Options, including, but not limited to, the grant, vesting or exercise of the Options, the subsequent sale of Shares acquired pursuant to such exercise and the receipt of any dividends or other distributions, and (B) makes any commitment to and is under any obligation to structure the terms of the grant or any aspect of the Options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required to withhold or account for Withholding Obligations (as defined below) in more than one jurisdiction.</w:t>
      </w:r>
    </w:p>
    <w:p>
      <w:pPr>
        <w:spacing w:after="0" w:line="117" w:lineRule="exact"/>
        <w:rPr>
          <w:sz w:val="20"/>
          <w:szCs w:val="20"/>
          <w:color w:val="auto"/>
        </w:rPr>
      </w:pPr>
    </w:p>
    <w:p>
      <w:pPr>
        <w:jc w:val="both"/>
        <w:ind w:right="20" w:firstLine="987"/>
        <w:spacing w:after="0" w:line="256" w:lineRule="auto"/>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withholding the amount of such Withholding Obligations from Grantee’s wages or other cash compensation paid to Grantee by the applicable Service Recipient(s), or (iii) such other means as the Committee deems appropriate.</w:t>
      </w:r>
    </w:p>
    <w:p>
      <w:pPr>
        <w:spacing w:after="0" w:line="7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3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75" w:lineRule="exact"/>
        <w:rPr>
          <w:rFonts w:ascii="Times New Roman" w:cs="Times New Roman" w:eastAsia="Times New Roman" w:hAnsi="Times New Roman"/>
          <w:sz w:val="18"/>
          <w:szCs w:val="18"/>
          <w:color w:val="auto"/>
        </w:rPr>
      </w:pPr>
    </w:p>
    <w:p>
      <w:pPr>
        <w:jc w:val="both"/>
        <w:ind w:firstLine="987"/>
        <w:spacing w:after="0" w:line="255" w:lineRule="auto"/>
        <w:tabs>
          <w:tab w:leader="none" w:pos="12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Options otherwise are scheduled to be exercised pursuant to Section 2 and the Notice of Grant or Grantee’s Withholding Obligations otherwise become due, Grantee permanently will forfeit such Options to which Grantee’s Withholding Obligation relates and any right to receive Shares thereunder and such Options will be returned to the Company at no cost to the Company. Grantee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jc w:val="both"/>
        <w:ind w:firstLine="436"/>
        <w:spacing w:after="0" w:line="258"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jc w:val="both"/>
        <w:ind w:firstLine="436"/>
        <w:spacing w:after="0" w:line="261" w:lineRule="auto"/>
        <w:tabs>
          <w:tab w:leader="none" w:pos="6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Grantee acknowledges and agrees that the exercisability of Options pursuant to the exercise schedule hereof is earned only by continuing Employment through the applicable exercise dates, which unless provided otherwise under applicable law, is at the will of the Company and not through the act of being hired, being granted this Option award, or acquiring Shares hereunder. Grantee further acknowledges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1" w:name="page12"/>
    <w:bookmarkEnd w:id="1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this Award Agreement, the transactions contemplated hereunder, and the exercise schedule set forth herein do not constitute an express or implied promise of continued engagement as a service provider for any period, or at all, and shall not interfere in any way with Grantee’s right or the right of any Service Recipient to terminate Grantee’s Employment, subject to applicable law, which termination, unless provided otherwise under applicable law or written agreement between Grantee and the Service Recipient, may be at any time, with or without cause.</w:t>
      </w:r>
    </w:p>
    <w:p>
      <w:pPr>
        <w:spacing w:after="0" w:line="180" w:lineRule="exact"/>
        <w:rPr>
          <w:sz w:val="20"/>
          <w:szCs w:val="20"/>
          <w:color w:val="auto"/>
        </w:rPr>
      </w:pPr>
    </w:p>
    <w:p>
      <w:pPr>
        <w:jc w:val="both"/>
        <w:ind w:right="20" w:firstLine="436"/>
        <w:spacing w:after="0" w:line="258"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4,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Options, Grantee acknowledges, understands and agrees that:</w:t>
      </w:r>
    </w:p>
    <w:p>
      <w:pPr>
        <w:spacing w:after="0" w:line="117" w:lineRule="exact"/>
        <w:rPr>
          <w:rFonts w:ascii="Times New Roman" w:cs="Times New Roman" w:eastAsia="Times New Roman" w:hAnsi="Times New Roman"/>
          <w:sz w:val="18"/>
          <w:szCs w:val="18"/>
          <w:color w:val="auto"/>
        </w:rPr>
      </w:pPr>
    </w:p>
    <w:p>
      <w:pPr>
        <w:ind w:right="20" w:firstLine="987"/>
        <w:spacing w:after="0" w:line="282" w:lineRule="auto"/>
        <w:tabs>
          <w:tab w:leader="none" w:pos="12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Options is voluntary and occasional and does not create any contractual or other right to receive future grants of Options, or benefits in lieu of Options, even if Options have been granted in the past;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Options or other grants, if any, will be at the sole discretion of the Administrator;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accepting this Award Agreement;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are not intended to replace any pension rights or compensation;</w:t>
      </w:r>
    </w:p>
    <w:p>
      <w:pPr>
        <w:spacing w:after="0" w:line="11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Options is unknown, indeterminable, and cannot be predicted with certainty;</w:t>
      </w:r>
    </w:p>
    <w:p>
      <w:pPr>
        <w:spacing w:after="0" w:line="117" w:lineRule="exact"/>
        <w:rPr>
          <w:rFonts w:ascii="Times New Roman" w:cs="Times New Roman" w:eastAsia="Times New Roman" w:hAnsi="Times New Roman"/>
          <w:sz w:val="18"/>
          <w:szCs w:val="18"/>
          <w:color w:val="auto"/>
        </w:rPr>
      </w:pPr>
    </w:p>
    <w:p>
      <w:pPr>
        <w:jc w:val="both"/>
        <w:ind w:firstLine="987"/>
        <w:spacing w:after="0" w:line="256" w:lineRule="auto"/>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Options, Grantee’s Employment status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Employed or the terms of Grantee’s employment or service agreement, if any), and unless otherwise expressly provided in this Award Agreement (including by reference in the Notice of Grant to other arrangements or contracts) or determined by the Committee, Grantee’s right to exercise the Options, if any, will terminate as of such date and will not be extended by any notice period (e.g., Grantee’s period of service would not include any contractual notice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or any period of “garden leave” or similar period mandated under employment laws in the jurisdiction where Grantee is Employed or the terms of Grantee’s employment or service agreement, if any, unless Grantee is providing bona fide services during such time); the Committee shall have the exclusive discretion to determine when Grantee is no longer actively providing services for purposes of this Award of Options (including whether Grantee may still be considered to be providing services while on a leave of absence and consistent with local law);</w:t>
      </w:r>
    </w:p>
    <w:p>
      <w:pPr>
        <w:spacing w:after="0" w:line="72" w:lineRule="exact"/>
        <w:rPr>
          <w:sz w:val="20"/>
          <w:szCs w:val="20"/>
          <w:color w:val="auto"/>
        </w:rPr>
      </w:pPr>
    </w:p>
    <w:p>
      <w:pPr>
        <w:jc w:val="both"/>
        <w:ind w:firstLine="987"/>
        <w:spacing w:after="0" w:line="266" w:lineRule="auto"/>
        <w:tabs>
          <w:tab w:leader="none" w:pos="12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Options and the benefits evidenced by this Award Agreement do not create any entitlement to have the Options or any such benefits transferred to, or assumed by, another company nor be exchanged, cashed out or substituted for, in connection with any corporate transaction affecting the Shares; and</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Grantee is providing services outside the United States:</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are not part of normal or expected compensation or salary for any purpose;</w:t>
      </w:r>
    </w:p>
    <w:p>
      <w:pPr>
        <w:spacing w:after="0" w:line="117"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1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no Service Recipient shall be liable for any foreign exchange rate fluctuation between Grantee’s local currency and the United States Dollar that may affect the value of the Options or the subsequent sale of any Shares acquired upon exercise; and</w:t>
      </w:r>
    </w:p>
    <w:p>
      <w:pPr>
        <w:spacing w:after="0" w:line="67" w:lineRule="exact"/>
        <w:rPr>
          <w:rFonts w:ascii="Times New Roman" w:cs="Times New Roman" w:eastAsia="Times New Roman" w:hAnsi="Times New Roman"/>
          <w:sz w:val="18"/>
          <w:szCs w:val="18"/>
          <w:color w:val="auto"/>
        </w:rPr>
      </w:pPr>
    </w:p>
    <w:p>
      <w:pPr>
        <w:jc w:val="both"/>
        <w:ind w:firstLine="1428"/>
        <w:spacing w:after="0" w:line="255" w:lineRule="auto"/>
        <w:tabs>
          <w:tab w:leader="none" w:pos="1753"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Options resulting from the termination of Grantee’s Employment (for any reason whatsoever whether or not later found to be invalid or in breach of employment laws in the jurisdiction where Grantee is Employed or the terms of Grantee’s employment or service agreement, if any), and in consideration of the grant of the Options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accepting this Award Agreement, Grantee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7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Grantee’s acquisition or sale of the Shares underlying the Options. Grantee is hereby advised to consult with his own personal tax, legal and financial advisers regarding this Award Agreement before taking any action related to the Award.</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7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Grantee hereby explicitly and unambiguously consents to the collection, use and transfer, in electronic or other form, of Grantee’s personal data as described in this Award Agreement and any other Option grant materials by and among, as applicable, the Service Recipients for the exclusive purpose of implementing, administering and managing Grantee’s acceptance of this Award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3" w:name="page14"/>
    <w:bookmarkEnd w:id="13"/>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Grantee’s favor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for the exclusive purpose of implementing, administering and managing the Award Agreement.</w:t>
      </w:r>
    </w:p>
    <w:p>
      <w:pPr>
        <w:spacing w:after="0" w:line="180"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Grantee understands that Data may be transferred to a stock plan service provider, as may be selected by the Company in the future, assisting the Company with the implementation, administration and management of the Award Agreement.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Award Agreement to receive, possess, use, retain and transfer the Data, in electronic or other form, for the sole purpose of implementing, administering and managing the Award Agreement. Grantee understands that Data will be held only as long as is necessary to implement, administer and manage the Award Agreement.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and career with the Service Recipient will not be adversely affected. The only adverse consequence of refusing or withdrawing Grantee’s consent is that the Company would not be able to grant Grantee Options or other equity awards or administer or maintain such awards. Therefore, Grantee understands that refusing or withdrawing his or her consent may affect Grantee’s ability to benefit from this Award Agreement. For more information on the consequences of Grantee’s refusal to consent or withdrawal of consent, Grantee understands that he or she may contact his or her local human resources representative.</w:t>
      </w:r>
    </w:p>
    <w:p>
      <w:pPr>
        <w:spacing w:after="0" w:line="193" w:lineRule="exact"/>
        <w:rPr>
          <w:sz w:val="20"/>
          <w:szCs w:val="20"/>
          <w:color w:val="auto"/>
        </w:rPr>
      </w:pPr>
    </w:p>
    <w:p>
      <w:pPr>
        <w:jc w:val="both"/>
        <w:ind w:right="20" w:firstLine="436"/>
        <w:spacing w:after="0" w:line="266" w:lineRule="auto"/>
        <w:tabs>
          <w:tab w:leader="none" w:pos="7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7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4" w:name="page15"/>
    <w:bookmarkEnd w:id="14"/>
    <w:p>
      <w:pPr>
        <w:jc w:val="both"/>
        <w:ind w:firstLine="436"/>
        <w:spacing w:after="0" w:line="253" w:lineRule="auto"/>
        <w:tabs>
          <w:tab w:leader="none" w:pos="7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Conditions to Issuance of Stock</w:t>
      </w:r>
      <w:r>
        <w:rPr>
          <w:rFonts w:ascii="Times New Roman" w:cs="Times New Roman" w:eastAsia="Times New Roman" w:hAnsi="Times New Roman"/>
          <w:sz w:val="18"/>
          <w:szCs w:val="18"/>
          <w:color w:val="auto"/>
        </w:rPr>
        <w:t>. This Award Agreement and the Options granted hereunder are subject to approval of the Options by the shareholders of the Company, and if such shareholder approval is not obtained, this Award Agreement and the Options granted hereunder shall be null and void.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Options as the Committee may establish from time to time for reasons of administrative convenience.</w:t>
      </w:r>
    </w:p>
    <w:p>
      <w:pPr>
        <w:spacing w:after="0" w:line="191" w:lineRule="exact"/>
        <w:rPr>
          <w:rFonts w:ascii="Times New Roman" w:cs="Times New Roman" w:eastAsia="Times New Roman" w:hAnsi="Times New Roman"/>
          <w:sz w:val="18"/>
          <w:szCs w:val="18"/>
          <w:color w:val="auto"/>
        </w:rPr>
      </w:pPr>
    </w:p>
    <w:p>
      <w:pPr>
        <w:ind w:right="20" w:firstLine="436"/>
        <w:spacing w:after="0" w:line="282" w:lineRule="auto"/>
        <w:tabs>
          <w:tab w:leader="none" w:pos="7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Grantee has received this Award Agreement or any other document related to the Award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jc w:val="both"/>
        <w:ind w:firstLine="436"/>
        <w:spacing w:after="0" w:line="256" w:lineRule="auto"/>
        <w:tabs>
          <w:tab w:leader="none" w:pos="7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Options have become exercisable).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this Award Agreement.</w:t>
      </w:r>
    </w:p>
    <w:p>
      <w:pPr>
        <w:spacing w:after="0" w:line="187"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Options awarded under this Award Agreement by electronic means or require Grantee to participate in the Award Agreement by electronic means. Grantee hereby consents to receive such documents by electronic delivery and agrees to participate in the Award Agreement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7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7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Option grant shall be subject to any special terms and conditions set forth in an appendix (if any) to this Award Agreement for any country whose laws are applicable to Grantee and this Award of Options (as determined by the Committee in its sole discretion) (the “</w:t>
      </w:r>
      <w:r>
        <w:rPr>
          <w:rFonts w:ascii="Times New Roman" w:cs="Times New Roman" w:eastAsia="Times New Roman" w:hAnsi="Times New Roman"/>
          <w:sz w:val="18"/>
          <w:szCs w:val="18"/>
          <w:u w:val="single" w:color="auto"/>
          <w:color w:val="auto"/>
        </w:rPr>
        <w:t>Country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5" w:name="page16"/>
    <w:bookmarkEnd w:id="15"/>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w:t>
      </w:r>
      <w:r>
        <w:rPr>
          <w:rFonts w:ascii="Times New Roman" w:cs="Times New Roman" w:eastAsia="Times New Roman" w:hAnsi="Times New Roman"/>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76" w:lineRule="exact"/>
        <w:rPr>
          <w:sz w:val="20"/>
          <w:szCs w:val="20"/>
          <w:color w:val="auto"/>
        </w:rPr>
      </w:pPr>
    </w:p>
    <w:p>
      <w:pPr>
        <w:jc w:val="both"/>
        <w:ind w:firstLine="436"/>
        <w:spacing w:after="0" w:line="256" w:lineRule="auto"/>
        <w:tabs>
          <w:tab w:leader="none" w:pos="7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Options.</w:t>
      </w:r>
    </w:p>
    <w:p>
      <w:pPr>
        <w:spacing w:after="0" w:line="187"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7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Options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5" w:lineRule="exact"/>
        <w:rPr>
          <w:rFonts w:ascii="Times New Roman" w:cs="Times New Roman" w:eastAsia="Times New Roman" w:hAnsi="Times New Roman"/>
          <w:sz w:val="18"/>
          <w:szCs w:val="18"/>
          <w:color w:val="auto"/>
        </w:rPr>
      </w:pPr>
    </w:p>
    <w:p>
      <w:pPr>
        <w:jc w:val="both"/>
        <w:ind w:firstLine="436"/>
        <w:spacing w:after="0" w:line="258" w:lineRule="auto"/>
        <w:tabs>
          <w:tab w:leader="none" w:pos="7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and conditions of the Plan are incorporated herein by reference (notwithstanding the Award Agreement is not granted under the Plan). The terms and conditions of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Award of Options granted to Grantee under the Plan if Grantee works or resides outside the U.S.. If Grantee is a citizen or resident of a country (or is considered as such for local law purposes) other than the one in which he or she is currently working or if Grantee relocates to another country after receiving the Award of Options, the Company will, in its discretion, determine the extent to which the terms and conditions contained herein will be applicable to Grantee.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capitalized terms used but not defined in this Country Addendum shall have the meanings set forth in the Plan, and/or the Award Agreement to which this Country Addendum is attached.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This Country Addendum also includes notifications relating to exchange control and other issues of which Grantee should be aware with respect to his or her participation in the Plan. The information is based on the exchange control, securities and other laws in effect in the countries listed in this Country Addendum, as of March 2025 (except as otherwise noted below). Such laws are often complex and change frequently. As a result, the Company strongly recommends that Grantee not rely on the notifications herein as the only source of information relating to the consequences of his or her participation in the Plan because the information may be outdated when Grantee exercises the Options and acquires Shares, or when Grantee subsequently sells Shares acquired under the Plan.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Grantee’s particular situation, and the Company is not in a position to assure Grantee of any particular result. Accordingly, Grantee is advised to seek appropriate professional advice as to how the relevant laws in Grantee’s country may apply to Grantee’s situation.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if Grantee is a citizen or resident of a country other than the one in which Grantee is currently working (or is considered as such for local law purposes) or if Grantee moves to another country after receiving the Award of Options, the information contained herein may not be applicable to Grantee.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17" w:name="page18"/>
    <w:bookmarkEnd w:id="17"/>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PROVISIONS APPLICABLE TO GRANTEES IN ALL COUNTRIES OTHER THAN THE UNITED STATES</w:t>
      </w:r>
    </w:p>
    <w:p>
      <w:pPr>
        <w:spacing w:after="0" w:line="225" w:lineRule="exact"/>
        <w:rPr>
          <w:rFonts w:ascii="Times New Roman" w:cs="Times New Roman" w:eastAsia="Times New Roman" w:hAnsi="Times New Roman"/>
          <w:sz w:val="18"/>
          <w:szCs w:val="18"/>
          <w:b w:val="1"/>
          <w:bCs w:val="1"/>
          <w:color w:val="auto"/>
        </w:rPr>
      </w:pPr>
    </w:p>
    <w:p>
      <w:pPr>
        <w:jc w:val="both"/>
        <w:ind w:left="4" w:right="20" w:firstLine="436"/>
        <w:spacing w:after="0" w:line="255" w:lineRule="auto"/>
        <w:tabs>
          <w:tab w:leader="none" w:pos="6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Exchange Considerations</w:t>
      </w:r>
      <w:r>
        <w:rPr>
          <w:rFonts w:ascii="Times New Roman" w:cs="Times New Roman" w:eastAsia="Times New Roman" w:hAnsi="Times New Roman"/>
          <w:sz w:val="18"/>
          <w:szCs w:val="18"/>
          <w:color w:val="auto"/>
        </w:rPr>
        <w:t>. Grantee understands and agrees that neither the Company, the Employer nor any Parent, Subsidiary,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Service Recipient shall be liable for any foreign exchange rate fluctuation between Grantee’s local currency and the U.S. dollar that may affect the value of the Options granted to Grantee, or of any amounts due to Grantee in connection with the Options or as a result of the subsequent sale of any Shares acquired upon exercise of the Options. Grantee agrees and acknowledges that Grantee will bear any and all risk associated with the exchange or fluctuation of currency associated with Grantee’s participation in the Plan. Grantee acknowledges and agrees that Grantee may be responsible for reporting inbound transactions or fund transfers that exceed a certain amount. Grantee is advised to seek appropriate professional advice as to how the applicable exchange control regulations apply to the Options and Grantee’s specific situation and understands that the relevant laws and regulations can change frequently and occasionally on a retroactive basis.</w:t>
      </w:r>
    </w:p>
    <w:p>
      <w:pPr>
        <w:spacing w:after="0" w:line="184" w:lineRule="exact"/>
        <w:rPr>
          <w:rFonts w:ascii="Times New Roman" w:cs="Times New Roman" w:eastAsia="Times New Roman" w:hAnsi="Times New Roman"/>
          <w:sz w:val="18"/>
          <w:szCs w:val="18"/>
          <w:color w:val="auto"/>
        </w:rPr>
      </w:pPr>
    </w:p>
    <w:p>
      <w:pPr>
        <w:ind w:left="4" w:right="20" w:firstLine="436"/>
        <w:spacing w:after="0" w:line="286" w:lineRule="auto"/>
        <w:tabs>
          <w:tab w:leader="none" w:pos="6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Acknowledgements</w:t>
      </w:r>
      <w:r>
        <w:rPr>
          <w:rFonts w:ascii="Times New Roman" w:cs="Times New Roman" w:eastAsia="Times New Roman" w:hAnsi="Times New Roman"/>
          <w:sz w:val="18"/>
          <w:szCs w:val="18"/>
          <w:color w:val="auto"/>
        </w:rPr>
        <w:t>. This section supplements Section 11(i) of Exhibit A of this Award Agreement: By accepting the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acknowledges, understands and agrees that:</w:t>
      </w:r>
    </w:p>
    <w:p>
      <w:pPr>
        <w:spacing w:after="0" w:line="50"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65"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income and value of same, are an extraordinary item which is outside the scope of Grantee’s employment or service contract, if any; and</w:t>
      </w:r>
    </w:p>
    <w:p>
      <w:pPr>
        <w:spacing w:after="0" w:line="53"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6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Grantee is not an employee of the Company or any Parent, Subsidiary, Grantee understands and agrees that neither the offer to participate in the Plan, nor Grantee’s participation in the Plan, will be interpreted to form an employment or service contract or relationship with the Company or any Parent, Subsidiary, and furthermore, nothing in the Plan, this Award Agreement nor Grantee’s participation in the Plan will be interpreted to form an employment or service contract with the Company or any Parent or Subsidiary.</w:t>
      </w:r>
    </w:p>
    <w:p>
      <w:pPr>
        <w:spacing w:after="0" w:line="175" w:lineRule="exact"/>
        <w:rPr>
          <w:rFonts w:ascii="Times New Roman" w:cs="Times New Roman" w:eastAsia="Times New Roman" w:hAnsi="Times New Roman"/>
          <w:sz w:val="18"/>
          <w:szCs w:val="18"/>
          <w:color w:val="auto"/>
        </w:rPr>
      </w:pPr>
    </w:p>
    <w:p>
      <w:pPr>
        <w:jc w:val="both"/>
        <w:ind w:left="4" w:firstLine="436"/>
        <w:spacing w:after="0" w:line="254" w:lineRule="auto"/>
        <w:tabs>
          <w:tab w:leader="none" w:pos="6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Restrictions/Market Abuse Laws</w:t>
      </w:r>
      <w:r>
        <w:rPr>
          <w:rFonts w:ascii="Times New Roman" w:cs="Times New Roman" w:eastAsia="Times New Roman" w:hAnsi="Times New Roman"/>
          <w:sz w:val="18"/>
          <w:szCs w:val="18"/>
          <w:color w:val="auto"/>
        </w:rPr>
        <w:t>. Grantee acknowledges that, if and when the Shares are publicly listed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depending on Grantee’s country, Grantee may be subject to insider trading restrictions and/or market abuse laws in applicable jurisdictions, which may affect Grantee’s ability to directly or indirectly, accept, acquire, sell or attempt to sell or otherwise dispose of Shares or rights to the Shares, or rights linked to the value of Shares during such times as Grantee is considered to have “inside information” regarding the Company (as defined by the laws and/or regulations in applicable jurisdictions or Grantee’s country). Local insider trading laws and regulations may prohibit the cancellation or amendment of orders placed by Grantee before possessing the inside information. Furthermore, Grantee may be prohibited from (i) disclosing inside information to any third party, including fellow employees and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are advised to speak to Grantee’s personal advisor on this matter.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66" w:right="439" w:bottom="1440" w:gutter="0" w:footer="0" w:header="0"/>
        </w:sectPr>
      </w:pPr>
    </w:p>
    <w:bookmarkStart w:id="18" w:name="page19"/>
    <w:bookmarkEnd w:id="18"/>
    <w:p>
      <w:pPr>
        <w:jc w:val="both"/>
        <w:ind w:left="4" w:firstLine="436"/>
        <w:spacing w:after="0" w:line="259" w:lineRule="auto"/>
        <w:tabs>
          <w:tab w:leader="none" w:pos="6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Asset/Account Reporting Requirements</w:t>
      </w:r>
      <w:r>
        <w:rPr>
          <w:rFonts w:ascii="Times New Roman" w:cs="Times New Roman" w:eastAsia="Times New Roman" w:hAnsi="Times New Roman"/>
          <w:sz w:val="18"/>
          <w:szCs w:val="18"/>
          <w:color w:val="auto"/>
        </w:rPr>
        <w:t>. Grantee acknowledges that there may be certain foreign asset and/or account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which may affect Grantee’s ability to hold Shares acquired under the Plan or cash received from participating in the Plan in a brokerage account outside Grantee’s country. Grantee may also be required to repatriate sale proceeds or other funds received as a result of participating in the Plan to Grantee’s country through a designated bank or broker within a certain time after receipt. It is Grantee’s responsibility to be compliant with such regulations and Grantee should speak with Grantee’s personal advisor on this matter.</w:t>
      </w:r>
    </w:p>
    <w:p>
      <w:pPr>
        <w:spacing w:after="0" w:line="179" w:lineRule="exact"/>
        <w:rPr>
          <w:rFonts w:ascii="Times New Roman" w:cs="Times New Roman" w:eastAsia="Times New Roman" w:hAnsi="Times New Roman"/>
          <w:sz w:val="18"/>
          <w:szCs w:val="18"/>
          <w:color w:val="auto"/>
        </w:rPr>
      </w:pPr>
    </w:p>
    <w:p>
      <w:pPr>
        <w:jc w:val="both"/>
        <w:ind w:left="4" w:right="20" w:firstLine="436"/>
        <w:spacing w:after="0" w:line="262" w:lineRule="auto"/>
        <w:tabs>
          <w:tab w:leader="none" w:pos="6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 Considerations</w:t>
      </w:r>
      <w:r>
        <w:rPr>
          <w:rFonts w:ascii="Times New Roman" w:cs="Times New Roman" w:eastAsia="Times New Roman" w:hAnsi="Times New Roman"/>
          <w:sz w:val="18"/>
          <w:szCs w:val="18"/>
          <w:color w:val="auto"/>
        </w:rPr>
        <w:t>. This provision supplements Section 7 of this Award Agreement: Tax Obligations shall include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social security, social insurances, national insurance contributions, social insurance contributions, payroll tax, fringe benefit, or other tax-related items related to Grantee’s participation in the Plan and legally applicable to Grantee including, without limitation, in connection with the grant of the Options, the acquisition or sale of Shares acquired under the Options and/or the receipt of any dividends on such Shares</w:t>
      </w:r>
      <w:r>
        <w:rPr>
          <w:rFonts w:ascii="Times New Roman" w:cs="Times New Roman" w:eastAsia="Times New Roman" w:hAnsi="Times New Roman"/>
          <w:sz w:val="18"/>
          <w:szCs w:val="18"/>
          <w:b w:val="1"/>
          <w:bCs w:val="1"/>
          <w:color w:val="auto"/>
        </w:rPr>
        <w:t>.</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 SPECIFIC PROVISIONS APPLICABLE TO GRANTEES IN THE IDENTIFIED COUNTRIES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21"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 Notification</w:t>
      </w:r>
      <w:r>
        <w:rPr>
          <w:rFonts w:ascii="Times New Roman" w:cs="Times New Roman" w:eastAsia="Times New Roman" w:hAnsi="Times New Roman"/>
          <w:sz w:val="18"/>
          <w:szCs w:val="18"/>
          <w:color w:val="auto"/>
        </w:rPr>
        <w:t>. The Options are being offered only to select Employees and Consultants of the Company and its Subsidiaries or Parents or the Employer. Any documents related to the Options, including the Plan, the Award Agreement, Notice of Grant, and any other grant documents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are intended for distribution only to such Grantees and must not be delivered to, or relied on by, any other person. The information contained in these Grant Documents does not constitute an offer of securities registered under the laws of the United Arab Emirates (“</w:t>
      </w:r>
      <w:r>
        <w:rPr>
          <w:rFonts w:ascii="Times New Roman" w:cs="Times New Roman" w:eastAsia="Times New Roman" w:hAnsi="Times New Roman"/>
          <w:sz w:val="18"/>
          <w:szCs w:val="18"/>
          <w:u w:val="single" w:color="auto"/>
          <w:color w:val="auto"/>
        </w:rPr>
        <w:t>UAE</w:t>
      </w:r>
      <w:r>
        <w:rPr>
          <w:rFonts w:ascii="Times New Roman" w:cs="Times New Roman" w:eastAsia="Times New Roman" w:hAnsi="Times New Roman"/>
          <w:sz w:val="18"/>
          <w:szCs w:val="18"/>
          <w:color w:val="auto"/>
        </w:rPr>
        <w:t>”) relating to funds, investments or otherwise. These Grant Documents (a) do not constitute a public offer, or an advertisement or solicitation to the general public; and (b) are intended only for the original recipients hereof to whom these documents are personally provided and may not be reproduced or used for any other purpose. The Plan is not offered or intended to be sold directly or indirectly to the public in the UAE.</w:t>
      </w:r>
    </w:p>
    <w:p>
      <w:pPr>
        <w:spacing w:after="0" w:line="189"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The UAE securities or financial/economic authorities have no responsibility for reviewing or verifying any Grant Documents and have not approved the Grant Documents nor taken steps to verify the information set out in them, and thus, are not responsible for their content.</w:t>
      </w:r>
    </w:p>
    <w:p>
      <w:pPr>
        <w:spacing w:after="0" w:line="162"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Grantee is aware that Grantee should, as a prospective stockholder, conduct his or her own due diligence on the securities. Grantee acknowledges that if he or she does not understand the contents of the Grant Documents, Grantee should consult an authorized financial advisor.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1"/>
      <w:numFmt w:val="decimal"/>
      <w:start w:val="1"/>
    </w:lvl>
    <w:lvl w:ilvl="1">
      <w:lvlJc w:val="left"/>
      <w:lvlText w:val="•"/>
      <w:numFmt w:val="bullet"/>
      <w:start w:val="1"/>
    </w:lvl>
  </w:abstractNum>
  <w:abstractNum w:abstractNumId="3">
    <w:nsid w:val="7FDCC233"/>
    <w:multiLevelType w:val="hybridMultilevel"/>
    <w:lvl w:ilvl="0">
      <w:lvlJc w:val="left"/>
      <w:lvlText w:val="2"/>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2"/>
    </w:lvl>
  </w:abstractNum>
  <w:abstractNum w:abstractNumId="7">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
    <w:nsid w:val="25E45D3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9">
    <w:nsid w:val="519B500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0">
    <w:nsid w:val="431BD7B7"/>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1">
    <w:nsid w:val="3F2DBA31"/>
    <w:multiLevelType w:val="hybridMultilevel"/>
    <w:lvl w:ilvl="0">
      <w:lvlJc w:val="left"/>
      <w:lvlText w:val="%1"/>
      <w:numFmt w:val="decimal"/>
      <w:start w:val="1"/>
    </w:lvl>
    <w:lvl w:ilvl="1">
      <w:lvlJc w:val="left"/>
      <w:lvlText w:val="(%2)"/>
      <w:numFmt w:val="lowerLetter"/>
      <w:start w:val="2"/>
    </w:lvl>
  </w:abstractNum>
  <w:abstractNum w:abstractNumId="12">
    <w:nsid w:val="7C83E458"/>
    <w:multiLevelType w:val="hybridMultilevel"/>
    <w:lvl w:ilvl="0">
      <w:lvlJc w:val="left"/>
      <w:lvlText w:val="%1."/>
      <w:numFmt w:val="decimal"/>
      <w:start w:val="4"/>
    </w:lvl>
    <w:lvl w:ilvl="1">
      <w:lvlJc w:val="left"/>
      <w:lvlText w:val="%2"/>
      <w:numFmt w:val="lowerLetter"/>
      <w:start w:val="1"/>
    </w:lvl>
  </w:abstractNum>
  <w:abstractNum w:abstractNumId="13">
    <w:nsid w:val="257130A3"/>
    <w:multiLevelType w:val="hybridMultilevel"/>
    <w:lvl w:ilvl="0">
      <w:lvlJc w:val="left"/>
      <w:lvlText w:val="%1."/>
      <w:numFmt w:val="decimal"/>
      <w:start w:val="6"/>
    </w:lvl>
    <w:lvl w:ilvl="1">
      <w:lvlJc w:val="left"/>
      <w:lvlText w:val="(%2)"/>
      <w:numFmt w:val="lowerLetter"/>
      <w:start w:val="1"/>
    </w:lvl>
  </w:abstractNum>
  <w:abstractNum w:abstractNumId="14">
    <w:nsid w:val="62BBD95A"/>
    <w:multiLevelType w:val="hybridMultilevel"/>
    <w:lvl w:ilvl="0">
      <w:lvlJc w:val="left"/>
      <w:lvlText w:val="%1"/>
      <w:numFmt w:val="decimal"/>
      <w:start w:val="1"/>
    </w:lvl>
    <w:lvl w:ilvl="1">
      <w:lvlJc w:val="left"/>
      <w:lvlText w:val="(%2)"/>
      <w:numFmt w:val="lowerLetter"/>
      <w:start w:val="2"/>
    </w:lvl>
  </w:abstractNum>
  <w:abstractNum w:abstractNumId="15">
    <w:nsid w:val="436C6125"/>
    <w:multiLevelType w:val="hybridMultilevel"/>
    <w:lvl w:ilvl="0">
      <w:lvlJc w:val="left"/>
      <w:lvlText w:val="%1."/>
      <w:numFmt w:val="decimal"/>
      <w:start w:val="7"/>
    </w:lvl>
    <w:lvl w:ilvl="1">
      <w:lvlJc w:val="left"/>
      <w:lvlText w:val="%2"/>
      <w:numFmt w:val="lowerLetter"/>
      <w:start w:val="1"/>
    </w:lvl>
  </w:abstractNum>
  <w:abstractNum w:abstractNumId="16">
    <w:nsid w:val="628C895D"/>
    <w:multiLevelType w:val="hybridMultilevel"/>
    <w:lvl w:ilvl="0">
      <w:lvlJc w:val="left"/>
      <w:lvlText w:val="%1."/>
      <w:numFmt w:val="decimal"/>
      <w:start w:val="9"/>
    </w:lvl>
    <w:lvl w:ilvl="1">
      <w:lvlJc w:val="left"/>
      <w:lvlText w:val="(%2)"/>
      <w:numFmt w:val="lowerLetter"/>
      <w:start w:val="1"/>
    </w:lvl>
  </w:abstractNum>
  <w:abstractNum w:abstractNumId="17">
    <w:nsid w:val="333AB105"/>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8">
    <w:nsid w:val="721DA31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9">
    <w:nsid w:val="2443A858"/>
    <w:multiLevelType w:val="hybridMultilevel"/>
    <w:lvl w:ilvl="0">
      <w:lvlJc w:val="left"/>
      <w:lvlText w:val="%1."/>
      <w:numFmt w:val="decimal"/>
      <w:start w:val="13"/>
    </w:lvl>
  </w:abstractNum>
  <w:abstractNum w:abstractNumId="20">
    <w:nsid w:val="2D1D5AE9"/>
    <w:multiLevelType w:val="hybridMultilevel"/>
    <w:lvl w:ilvl="0">
      <w:lvlJc w:val="left"/>
      <w:lvlText w:val="%1."/>
      <w:numFmt w:val="decimal"/>
      <w:start w:val="15"/>
    </w:lvl>
  </w:abstractNum>
  <w:abstractNum w:abstractNumId="21">
    <w:nsid w:val="6763845E"/>
    <w:multiLevelType w:val="hybridMultilevel"/>
    <w:lvl w:ilvl="0">
      <w:lvlJc w:val="left"/>
      <w:lvlText w:val="%1."/>
      <w:numFmt w:val="decimal"/>
      <w:start w:val="21"/>
    </w:lvl>
  </w:abstractNum>
  <w:abstractNum w:abstractNumId="22">
    <w:nsid w:val="75A2A8D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3">
    <w:nsid w:val="8EDBDAB"/>
    <w:multiLevelType w:val="hybridMultilevel"/>
    <w:lvl w:ilvl="0">
      <w:lvlJc w:val="left"/>
      <w:lvlText w:val="%1"/>
      <w:numFmt w:val="upperLetter"/>
      <w:start w:val="1"/>
    </w:lvl>
    <w:lvl w:ilvl="1">
      <w:lvlJc w:val="left"/>
      <w:lvlText w:val="%2."/>
      <w:numFmt w:val="decimal"/>
      <w:start w:val="4"/>
    </w:lvl>
  </w:abstractNum>
  <w:abstractNum w:abstractNumId="24">
    <w:nsid w:val="79838CB2"/>
    <w:multiLevelType w:val="hybridMultilevel"/>
    <w:lvl w:ilvl="0">
      <w:lvlJc w:val="left"/>
      <w:lvlText w:val="%1."/>
      <w:numFmt w:val="upperLetter"/>
      <w:start w:val="3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2025-11-03T14:53:40Z</dcterms:created>
  <dcterms:modified xsi:type="dcterms:W3CDTF">2025-11-03T14:53:40Z</dcterms:modified>
</cp:coreProperties>
</file>