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May 26, 2021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is a press release issued by VPC Impact Acquisition Holdings on May 26, 2021:</w:t>
      </w:r>
    </w:p>
    <w:p>
      <w:pPr>
        <w:spacing w:after="0" w:line="221"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VPC Impact Acquisition Holdings Announces Filing of Amendment No. 1 to the Registration Statement on SEC Form S-4 in Connection with its Proposed Business Combination with Bakkt Holdings, LLC</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Proposed Business Combination expected to close in June 2021</w:t>
      </w:r>
    </w:p>
    <w:p>
      <w:pPr>
        <w:spacing w:after="0" w:line="225"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CHICAGO – May 26, 2021 – VPC Impact Acquisition Holdings (NASDAQ: VIHAU, VIH and VIHAW) (“VIH”), announced today that it has filed with the U.S. Securities and Exchange Commission (“SEC”) Amendment No. 1 to the registration statement on Form S-4 (the “Registration Statement”), which includes a preliminary proxy statement of VIH with respect to the proposed business combination (the “Business Combination”) with Bakkt Holdings, LLC (“Bakkt”), a digital asset marketplace. The Registration Statement includes amendments intended to comply with the SEC’s recent guidance with respect to warrant accounting policies applicable to SPACs and represents further progress towards the closing of the Business Combination.</w:t>
      </w:r>
    </w:p>
    <w:p>
      <w:pPr>
        <w:spacing w:after="0" w:line="192"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Upon the consummation of the Business Combination, VIH is expected to be renamed “Bakkt Holdings, Inc.” Bakkt Holdings, Inc. is anticipated to become a NYSE-listed public company trading under the ticker symbol “BKKT.”</w:t>
      </w:r>
    </w:p>
    <w:p>
      <w:pPr>
        <w:spacing w:after="0" w:line="17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The Business Combination, which was announced on January 11, 2021, has been unanimously approved by the VIH Board of Directors and is expected to close in June 2021, subject to certain customary closing conditions, including VIH shareholder approval.</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PJ Solomon is serving as financial advisor and Wilson Sonsini Goodrich &amp; Rosati, P.C. and Shearman &amp; Sterling are serving as legal advisors to Bakkt.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Citigroup and Jefferies are serving as financial and capital markets advisors to VIH. White &amp; Case LLP is serving as legal advisor to VIH.</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San Francisco. Victory Park Capital is privately held and a Registered Investment Advisor with the SEC.</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Bakkt is a trusted digital asset marketplace that enables institutions and consumers to buy, sell, store and spend digital assets. Bakkt’s retail platform, now widely available through the new Bakkt App, amplifies consumer spending, reduces traditional payment costs and bolsters loyalty programs, adding value for all key stakeholders within the payments and digital assets ecosystem. Launched in 2018 by Intercontinental Exchange, Inc., Bakkt is headquartered in Atlanta, GA.</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connection with the Business Combination, VIH has filed the Registration Statement with the SEC, which includes a prospectus with respect to changing VIH’s jurisdiction of incorporation from the Cayman Islands to the State of Delaware and a proxy statement with respect to VIH’s shareholder meeting at which VIH shareholders will be asked to vote on the proposed Business Combination. VIH and Bakkt urge shareholders and other interested persons to read the Form S-4, as amended, including the proxy statement/prospectus, as well as other documents filed with the SEC, because these documents will contain important information about the Business Combination.</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When available, the definitive proxy statement/prospectus and other relevant materials for the Business Combination will be mailed to shareholders of VIH as of a record date to be established for voting on the Business Combination. VIH’s shareholders will also be able to obtain copies of the preliminary proxy statement/prospectus, the definitive proxy statement/prospectus and other documents filed with the SEC, without charge, once available,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These documents (when they are available) can also be obtained free of charge from VIH upon written request to VIH by emailing </w:t>
      </w:r>
      <w:r>
        <w:rPr>
          <w:rFonts w:ascii="Arial" w:cs="Arial" w:eastAsia="Arial" w:hAnsi="Arial"/>
          <w:sz w:val="18"/>
          <w:szCs w:val="18"/>
          <w:u w:val="single" w:color="auto"/>
          <w:color w:val="auto"/>
        </w:rPr>
        <w:t>vihinfo@victoryparkcapital.com</w:t>
      </w:r>
      <w:r>
        <w:rPr>
          <w:rFonts w:ascii="Arial" w:cs="Arial" w:eastAsia="Arial" w:hAnsi="Arial"/>
          <w:sz w:val="18"/>
          <w:szCs w:val="18"/>
          <w:color w:val="auto"/>
        </w:rPr>
        <w:t xml:space="preserve">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VIH, Bakkt and their respective directors, managers, executive officers and other members of their management and employees, under SEC rules, may be deemed to be participants in the solicitation of proxies of VIH shareholders in connection with the Business Combination. Information regarding the persons who may, under SEC rules, be deemed participants in the solicitation of proxies to VIH’s shareholders in connection with the Business Combination is set forth in the preliminary proxy statement/prospectus contained in the Form S-4, as amended, and will also be included in the definitive proxy statement/prospectus for the Business Combination when available. Information concerning the interests of VIH and Bakkt’s participants in the solicitation, which may, in some cases, be different than those of VIH and Bakkt’s equity holders generally, is also set forth in the proxy statement/prospectus contained in the Form S-4, as amended, and will also be included in the definitive proxy statement/prospectus for the Business Combination when available.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Such statements include, but are not limited to, statements about the timing of the closing of the Business Combination; our plans, objectives, expectations and intentions with respect to future operations;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ind w:left="4"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 failure to obtain approval of VIH’s shareholders,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w:t>
      </w:r>
    </w:p>
    <w:p>
      <w:pPr>
        <w:spacing w:after="0" w:line="2" w:lineRule="exact"/>
        <w:rPr>
          <w:sz w:val="20"/>
          <w:szCs w:val="20"/>
          <w:color w:val="auto"/>
        </w:rPr>
      </w:pPr>
    </w:p>
    <w:p>
      <w:pPr>
        <w:ind w:left="4" w:right="120" w:hanging="4"/>
        <w:spacing w:after="0" w:line="288" w:lineRule="auto"/>
        <w:tabs>
          <w:tab w:leader="none" w:pos="259"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disruption of management time from ongoing business operations due to the Business Combination;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and (x) risks relating to data security. The foregoing list of factors is not exhaustive. You should carefully consider the foregoing factors and the other risks and uncertainties described in the “Risk Factors” section of the Registration Statement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68" w:lineRule="exact"/>
        <w:rPr>
          <w:sz w:val="20"/>
          <w:szCs w:val="20"/>
          <w:color w:val="auto"/>
        </w:rPr>
      </w:pPr>
    </w:p>
    <w:p>
      <w:pPr>
        <w:ind w:left="4" w:right="100"/>
        <w:spacing w:after="0" w:line="288" w:lineRule="auto"/>
        <w:rPr>
          <w:sz w:val="20"/>
          <w:szCs w:val="20"/>
          <w:color w:val="auto"/>
        </w:rPr>
      </w:pPr>
      <w:r>
        <w:rPr>
          <w:rFonts w:ascii="Arial" w:cs="Arial" w:eastAsia="Arial" w:hAnsi="Arial"/>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VIH and Bakkt disclaim any intention or obligation to update any forward-looking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Bakkt: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BakktIR@edelman.com</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Rachel Ford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rachel.ford@bakkt.com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VIH: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vihinfo@victoryparkcapital.com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Julia Fisher (Sahin)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Julia.Fisher@edelman.com</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2021-05-26T07:43:57Z</dcterms:created>
  <dcterms:modified xsi:type="dcterms:W3CDTF">2021-05-26T07:43:57Z</dcterms:modified>
</cp:coreProperties>
</file>