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469966dposam.htm"/>
      <w:bookmarkStart w:id="1" w:name="ksd469966dposam"/>
      <w:bookmarkEnd w:id="0"/>
      <w:bookmarkEnd w:id="1"/>
      <w:r>
        <w:rPr>
          <w:rFonts w:ascii="Times New Roman" w:hAnsi="Times New Roman"/>
          <w:b/>
          <w:sz w:val="20"/>
        </w:rPr>
        <w:t xml:space="preserve">As filed with the Securities and Exchange Commission on April 20, 2023 </w:t>
      </w:r>
    </w:p>
    <w:p>
      <w:pPr>
        <w:pStyle w:val="TextBody"/>
        <w:spacing w:before="0" w:after="0"/>
        <w:jc w:val="right"/>
        <w:rPr>
          <w:rFonts w:ascii="Times New Roman" w:hAnsi="Times New Roman"/>
          <w:b/>
          <w:sz w:val="20"/>
        </w:rPr>
      </w:pPr>
      <w:r>
        <w:rPr>
          <w:rFonts w:ascii="Times New Roman" w:hAnsi="Times New Roman"/>
          <w:b/>
          <w:sz w:val="20"/>
        </w:rPr>
        <w:t xml:space="preserve">Registration No. 333-254935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8"/>
        </w:rPr>
      </w:pPr>
      <w:r>
        <w:rPr>
          <w:rFonts w:ascii="Times New Roman" w:hAnsi="Times New Roman"/>
          <w:b/>
          <w:sz w:val="28"/>
        </w:rPr>
        <w:t xml:space="preserve">POST-EFFECTIVE AMENDMENT NO. 2 </w:t>
      </w:r>
    </w:p>
    <w:p>
      <w:pPr>
        <w:pStyle w:val="TextBody"/>
        <w:spacing w:before="0" w:after="0"/>
        <w:jc w:val="center"/>
        <w:rPr>
          <w:rFonts w:ascii="Times New Roman" w:hAnsi="Times New Roman"/>
          <w:b/>
          <w:sz w:val="28"/>
        </w:rPr>
      </w:pPr>
      <w:r>
        <w:rPr>
          <w:rFonts w:ascii="Times New Roman" w:hAnsi="Times New Roman"/>
          <w:b/>
          <w:sz w:val="28"/>
        </w:rPr>
        <w:t xml:space="preserve">TO </w:t>
      </w:r>
    </w:p>
    <w:p>
      <w:pPr>
        <w:pStyle w:val="TextBody"/>
        <w:spacing w:before="0" w:after="0"/>
        <w:jc w:val="center"/>
        <w:rPr>
          <w:rFonts w:ascii="Times New Roman" w:hAnsi="Times New Roman"/>
          <w:b/>
          <w:sz w:val="36"/>
        </w:rPr>
      </w:pPr>
      <w:r>
        <w:rPr>
          <w:rFonts w:ascii="Times New Roman" w:hAnsi="Times New Roman"/>
          <w:b/>
          <w:sz w:val="36"/>
        </w:rPr>
        <w:t xml:space="preserve">FORM S-4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7389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b/>
              </w:rPr>
            </w:pPr>
            <w:r>
              <w:rPr>
                <w:b/>
              </w:rPr>
              <w:t>98-1550750</w:t>
            </w:r>
          </w:p>
        </w:tc>
      </w:tr>
      <w:tr>
        <w:trPr/>
        <w:tc>
          <w:tcPr>
            <w:tcW w:w="346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(Primary Standard Industrial</w:t>
            </w:r>
          </w:p>
          <w:p>
            <w:pPr>
              <w:pStyle w:val="TableContents"/>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Number)</w:t>
            </w:r>
          </w:p>
        </w:tc>
      </w:tr>
    </w:tbl>
    <w:p>
      <w:pPr>
        <w:pStyle w:val="TextBody"/>
        <w:spacing w:before="24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Gavin Michael </w:t>
      </w:r>
    </w:p>
    <w:p>
      <w:pPr>
        <w:pStyle w:val="TextBody"/>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i/>
          <w:sz w:val="20"/>
        </w:rPr>
      </w:pPr>
      <w:r>
        <w:rPr>
          <w:rFonts w:ascii="Times New Roman" w:hAnsi="Times New Roman"/>
          <w:b/>
          <w:i/>
          <w:sz w:val="20"/>
        </w:rPr>
        <w:t xml:space="preserve">Copies to:     </w:t>
      </w:r>
    </w:p>
    <w:tbl>
      <w:tblPr>
        <w:tblW w:w="5000" w:type="pct"/>
        <w:jc w:val="center"/>
        <w:tblInd w:w="0" w:type="dxa"/>
        <w:tblCellMar>
          <w:top w:w="0" w:type="dxa"/>
          <w:left w:w="0" w:type="dxa"/>
          <w:bottom w:w="0" w:type="dxa"/>
          <w:right w:w="0" w:type="dxa"/>
        </w:tblCellMar>
      </w:tblPr>
      <w:tblGrid>
        <w:gridCol w:w="5154"/>
        <w:gridCol w:w="103"/>
        <w:gridCol w:w="4948"/>
      </w:tblGrid>
      <w:tr>
        <w:trPr/>
        <w:tc>
          <w:tcPr>
            <w:tcW w:w="5154"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J. Matthew Lyons</w:t>
            </w:r>
          </w:p>
          <w:p>
            <w:pPr>
              <w:pStyle w:val="TableContents"/>
              <w:spacing w:before="0" w:after="0"/>
              <w:jc w:val="center"/>
              <w:rPr>
                <w:rFonts w:ascii="Times New Roman" w:hAnsi="Times New Roman"/>
                <w:b/>
                <w:sz w:val="20"/>
              </w:rPr>
            </w:pPr>
            <w:r>
              <w:rPr>
                <w:rFonts w:ascii="Times New Roman" w:hAnsi="Times New Roman"/>
                <w:b/>
                <w:sz w:val="20"/>
              </w:rPr>
              <w:t>Austin D. March</w:t>
            </w:r>
          </w:p>
          <w:p>
            <w:pPr>
              <w:pStyle w:val="TableContents"/>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spacing w:before="0" w:after="0"/>
              <w:jc w:val="center"/>
              <w:rPr>
                <w:rFonts w:ascii="Times New Roman" w:hAnsi="Times New Roman"/>
                <w:b/>
                <w:sz w:val="20"/>
              </w:rPr>
            </w:pPr>
            <w:r>
              <w:rPr>
                <w:rFonts w:ascii="Times New Roman" w:hAnsi="Times New Roman"/>
                <w:b/>
                <w:sz w:val="20"/>
              </w:rPr>
              <w:t>900 S. Capital of Texas Highway</w:t>
            </w:r>
          </w:p>
          <w:p>
            <w:pPr>
              <w:pStyle w:val="TableContents"/>
              <w:spacing w:before="0" w:after="0"/>
              <w:jc w:val="center"/>
              <w:rPr>
                <w:rFonts w:ascii="Times New Roman" w:hAnsi="Times New Roman"/>
                <w:b/>
                <w:sz w:val="20"/>
              </w:rPr>
            </w:pPr>
            <w:r>
              <w:rPr>
                <w:rFonts w:ascii="Times New Roman" w:hAnsi="Times New Roman"/>
                <w:b/>
                <w:sz w:val="20"/>
              </w:rPr>
              <w:t>Las Cimas IV, 5th Floor</w:t>
            </w:r>
          </w:p>
          <w:p>
            <w:pPr>
              <w:pStyle w:val="TableContents"/>
              <w:spacing w:before="0" w:after="0"/>
              <w:jc w:val="center"/>
              <w:rPr>
                <w:rFonts w:ascii="Times New Roman" w:hAnsi="Times New Roman"/>
                <w:b/>
                <w:sz w:val="20"/>
              </w:rPr>
            </w:pPr>
            <w:r>
              <w:rPr>
                <w:rFonts w:ascii="Times New Roman" w:hAnsi="Times New Roman"/>
                <w:b/>
                <w:sz w:val="20"/>
              </w:rPr>
              <w:t>Austin, TX 78746</w:t>
            </w:r>
          </w:p>
          <w:p>
            <w:pPr>
              <w:pStyle w:val="TableContents"/>
              <w:spacing w:before="0" w:after="20"/>
              <w:jc w:val="center"/>
              <w:rPr>
                <w:rFonts w:ascii="Times New Roman" w:hAnsi="Times New Roman"/>
                <w:b/>
                <w:sz w:val="20"/>
              </w:rPr>
            </w:pPr>
            <w:r>
              <w:rPr>
                <w:rFonts w:ascii="Times New Roman" w:hAnsi="Times New Roman"/>
                <w:b/>
                <w:sz w:val="20"/>
              </w:rPr>
              <w:t>(512) 338-5400</w:t>
            </w:r>
          </w:p>
        </w:tc>
        <w:tc>
          <w:tcPr>
            <w:tcW w:w="103"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Marc DAnnunzio</w:t>
            </w:r>
          </w:p>
          <w:p>
            <w:pPr>
              <w:pStyle w:val="TableContents"/>
              <w:spacing w:before="0" w:after="0"/>
              <w:jc w:val="center"/>
              <w:rPr>
                <w:rFonts w:ascii="Times New Roman" w:hAnsi="Times New Roman"/>
                <w:b/>
                <w:sz w:val="20"/>
              </w:rPr>
            </w:pPr>
            <w:r>
              <w:rPr>
                <w:rFonts w:ascii="Times New Roman" w:hAnsi="Times New Roman"/>
                <w:b/>
                <w:sz w:val="20"/>
              </w:rPr>
              <w:t>General Counsel</w:t>
            </w:r>
          </w:p>
          <w:p>
            <w:pPr>
              <w:pStyle w:val="TableContents"/>
              <w:spacing w:before="0" w:after="0"/>
              <w:jc w:val="center"/>
              <w:rPr>
                <w:rFonts w:ascii="Times New Roman" w:hAnsi="Times New Roman"/>
                <w:b/>
                <w:sz w:val="20"/>
              </w:rPr>
            </w:pPr>
            <w:r>
              <w:rPr>
                <w:rFonts w:ascii="Times New Roman" w:hAnsi="Times New Roman"/>
                <w:b/>
                <w:sz w:val="20"/>
              </w:rPr>
              <w:t>10000 Avalon Boulevard, Suite 1000</w:t>
            </w:r>
          </w:p>
          <w:p>
            <w:pPr>
              <w:pStyle w:val="TableContents"/>
              <w:spacing w:before="0" w:after="0"/>
              <w:jc w:val="center"/>
              <w:rPr>
                <w:rFonts w:ascii="Times New Roman" w:hAnsi="Times New Roman"/>
                <w:b/>
                <w:sz w:val="20"/>
              </w:rPr>
            </w:pPr>
            <w:r>
              <w:rPr>
                <w:rFonts w:ascii="Times New Roman" w:hAnsi="Times New Roman"/>
                <w:b/>
                <w:sz w:val="20"/>
              </w:rPr>
              <w:t>Alpharetta, Georgia 30009</w:t>
            </w:r>
          </w:p>
          <w:p>
            <w:pPr>
              <w:pStyle w:val="TableContents"/>
              <w:spacing w:before="0" w:after="20"/>
              <w:jc w:val="center"/>
              <w:rPr>
                <w:rFonts w:ascii="Times New Roman" w:hAnsi="Times New Roman"/>
                <w:b/>
                <w:sz w:val="20"/>
              </w:rPr>
            </w:pPr>
            <w:r>
              <w:rPr>
                <w:rFonts w:ascii="Times New Roman" w:hAnsi="Times New Roman"/>
                <w:b/>
                <w:sz w:val="20"/>
              </w:rPr>
              <w:t>(678) 534-5849</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b/>
          <w:sz w:val="20"/>
        </w:rPr>
        <w:t xml:space="preserve">Approximate date of commencement of proposed sale to the public: </w:t>
      </w:r>
      <w:r>
        <w:rPr>
          <w:rFonts w:ascii="Times New Roman" w:hAnsi="Times New Roman"/>
          <w:sz w:val="20"/>
        </w:rPr>
        <w:t xml:space="preserve">Not applicable. </w:t>
      </w:r>
    </w:p>
    <w:p>
      <w:pPr>
        <w:pStyle w:val="TextBody"/>
        <w:spacing w:before="120" w:after="0"/>
        <w:jc w:val="left"/>
        <w:rPr>
          <w:rFonts w:ascii="Times New Roman" w:hAnsi="Times New Roman"/>
          <w:sz w:val="20"/>
        </w:rPr>
      </w:pPr>
      <w:r>
        <w:rPr>
          <w:rFonts w:ascii="Times New Roman" w:hAnsi="Times New Roman"/>
          <w:sz w:val="20"/>
        </w:rPr>
        <w:t xml:space="preserve">If the securities being registered on this Form are to be offered in connection with the formation of a holding company and there is compliance with General Instruction G, check the following box.  ☐ </w:t>
      </w:r>
    </w:p>
    <w:p>
      <w:pPr>
        <w:pStyle w:val="TextBody"/>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4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pPr>
            <w:r>
              <w:rPr/>
              <w:t>☒</w:t>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r>
        <w:trPr>
          <w:trHeight w:val="120" w:hRule="atLeast"/>
        </w:trPr>
        <w:tc>
          <w:tcPr>
            <w:tcW w:w="2137" w:type="dxa"/>
            <w:tcBorders/>
            <w:shd w:fill="auto" w:val="clear"/>
            <w:vAlign w:val="center"/>
          </w:tcPr>
          <w:p>
            <w:pPr>
              <w:pStyle w:val="TableContents"/>
              <w:spacing w:before="0" w:after="283"/>
              <w:rPr>
                <w:sz w:val="4"/>
                <w:szCs w:val="4"/>
              </w:rPr>
            </w:pPr>
            <w:r>
              <w:rPr>
                <w:sz w:val="4"/>
                <w:szCs w:val="4"/>
              </w:rPr>
            </w:r>
          </w:p>
        </w:tc>
        <w:tc>
          <w:tcPr>
            <w:tcW w:w="4952" w:type="dxa"/>
            <w:gridSpan w:val="2"/>
            <w:tcBorders/>
            <w:shd w:fill="auto" w:val="clear"/>
            <w:vAlign w:val="center"/>
          </w:tcPr>
          <w:p>
            <w:pPr>
              <w:pStyle w:val="TableContents"/>
              <w:spacing w:before="0" w:after="283"/>
              <w:rPr>
                <w:sz w:val="4"/>
                <w:szCs w:val="4"/>
              </w:rPr>
            </w:pPr>
            <w:r>
              <w:rPr>
                <w:sz w:val="4"/>
                <w:szCs w:val="4"/>
              </w:rPr>
            </w:r>
          </w:p>
        </w:tc>
        <w:tc>
          <w:tcPr>
            <w:tcW w:w="2763" w:type="dxa"/>
            <w:gridSpan w:val="2"/>
            <w:tcBorders/>
            <w:shd w:fill="auto" w:val="clear"/>
            <w:vAlign w:val="center"/>
          </w:tcPr>
          <w:p>
            <w:pPr>
              <w:pStyle w:val="TableContents"/>
              <w:spacing w:before="0" w:after="283"/>
              <w:rPr>
                <w:sz w:val="4"/>
                <w:szCs w:val="4"/>
              </w:rPr>
            </w:pPr>
            <w:r>
              <w:rPr>
                <w:sz w:val="4"/>
                <w:szCs w:val="4"/>
              </w:rPr>
            </w:r>
          </w:p>
        </w:tc>
        <w:tc>
          <w:tcPr>
            <w:tcW w:w="353" w:type="dxa"/>
            <w:gridSpan w:val="2"/>
            <w:tcBorders/>
            <w:shd w:fill="auto" w:val="clear"/>
            <w:vAlign w:val="center"/>
          </w:tcPr>
          <w:p>
            <w:pPr>
              <w:pStyle w:val="TableContents"/>
              <w:spacing w:before="0" w:after="283"/>
              <w:rPr>
                <w:sz w:val="4"/>
                <w:szCs w:val="4"/>
              </w:rPr>
            </w:pPr>
            <w:r>
              <w:rPr>
                <w:sz w:val="4"/>
                <w:szCs w:val="4"/>
              </w:rPr>
            </w:r>
          </w:p>
        </w:tc>
      </w:tr>
      <w:tr>
        <w:trPr/>
        <w:tc>
          <w:tcPr>
            <w:tcW w:w="213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49"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pPr>
            <w:r>
              <w:rPr/>
              <w:t>  </w:t>
            </w:r>
          </w:p>
        </w:tc>
        <w:tc>
          <w:tcPr>
            <w:tcW w:w="264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spacing w:before="240" w:after="0"/>
        <w:jc w:val="left"/>
        <w:rPr>
          <w:rFonts w:ascii="Times New Roman" w:hAnsi="Times New Roman"/>
          <w:sz w:val="20"/>
        </w:rPr>
      </w:pPr>
      <w:r>
        <w:rPr>
          <w:rFonts w:ascii="Times New Roman" w:hAnsi="Times New Roman"/>
          <w:sz w:val="20"/>
        </w:rPr>
        <w:t xml:space="preserve">If applicable, place an X in the box to designate the appropriate rule provision relied upon in conducting this transaction: </w:t>
      </w:r>
    </w:p>
    <w:p>
      <w:pPr>
        <w:pStyle w:val="TextBody"/>
        <w:spacing w:before="120" w:after="0"/>
        <w:jc w:val="left"/>
        <w:rPr>
          <w:rFonts w:ascii="Times New Roman" w:hAnsi="Times New Roman"/>
          <w:sz w:val="20"/>
        </w:rPr>
      </w:pPr>
      <w:r>
        <w:rPr>
          <w:rFonts w:ascii="Times New Roman" w:hAnsi="Times New Roman"/>
          <w:sz w:val="20"/>
        </w:rPr>
        <w:t xml:space="preserve">Exchange Act Rule 13e-4(i) (Cross-Border Issuer Tender Offer)  ☐ </w:t>
      </w:r>
    </w:p>
    <w:p>
      <w:pPr>
        <w:pStyle w:val="TextBody"/>
        <w:spacing w:before="240" w:after="0"/>
        <w:jc w:val="left"/>
        <w:rPr>
          <w:rFonts w:ascii="Times New Roman" w:hAnsi="Times New Roman"/>
          <w:sz w:val="20"/>
        </w:rPr>
      </w:pPr>
      <w:r>
        <w:rPr>
          <w:rFonts w:ascii="Times New Roman" w:hAnsi="Times New Roman"/>
          <w:sz w:val="20"/>
        </w:rPr>
        <w:t xml:space="preserve">Exchange Act Rule 14d-1(d) (Cross-Border Third-Party Tender Offer)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EXPLANATORY NOTE </w:t>
      </w:r>
    </w:p>
    <w:p>
      <w:pPr>
        <w:pStyle w:val="TextBody"/>
        <w:spacing w:before="240" w:after="0"/>
        <w:jc w:val="left"/>
        <w:rPr>
          <w:rFonts w:ascii="Times New Roman" w:hAnsi="Times New Roman"/>
          <w:sz w:val="20"/>
        </w:rPr>
      </w:pPr>
      <w:r>
        <w:rPr>
          <w:rFonts w:ascii="Times New Roman" w:hAnsi="Times New Roman"/>
          <w:sz w:val="20"/>
        </w:rPr>
        <w:t xml:space="preserve">This Post-Effective Amendment No. 2 to Form S-4 (the Post-Effective Amendment No. 2) amends the Registration Statement on Form S-4 of Bakkt Holdings, Inc. (the Registrant) (File No. 333-254935), as amended prior to the date hereto (the Registration Statement), which was initially declared effective by the Securities and Exchange Commission (the Commission) on September 17, 2021. </w:t>
      </w:r>
    </w:p>
    <w:p>
      <w:pPr>
        <w:pStyle w:val="TextBody"/>
        <w:spacing w:before="240" w:after="0"/>
        <w:jc w:val="left"/>
        <w:rPr>
          <w:rFonts w:ascii="Times New Roman" w:hAnsi="Times New Roman"/>
          <w:sz w:val="20"/>
        </w:rPr>
      </w:pPr>
      <w:r>
        <w:rPr>
          <w:rFonts w:ascii="Times New Roman" w:hAnsi="Times New Roman"/>
          <w:sz w:val="20"/>
        </w:rPr>
        <w:t xml:space="preserve">At the time that the Registration Statement was initially declared effective, the Registration Statement registered, among other things, the offering of 10,368,601 shares of Class A common stock of the Registrant (the Underlying Shares) that were issuable upon the exercise of 10,368,601 public warrants of the Registrant (the Public Warrants). </w:t>
      </w:r>
    </w:p>
    <w:p>
      <w:pPr>
        <w:pStyle w:val="TextBody"/>
        <w:spacing w:before="240" w:after="0"/>
        <w:jc w:val="left"/>
        <w:rPr>
          <w:rFonts w:ascii="Times New Roman" w:hAnsi="Times New Roman"/>
          <w:sz w:val="20"/>
        </w:rPr>
      </w:pPr>
      <w:r>
        <w:rPr>
          <w:rFonts w:ascii="Times New Roman" w:hAnsi="Times New Roman"/>
          <w:sz w:val="20"/>
        </w:rPr>
        <w:t xml:space="preserve">This Post-Effective Amendment No. 2 is being filed to remove from registration the previously registered Underlying Shares covered by the Registration Statement, 3,227,793 of which have been sold. The Registrant hereby requests that the 10,368,601 Underlying Shares issuable on exercise of the Public Warrants be removed from registration by means of this Post-Effective Amendment No. 2. </w:t>
      </w:r>
    </w:p>
    <w:p>
      <w:pPr>
        <w:pStyle w:val="TextBody"/>
        <w:spacing w:before="240" w:after="0"/>
        <w:jc w:val="left"/>
        <w:rPr>
          <w:rFonts w:ascii="Times New Roman" w:hAnsi="Times New Roman"/>
          <w:sz w:val="20"/>
        </w:rPr>
      </w:pPr>
      <w:r>
        <w:rPr>
          <w:rFonts w:ascii="Times New Roman" w:hAnsi="Times New Roman"/>
          <w:sz w:val="20"/>
        </w:rPr>
        <w:t xml:space="preserve">A total of 7,140,808 Underlying Shares are being registered under a registration statement on Form S-3 initially filed with the Commission on April 20, 2023, which the Registrant intends to request that the Staff of the Commission declare effective as soon as practicable following the effectiveness of this Post-Effective Amendment No.2. </w:t>
      </w:r>
    </w:p>
    <w:p>
      <w:pPr>
        <w:pStyle w:val="TextBody"/>
        <w:spacing w:before="240" w:after="0"/>
        <w:jc w:val="left"/>
        <w:rPr>
          <w:rFonts w:ascii="Times New Roman" w:hAnsi="Times New Roman"/>
          <w:sz w:val="20"/>
        </w:rPr>
      </w:pPr>
      <w:r>
        <w:rPr>
          <w:rFonts w:ascii="Times New Roman" w:hAnsi="Times New Roman"/>
          <w:sz w:val="20"/>
        </w:rPr>
        <w:t xml:space="preserve">No additional securities are being registered under this Post-Effective Amendment No. 2 and all applicable registration and filing fees were paid in connection with prior filings of the Registration Statement.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Post-Effective Amendment No. 2 to the Registration Statement to be signed on its behalf by the undersigned, thereunto duly authorized in the City of Alpharetta, State of Georgia, on April 20,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4"/>
        <w:gridCol w:w="61"/>
        <w:gridCol w:w="3627"/>
      </w:tblGrid>
      <w:tr>
        <w:trPr/>
        <w:tc>
          <w:tcPr>
            <w:tcW w:w="394"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2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BAKKT HOLDINGS, INC.</w:t>
            </w:r>
          </w:p>
        </w:tc>
      </w:tr>
      <w:tr>
        <w:trPr>
          <w:trHeight w:val="240" w:hRule="atLeast"/>
        </w:trPr>
        <w:tc>
          <w:tcPr>
            <w:tcW w:w="394" w:type="dxa"/>
            <w:tcBorders/>
            <w:shd w:fill="auto" w:val="clear"/>
            <w:vAlign w:val="center"/>
          </w:tcPr>
          <w:p>
            <w:pPr>
              <w:pStyle w:val="TableContents"/>
              <w:spacing w:before="0" w:after="283"/>
              <w:rPr>
                <w:sz w:val="4"/>
                <w:szCs w:val="4"/>
              </w:rPr>
            </w:pPr>
            <w:r>
              <w:rPr>
                <w:sz w:val="4"/>
                <w:szCs w:val="4"/>
              </w:rPr>
            </w:r>
          </w:p>
        </w:tc>
        <w:tc>
          <w:tcPr>
            <w:tcW w:w="3688" w:type="dxa"/>
            <w:gridSpan w:val="2"/>
            <w:tcBorders/>
            <w:shd w:fill="auto" w:val="clear"/>
            <w:vAlign w:val="center"/>
          </w:tcPr>
          <w:p>
            <w:pPr>
              <w:pStyle w:val="TableContents"/>
              <w:spacing w:before="0" w:after="283"/>
              <w:rPr>
                <w:sz w:val="4"/>
                <w:szCs w:val="4"/>
              </w:rPr>
            </w:pPr>
            <w:r>
              <w:rPr>
                <w:sz w:val="4"/>
                <w:szCs w:val="4"/>
              </w:rPr>
            </w:r>
          </w:p>
        </w:tc>
      </w:tr>
      <w:tr>
        <w:trPr/>
        <w:tc>
          <w:tcPr>
            <w:tcW w:w="394"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spacing w:before="0" w:after="283"/>
              <w:rPr/>
            </w:pPr>
            <w:r>
              <w:rPr/>
              <w:t>Gavin Michael</w:t>
            </w:r>
          </w:p>
        </w:tc>
      </w:tr>
      <w:tr>
        <w:trPr/>
        <w:tc>
          <w:tcPr>
            <w:tcW w:w="394"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27" w:type="dxa"/>
            <w:tcBorders/>
            <w:shd w:fill="auto" w:val="clear"/>
          </w:tcPr>
          <w:p>
            <w:pPr>
              <w:pStyle w:val="TableContents"/>
              <w:spacing w:before="0" w:after="283"/>
              <w:rPr/>
            </w:pPr>
            <w:r>
              <w:rPr/>
              <w:t>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April 20,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75"/>
        <w:gridCol w:w="121"/>
        <w:gridCol w:w="4909"/>
      </w:tblGrid>
      <w:tr>
        <w:trPr/>
        <w:tc>
          <w:tcPr>
            <w:tcW w:w="517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909" w:type="dxa"/>
            <w:tcBorders/>
            <w:shd w:fill="auto" w:val="clear"/>
            <w:vAlign w:val="center"/>
          </w:tcPr>
          <w:p>
            <w:pPr>
              <w:pStyle w:val="TableContents"/>
              <w:spacing w:before="0" w:after="283"/>
              <w:rPr>
                <w:sz w:val="4"/>
                <w:szCs w:val="4"/>
              </w:rPr>
            </w:pPr>
            <w:r>
              <w:rPr>
                <w:sz w:val="4"/>
                <w:szCs w:val="4"/>
              </w:rPr>
            </w:r>
          </w:p>
        </w:tc>
      </w:tr>
      <w:tr>
        <w:trPr/>
        <w:tc>
          <w:tcPr>
            <w:tcW w:w="517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1" w:type="dxa"/>
            <w:tcBorders/>
            <w:shd w:fill="auto" w:val="clear"/>
            <w:vAlign w:val="bottom"/>
          </w:tcPr>
          <w:p>
            <w:pPr>
              <w:pStyle w:val="TableContents"/>
              <w:spacing w:before="0" w:after="283"/>
              <w:rPr/>
            </w:pPr>
            <w:r>
              <w:rPr/>
              <w:t>  </w:t>
            </w:r>
          </w:p>
        </w:tc>
        <w:tc>
          <w:tcPr>
            <w:tcW w:w="490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Gavin Michael</w:t>
            </w:r>
          </w:p>
          <w:p>
            <w:pPr>
              <w:pStyle w:val="TableContents"/>
              <w:spacing w:before="0" w:after="20"/>
              <w:jc w:val="center"/>
              <w:rPr>
                <w:rFonts w:ascii="Times New Roman" w:hAnsi="Times New Roman"/>
                <w:sz w:val="20"/>
              </w:rPr>
            </w:pPr>
            <w:r>
              <w:rPr>
                <w:rFonts w:ascii="Times New Roman" w:hAnsi="Times New Roman"/>
                <w:sz w:val="20"/>
              </w:rPr>
              <w:t>Gavin Michael</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0"/>
              <w:rPr>
                <w:rFonts w:ascii="Times New Roman" w:hAnsi="Times New Roman"/>
                <w:sz w:val="20"/>
              </w:rPr>
            </w:pPr>
            <w:r>
              <w:rPr>
                <w:rFonts w:ascii="Times New Roman" w:hAnsi="Times New Roman"/>
                <w:sz w:val="20"/>
              </w:rPr>
              <w:t>Chief Executive Officer and Director</w:t>
            </w:r>
          </w:p>
          <w:p>
            <w:pPr>
              <w:pStyle w:val="TableContents"/>
              <w:spacing w:before="0" w:after="20"/>
              <w:rPr>
                <w:rFonts w:ascii="Times New Roman" w:hAnsi="Times New Roman"/>
                <w:sz w:val="20"/>
              </w:rPr>
            </w:pPr>
            <w:r>
              <w:rPr>
                <w:rFonts w:ascii="Times New Roman" w:hAnsi="Times New Roman"/>
                <w:sz w:val="20"/>
              </w:rPr>
              <w:t>(Principal Executive Officer)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Karen Alexander</w:t>
            </w:r>
          </w:p>
          <w:p>
            <w:pPr>
              <w:pStyle w:val="TableContents"/>
              <w:spacing w:before="0" w:after="20"/>
              <w:jc w:val="center"/>
              <w:rPr>
                <w:rFonts w:ascii="Times New Roman" w:hAnsi="Times New Roman"/>
                <w:sz w:val="20"/>
              </w:rPr>
            </w:pPr>
            <w:r>
              <w:rPr>
                <w:rFonts w:ascii="Times New Roman" w:hAnsi="Times New Roman"/>
                <w:sz w:val="20"/>
              </w:rPr>
              <w:t>Karen Alexander</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Officer)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Charles Goodroe</w:t>
            </w:r>
          </w:p>
          <w:p>
            <w:pPr>
              <w:pStyle w:val="TableContents"/>
              <w:spacing w:before="0" w:after="20"/>
              <w:jc w:val="center"/>
              <w:rPr>
                <w:rFonts w:ascii="Times New Roman" w:hAnsi="Times New Roman"/>
                <w:sz w:val="20"/>
              </w:rPr>
            </w:pPr>
            <w:r>
              <w:rPr>
                <w:rFonts w:ascii="Times New Roman" w:hAnsi="Times New Roman"/>
                <w:sz w:val="20"/>
              </w:rPr>
              <w:t>Charles Goodroe</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0"/>
              <w:rPr>
                <w:rFonts w:ascii="Times New Roman" w:hAnsi="Times New Roman"/>
                <w:sz w:val="20"/>
              </w:rPr>
            </w:pPr>
            <w:r>
              <w:rPr>
                <w:rFonts w:ascii="Times New Roman" w:hAnsi="Times New Roman"/>
                <w:sz w:val="20"/>
              </w:rPr>
              <w:t>Chief Accounting Officer</w:t>
            </w:r>
          </w:p>
          <w:p>
            <w:pPr>
              <w:pStyle w:val="TableContents"/>
              <w:spacing w:before="0" w:after="20"/>
              <w:rPr>
                <w:rFonts w:ascii="Times New Roman" w:hAnsi="Times New Roman"/>
                <w:sz w:val="20"/>
              </w:rPr>
            </w:pPr>
            <w:r>
              <w:rPr>
                <w:rFonts w:ascii="Times New Roman" w:hAnsi="Times New Roman"/>
                <w:sz w:val="20"/>
              </w:rPr>
              <w:t>(Principal Accounting Officer)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Sean Collins</w:t>
            </w:r>
          </w:p>
          <w:p>
            <w:pPr>
              <w:pStyle w:val="TableContents"/>
              <w:spacing w:before="0" w:after="20"/>
              <w:jc w:val="center"/>
              <w:rPr>
                <w:rFonts w:ascii="Times New Roman" w:hAnsi="Times New Roman"/>
                <w:sz w:val="20"/>
              </w:rPr>
            </w:pPr>
            <w:r>
              <w:rPr>
                <w:rFonts w:ascii="Times New Roman" w:hAnsi="Times New Roman"/>
                <w:sz w:val="20"/>
              </w:rPr>
              <w:t>Sean Collins</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Chair of the Board of Directors</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David C. Clifton</w:t>
            </w:r>
          </w:p>
          <w:p>
            <w:pPr>
              <w:pStyle w:val="TableContents"/>
              <w:spacing w:before="0" w:after="20"/>
              <w:jc w:val="center"/>
              <w:rPr>
                <w:rFonts w:ascii="Times New Roman" w:hAnsi="Times New Roman"/>
                <w:sz w:val="20"/>
              </w:rPr>
            </w:pPr>
            <w:r>
              <w:rPr>
                <w:rFonts w:ascii="Times New Roman" w:hAnsi="Times New Roman"/>
                <w:sz w:val="20"/>
              </w:rPr>
              <w:t>David C. Clifton</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DeAna Dow</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Michelle J. Goldberg</w:t>
            </w:r>
          </w:p>
          <w:p>
            <w:pPr>
              <w:pStyle w:val="TableContents"/>
              <w:spacing w:before="0" w:after="20"/>
              <w:jc w:val="center"/>
              <w:rPr>
                <w:rFonts w:ascii="Times New Roman" w:hAnsi="Times New Roman"/>
                <w:sz w:val="20"/>
              </w:rPr>
            </w:pPr>
            <w:r>
              <w:rPr>
                <w:rFonts w:ascii="Times New Roman" w:hAnsi="Times New Roman"/>
                <w:sz w:val="20"/>
              </w:rPr>
              <w:t>Michelle J. Goldberg</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Richard Lumb</w:t>
            </w:r>
          </w:p>
          <w:p>
            <w:pPr>
              <w:pStyle w:val="TableContents"/>
              <w:spacing w:before="0" w:after="20"/>
              <w:jc w:val="center"/>
              <w:rPr>
                <w:rFonts w:ascii="Times New Roman" w:hAnsi="Times New Roman"/>
                <w:sz w:val="20"/>
              </w:rPr>
            </w:pPr>
            <w:r>
              <w:rPr>
                <w:rFonts w:ascii="Times New Roman" w:hAnsi="Times New Roman"/>
                <w:sz w:val="20"/>
              </w:rPr>
              <w:t>Richard Lumb</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Andrew A. Main</w:t>
            </w:r>
          </w:p>
          <w:p>
            <w:pPr>
              <w:pStyle w:val="TableContents"/>
              <w:spacing w:before="0" w:after="20"/>
              <w:jc w:val="center"/>
              <w:rPr>
                <w:rFonts w:ascii="Times New Roman" w:hAnsi="Times New Roman"/>
                <w:sz w:val="20"/>
              </w:rPr>
            </w:pPr>
            <w:r>
              <w:rPr>
                <w:rFonts w:ascii="Times New Roman" w:hAnsi="Times New Roman"/>
                <w:sz w:val="20"/>
              </w:rPr>
              <w:t>Andrew A. Main</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Jill Simeone</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r>
        <w:trPr>
          <w:trHeight w:val="240" w:hRule="atLeast"/>
        </w:trPr>
        <w:tc>
          <w:tcPr>
            <w:tcW w:w="5175" w:type="dxa"/>
            <w:tcBorders/>
            <w:shd w:fill="auto" w:val="clear"/>
            <w:vAlign w:val="center"/>
          </w:tcPr>
          <w:p>
            <w:pPr>
              <w:pStyle w:val="TableContents"/>
              <w:spacing w:before="0" w:after="283"/>
              <w:rPr>
                <w:sz w:val="4"/>
                <w:szCs w:val="4"/>
              </w:rPr>
            </w:pPr>
            <w:r>
              <w:rPr>
                <w:sz w:val="4"/>
                <w:szCs w:val="4"/>
              </w:rPr>
            </w:r>
          </w:p>
        </w:tc>
        <w:tc>
          <w:tcPr>
            <w:tcW w:w="5030" w:type="dxa"/>
            <w:gridSpan w:val="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Gordon Watson</w:t>
            </w:r>
          </w:p>
          <w:p>
            <w:pPr>
              <w:pStyle w:val="TableContents"/>
              <w:spacing w:before="0" w:after="20"/>
              <w:jc w:val="center"/>
              <w:rPr>
                <w:rFonts w:ascii="Times New Roman" w:hAnsi="Times New Roman"/>
                <w:sz w:val="20"/>
              </w:rPr>
            </w:pPr>
            <w:r>
              <w:rPr>
                <w:rFonts w:ascii="Times New Roman" w:hAnsi="Times New Roman"/>
                <w:sz w:val="20"/>
              </w:rPr>
              <w:t>Gordon Watson</w:t>
            </w:r>
          </w:p>
        </w:tc>
        <w:tc>
          <w:tcPr>
            <w:tcW w:w="121" w:type="dxa"/>
            <w:tcBorders/>
            <w:shd w:fill="auto" w:val="clear"/>
            <w:vAlign w:val="bottom"/>
          </w:tcPr>
          <w:p>
            <w:pPr>
              <w:pStyle w:val="TableContents"/>
              <w:spacing w:before="0" w:after="283"/>
              <w:rPr/>
            </w:pPr>
            <w:r>
              <w:rPr/>
              <w:t>  </w:t>
            </w:r>
          </w:p>
        </w:tc>
        <w:tc>
          <w:tcPr>
            <w:tcW w:w="4909" w:type="dxa"/>
            <w:tcBorders/>
            <w:shd w:fill="auto" w:val="clear"/>
          </w:tcPr>
          <w:p>
            <w:pPr>
              <w:pStyle w:val="TableContents"/>
              <w:spacing w:before="0" w:after="283"/>
              <w:rPr/>
            </w:pPr>
            <w:r>
              <w:rPr/>
              <w:t>Director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985</Words>
  <CharactersWithSpaces>6436</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POS AM</dc:title>
</cp:coreProperties>
</file>