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20" w:type="dxa"/>
            <w:vAlign w:val="bottom"/>
            <w:vMerge w:val="restart"/>
          </w:tcPr>
          <w:p>
            <w:pPr>
              <w:spacing w:after="0"/>
              <w:rPr>
                <w:rFonts w:ascii="Arial" w:cs="Arial" w:eastAsia="Arial" w:hAnsi="Arial"/>
                <w:sz w:val="21"/>
                <w:szCs w:val="21"/>
                <w:color w:val="0000EE"/>
                <w:w w:val="93"/>
              </w:rPr>
            </w:pPr>
            <w:hyperlink r:id="rId12">
              <w:r>
                <w:rPr>
                  <w:rFonts w:ascii="Arial" w:cs="Arial" w:eastAsia="Arial" w:hAnsi="Arial"/>
                  <w:sz w:val="21"/>
                  <w:szCs w:val="21"/>
                  <w:color w:val="0000EE"/>
                  <w:w w:val="93"/>
                </w:rPr>
                <w:t>O'Prey Daniel</w:t>
              </w:r>
            </w:hyperlink>
          </w:p>
        </w:tc>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Bakkt Holdings,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BKKT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220" w:type="dxa"/>
            <w:vAlign w:val="bottom"/>
            <w:tcBorders>
              <w:bottom w:val="single" w:sz="8" w:color="0000EE"/>
            </w:tcBorders>
            <w:vMerge w:val="continue"/>
          </w:tcPr>
          <w:p>
            <w:pPr>
              <w:spacing w:after="0"/>
              <w:rPr>
                <w:sz w:val="5"/>
                <w:szCs w:val="5"/>
                <w:color w:val="auto"/>
              </w:rPr>
            </w:pPr>
          </w:p>
        </w:tc>
        <w:tc>
          <w:tcPr>
            <w:tcW w:w="1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60" w:type="dxa"/>
            <w:vAlign w:val="bottom"/>
            <w:gridSpan w:val="2"/>
            <w:vMerge w:val="restart"/>
          </w:tcPr>
          <w:p>
            <w:pPr>
              <w:spacing w:after="0"/>
              <w:rPr>
                <w:sz w:val="20"/>
                <w:szCs w:val="20"/>
                <w:color w:val="auto"/>
              </w:rPr>
            </w:pPr>
            <w:r>
              <w:rPr>
                <w:rFonts w:ascii="Arial" w:cs="Arial" w:eastAsia="Arial" w:hAnsi="Arial"/>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Arial" w:cs="Arial" w:eastAsia="Arial" w:hAnsi="Arial"/>
                <w:sz w:val="17"/>
                <w:szCs w:val="17"/>
                <w:color w:val="0000FF"/>
              </w:rPr>
              <w:t>02/15/2022</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360" w:type="dxa"/>
            <w:vAlign w:val="bottom"/>
            <w:gridSpan w:val="2"/>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85"/>
        <w:spacing w:after="0"/>
        <w:rPr>
          <w:sz w:val="20"/>
          <w:szCs w:val="20"/>
          <w:color w:val="auto"/>
        </w:rPr>
      </w:pPr>
      <w:r>
        <w:rPr>
          <w:rFonts w:ascii="Arial" w:cs="Arial" w:eastAsia="Arial" w:hAnsi="Arial"/>
          <w:sz w:val="17"/>
          <w:szCs w:val="17"/>
          <w:color w:val="0000FF"/>
        </w:rPr>
        <w:t>EVP, Digital Assets</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02/15/2022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87,491</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287,491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("RSUs"). Each RSU represents a contingent right to receive one share of the Issuer's Class A Common Stock. Subject to the Reporting Person's continuing employment with the Issuer, the RSU will vest in three equal annual installments on the first three anniversaries of February 1, 2022, provided that the Reporting Person continues to be employed by the Issuer as of each vest date.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287,491 shares of Class A Common Stock subject to RSUs that remain subject to vesting.</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Daniel</w:t>
      </w:r>
      <w:r>
        <w:rPr>
          <w:sz w:val="20"/>
          <w:szCs w:val="20"/>
          <w:color w:val="auto"/>
        </w:rPr>
        <w:tab/>
      </w:r>
      <w:r>
        <w:rPr>
          <w:rFonts w:ascii="Arial" w:cs="Arial" w:eastAsia="Arial" w:hAnsi="Arial"/>
          <w:sz w:val="15"/>
          <w:szCs w:val="15"/>
          <w:color w:val="0000FF"/>
        </w:rPr>
        <w:t>02/17/2022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O'Prey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0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099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540"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2022-02-17T18:22:58Z</dcterms:created>
  <dcterms:modified xsi:type="dcterms:W3CDTF">2022-02-17T18:22:58Z</dcterms:modified>
</cp:coreProperties>
</file>