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Main Andrew 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Co-CEO &amp; President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431,963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sale to cover tax obligations associated with the vesting of performance stock units ("PSUs").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308,261 shares of Class A Common Stock subject to restricted stock units and PSU awards that remain subject to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Andrew</w:t>
        <w:tab/>
        <w:t>07/16/2025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Main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6731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2025-07-16T16:00:01Z</dcterms:created>
  <dcterms:modified xsi:type="dcterms:W3CDTF">2025-07-16T16:00:01Z</dcterms:modified>
</cp:coreProperties>
</file>