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5</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5</w:t>
      </w:r>
    </w:p>
    <w:p>
      <w:pPr>
        <w:spacing w:after="0" w:line="158" w:lineRule="exact"/>
        <w:rPr>
          <w:sz w:val="24"/>
          <w:szCs w:val="24"/>
          <w:color w:val="auto"/>
        </w:rPr>
      </w:pPr>
    </w:p>
    <w:p>
      <w:pPr>
        <w:ind w:left="360" w:right="4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-238125</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76200</wp:posOffset>
            </wp:positionV>
            <wp:extent cx="124460" cy="124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127" w:lineRule="exact"/>
        <w:rPr>
          <w:sz w:val="24"/>
          <w:szCs w:val="24"/>
          <w:color w:val="auto"/>
        </w:rPr>
      </w:pPr>
    </w:p>
    <w:p>
      <w:pPr>
        <w:ind w:left="360"/>
        <w:spacing w:after="0"/>
        <w:rPr>
          <w:sz w:val="20"/>
          <w:szCs w:val="20"/>
          <w:color w:val="auto"/>
        </w:rPr>
      </w:pPr>
      <w:r>
        <w:rPr>
          <w:rFonts w:ascii="Arial" w:cs="Arial" w:eastAsia="Arial" w:hAnsi="Arial"/>
          <w:sz w:val="12"/>
          <w:szCs w:val="12"/>
          <w:color w:val="auto"/>
        </w:rPr>
        <w:t>Form 3 Holdings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102235</wp:posOffset>
            </wp:positionV>
            <wp:extent cx="124460" cy="124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155" w:lineRule="exact"/>
        <w:rPr>
          <w:sz w:val="24"/>
          <w:szCs w:val="24"/>
          <w:color w:val="auto"/>
        </w:rPr>
      </w:pPr>
    </w:p>
    <w:p>
      <w:pPr>
        <w:ind w:left="360"/>
        <w:spacing w:after="0"/>
        <w:rPr>
          <w:sz w:val="20"/>
          <w:szCs w:val="20"/>
          <w:color w:val="auto"/>
        </w:rPr>
      </w:pPr>
      <w:r>
        <w:rPr>
          <w:rFonts w:ascii="Arial" w:cs="Arial" w:eastAsia="Arial" w:hAnsi="Arial"/>
          <w:sz w:val="12"/>
          <w:szCs w:val="12"/>
          <w:color w:val="auto"/>
        </w:rPr>
        <w:t>Form 4 Transactions Reported.</w:t>
      </w:r>
    </w:p>
    <w:p>
      <w:pPr>
        <w:spacing w:after="0" w:line="14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-403860</wp:posOffset>
            </wp:positionV>
            <wp:extent cx="124460" cy="12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0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05"/>
              <w:spacing w:after="0" w:line="147"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05"/>
              <w:spacing w:after="0" w:line="189" w:lineRule="exact"/>
              <w:rPr>
                <w:sz w:val="20"/>
                <w:szCs w:val="20"/>
                <w:color w:val="auto"/>
              </w:rPr>
            </w:pPr>
            <w:r>
              <w:rPr>
                <w:rFonts w:ascii="Arial" w:cs="Arial" w:eastAsia="Arial" w:hAnsi="Arial"/>
                <w:sz w:val="21"/>
                <w:szCs w:val="21"/>
                <w:b w:val="1"/>
                <w:bCs w:val="1"/>
                <w:color w:val="auto"/>
                <w:w w:val="98"/>
              </w:rPr>
              <w:t>ANNUAL STATEMENT OF CHANGES IN BENEFICIAL</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3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restart"/>
          </w:tcPr>
          <w:p>
            <w:pPr>
              <w:jc w:val="center"/>
              <w:ind w:right="105"/>
              <w:spacing w:after="0"/>
              <w:rPr>
                <w:sz w:val="20"/>
                <w:szCs w:val="20"/>
                <w:color w:val="auto"/>
              </w:rPr>
            </w:pPr>
            <w:r>
              <w:rPr>
                <w:rFonts w:ascii="Arial" w:cs="Arial" w:eastAsia="Arial" w:hAnsi="Arial"/>
                <w:sz w:val="21"/>
                <w:szCs w:val="21"/>
                <w:b w:val="1"/>
                <w:bCs w:val="1"/>
                <w:color w:val="auto"/>
                <w:w w:val="98"/>
              </w:rPr>
              <w:t>OWNERSHIP</w:t>
            </w: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5277485</wp:posOffset>
            </wp:positionH>
            <wp:positionV relativeFrom="paragraph">
              <wp:posOffset>-634365</wp:posOffset>
            </wp:positionV>
            <wp:extent cx="58420" cy="647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-634365</wp:posOffset>
            </wp:positionV>
            <wp:extent cx="58420" cy="647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spacing w:after="0" w:line="72" w:lineRule="exact"/>
        <w:rPr>
          <w:sz w:val="24"/>
          <w:szCs w:val="24"/>
          <w:color w:val="auto"/>
        </w:rPr>
      </w:pPr>
    </w:p>
    <w:p>
      <w:pPr>
        <w:jc w:val="center"/>
        <w:ind w:right="2420"/>
        <w:spacing w:after="0"/>
        <w:rPr>
          <w:sz w:val="20"/>
          <w:szCs w:val="20"/>
          <w:color w:val="auto"/>
        </w:rPr>
      </w:pPr>
      <w:r>
        <w:rPr>
          <w:rFonts w:ascii="Arial" w:cs="Arial" w:eastAsia="Arial" w:hAnsi="Arial"/>
          <w:sz w:val="13"/>
          <w:szCs w:val="13"/>
          <w:color w:val="auto"/>
        </w:rPr>
        <w:t>Filed pursuant to Section 16(a) of the Securities Exchange Act of 1934</w:t>
      </w:r>
    </w:p>
    <w:p>
      <w:pPr>
        <w:spacing w:after="0" w:line="6" w:lineRule="exact"/>
        <w:rPr>
          <w:sz w:val="24"/>
          <w:szCs w:val="24"/>
          <w:color w:val="auto"/>
        </w:rPr>
      </w:pPr>
    </w:p>
    <w:p>
      <w:pPr>
        <w:jc w:val="center"/>
        <w:ind w:right="2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746760</wp:posOffset>
            </wp:positionV>
            <wp:extent cx="6991985" cy="510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1985" cy="5100955"/>
                    </a:xfrm>
                    <a:prstGeom prst="rect">
                      <a:avLst/>
                    </a:prstGeom>
                    <a:noFill/>
                  </pic:spPr>
                </pic:pic>
              </a:graphicData>
            </a:graphic>
          </wp:anchor>
        </w:drawing>
      </w:r>
    </w:p>
    <w:p>
      <w:pPr>
        <w:spacing w:after="0" w:line="1242" w:lineRule="exact"/>
        <w:rPr>
          <w:sz w:val="24"/>
          <w:szCs w:val="24"/>
          <w:color w:val="auto"/>
        </w:rPr>
      </w:pPr>
    </w:p>
    <w:p>
      <w:pPr>
        <w:sectPr>
          <w:pgSz w:w="11900" w:h="16838" w:orient="portrait"/>
          <w:cols w:equalWidth="0" w:num="2">
            <w:col w:w="2320" w:space="220"/>
            <w:col w:w="8540"/>
          </w:cols>
          <w:pgMar w:left="460" w:top="217" w:right="359" w:bottom="964"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Baes Nicholas</w:t>
        </w:r>
      </w:hyperlink>
    </w:p>
    <w:p>
      <w:pPr>
        <w:spacing w:after="0" w:line="29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BAKKT, INC.</w:t>
            </w:r>
          </w:p>
        </w:tc>
        <w:tc>
          <w:tcPr>
            <w:tcW w:w="1220" w:type="dxa"/>
            <w:vAlign w:val="bottom"/>
          </w:tcPr>
          <w:p>
            <w:pPr>
              <w:spacing w:after="0"/>
              <w:rPr>
                <w:sz w:val="23"/>
                <w:szCs w:val="23"/>
                <w:color w:val="auto"/>
              </w:rPr>
            </w:pPr>
          </w:p>
        </w:tc>
      </w:tr>
      <w:tr>
        <w:trPr>
          <w:trHeight w:val="261"/>
        </w:trPr>
        <w:tc>
          <w:tcPr>
            <w:tcW w:w="20" w:type="dxa"/>
            <w:vAlign w:val="bottom"/>
          </w:tcPr>
          <w:p>
            <w:pPr>
              <w:spacing w:after="0"/>
              <w:rPr>
                <w:sz w:val="22"/>
                <w:szCs w:val="2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1 LIBERTY ST FL 3 STE 305-306</w:t>
            </w:r>
          </w:p>
        </w:tc>
        <w:tc>
          <w:tcPr>
            <w:tcW w:w="1220" w:type="dxa"/>
            <w:vAlign w:val="bottom"/>
          </w:tcPr>
          <w:p>
            <w:pPr>
              <w:spacing w:after="0"/>
              <w:rPr>
                <w:sz w:val="22"/>
                <w:szCs w:val="22"/>
                <w:color w:val="auto"/>
              </w:rPr>
            </w:pP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10006</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60"/>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3840" w:type="dxa"/>
            <w:vAlign w:val="bottom"/>
            <w:gridSpan w:val="4"/>
          </w:tcPr>
          <w:p>
            <w:pPr>
              <w:ind w:left="60"/>
              <w:spacing w:after="0" w:line="209"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 xml:space="preserve">Bakkt,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800" w:type="dxa"/>
            <w:vAlign w:val="bottom"/>
            <w:tcBorders>
              <w:top w:val="single" w:sz="8" w:color="0000EE"/>
            </w:tcBorders>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2"/>
        </w:trPr>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4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Statement for Issuer's Fiscal Year Ended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9"/>
        </w:trPr>
        <w:tc>
          <w:tcPr>
            <w:tcW w:w="1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12/31/2025</w:t>
            </w:r>
          </w:p>
        </w:tc>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9" w:lineRule="exact"/>
        <w:rPr>
          <w:sz w:val="24"/>
          <w:szCs w:val="24"/>
          <w:color w:val="auto"/>
        </w:rPr>
      </w:pPr>
    </w:p>
    <w:p>
      <w:pPr>
        <w:sectPr>
          <w:pgSz w:w="11900" w:h="16838" w:orient="portrait"/>
          <w:cols w:equalWidth="0" w:num="2">
            <w:col w:w="3760" w:space="80"/>
            <w:col w:w="7240"/>
          </w:cols>
          <w:pgMar w:left="460" w:top="217" w:right="359" w:bottom="96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spacing w:after="0"/>
              <w:rPr>
                <w:sz w:val="11"/>
                <w:szCs w:val="11"/>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1"/>
                <w:szCs w:val="11"/>
                <w:color w:val="auto"/>
              </w:rPr>
            </w:pPr>
          </w:p>
        </w:tc>
        <w:tc>
          <w:tcPr>
            <w:tcW w:w="23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300" w:type="dxa"/>
            <w:vAlign w:val="bottom"/>
          </w:tcPr>
          <w:p>
            <w:pPr>
              <w:spacing w:after="0"/>
              <w:rPr>
                <w:sz w:val="20"/>
                <w:szCs w:val="20"/>
                <w:color w:val="auto"/>
              </w:rPr>
            </w:pPr>
            <w:r>
              <w:rPr>
                <w:rFonts w:ascii="Arial" w:cs="Arial" w:eastAsia="Arial" w:hAnsi="Arial"/>
                <w:sz w:val="12"/>
                <w:szCs w:val="12"/>
                <w:b w:val="1"/>
                <w:bCs w:val="1"/>
                <w:color w:val="auto"/>
              </w:rPr>
              <w:t>6.</w:t>
            </w:r>
          </w:p>
        </w:tc>
        <w:tc>
          <w:tcPr>
            <w:tcW w:w="520" w:type="dxa"/>
            <w:vAlign w:val="bottom"/>
          </w:tcPr>
          <w:p>
            <w:pPr>
              <w:spacing w:after="0"/>
              <w:rPr>
                <w:sz w:val="11"/>
                <w:szCs w:val="11"/>
                <w:color w:val="auto"/>
              </w:rPr>
            </w:pP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5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10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7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80" w:type="dxa"/>
            <w:vAlign w:val="bottom"/>
            <w:gridSpan w:val="2"/>
            <w:vMerge w:val="restart"/>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320" w:type="dxa"/>
            <w:vAlign w:val="bottom"/>
            <w:vMerge w:val="restart"/>
          </w:tcPr>
          <w:p>
            <w:pPr>
              <w:spacing w:after="0" w:line="131"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1" w:lineRule="exact"/>
              <w:rPr>
                <w:sz w:val="20"/>
                <w:szCs w:val="20"/>
                <w:color w:val="auto"/>
              </w:rPr>
            </w:pPr>
            <w:r>
              <w:rPr>
                <w:rFonts w:ascii="Arial" w:cs="Arial" w:eastAsia="Arial" w:hAnsi="Arial"/>
                <w:sz w:val="12"/>
                <w:szCs w:val="12"/>
                <w:b w:val="1"/>
                <w:bCs w:val="1"/>
                <w:color w:val="auto"/>
              </w:rPr>
              <w:t>Owned at end of</w:t>
            </w:r>
          </w:p>
        </w:tc>
        <w:tc>
          <w:tcPr>
            <w:tcW w:w="82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4"/>
            <w:vMerge w:val="restart"/>
          </w:tcPr>
          <w:p>
            <w:pPr>
              <w:ind w:left="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Issuer's Fiscal</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gridSpan w:val="2"/>
            <w:vMerge w:val="restart"/>
          </w:tcPr>
          <w:p>
            <w:pPr>
              <w:ind w:left="80"/>
              <w:spacing w:after="0" w:line="131" w:lineRule="exact"/>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5"/>
                <w:szCs w:val="5"/>
                <w:color w:val="auto"/>
              </w:rPr>
            </w:pPr>
          </w:p>
        </w:tc>
        <w:tc>
          <w:tcPr>
            <w:tcW w:w="840" w:type="dxa"/>
            <w:vAlign w:val="bottom"/>
            <w:gridSpan w:val="2"/>
            <w:vMerge w:val="restart"/>
          </w:tcPr>
          <w:p>
            <w:pPr>
              <w:ind w:left="80"/>
              <w:spacing w:after="0" w:line="131" w:lineRule="exact"/>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5"/>
                <w:szCs w:val="5"/>
                <w:color w:val="auto"/>
              </w:rPr>
            </w:pPr>
          </w:p>
        </w:tc>
        <w:tc>
          <w:tcPr>
            <w:tcW w:w="1200" w:type="dxa"/>
            <w:vAlign w:val="bottom"/>
            <w:gridSpan w:val="2"/>
            <w:vMerge w:val="restart"/>
          </w:tcPr>
          <w:p>
            <w:pPr>
              <w:ind w:left="60"/>
              <w:spacing w:after="0" w:line="131" w:lineRule="exact"/>
              <w:rPr>
                <w:sz w:val="20"/>
                <w:szCs w:val="20"/>
                <w:color w:val="auto"/>
              </w:rPr>
            </w:pPr>
            <w:r>
              <w:rPr>
                <w:rFonts w:ascii="Arial" w:cs="Arial" w:eastAsia="Arial" w:hAnsi="Arial"/>
                <w:sz w:val="12"/>
                <w:szCs w:val="12"/>
                <w:b w:val="1"/>
                <w:bCs w:val="1"/>
                <w:color w:val="auto"/>
              </w:rPr>
              <w:t>Year (Instr. 3 and</w:t>
            </w:r>
          </w:p>
        </w:tc>
        <w:tc>
          <w:tcPr>
            <w:tcW w:w="82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10/09/2025</w:t>
            </w:r>
          </w:p>
        </w:tc>
        <w:tc>
          <w:tcPr>
            <w:tcW w:w="8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S4</w:t>
            </w:r>
          </w:p>
        </w:tc>
        <w:tc>
          <w:tcPr>
            <w:tcW w:w="1060" w:type="dxa"/>
            <w:vAlign w:val="bottom"/>
            <w:tcBorders>
              <w:bottom w:val="single" w:sz="8" w:color="2C2C2C"/>
            </w:tcBorders>
            <w:gridSpan w:val="2"/>
          </w:tcPr>
          <w:p>
            <w:pPr>
              <w:jc w:val="right"/>
              <w:ind w:right="243"/>
              <w:spacing w:after="0"/>
              <w:rPr>
                <w:sz w:val="20"/>
                <w:szCs w:val="20"/>
                <w:color w:val="auto"/>
              </w:rPr>
            </w:pPr>
            <w:r>
              <w:rPr>
                <w:rFonts w:ascii="Times New Roman" w:cs="Times New Roman" w:eastAsia="Times New Roman" w:hAnsi="Times New Roman"/>
                <w:sz w:val="17"/>
                <w:szCs w:val="17"/>
                <w:color w:val="0000FF"/>
              </w:rPr>
              <w:t>4,922</w:t>
            </w:r>
            <w:r>
              <w:rPr>
                <w:rFonts w:ascii="Times New Roman" w:cs="Times New Roman" w:eastAsia="Times New Roman" w:hAnsi="Times New Roman"/>
                <w:sz w:val="21"/>
                <w:szCs w:val="21"/>
                <w:color w:val="008000"/>
                <w:vertAlign w:val="superscript"/>
              </w:rPr>
              <w:t>(1)</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39.59</w:t>
            </w: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101,023</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3"/>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(A) or</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of (D)</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(3)(4)(5)</w:t>
            </w:r>
          </w:p>
        </w:tc>
        <w:tc>
          <w:tcPr>
            <w:tcW w:w="66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008000"/>
              </w:rPr>
              <w:t>(3)(4)(5)</w:t>
            </w:r>
          </w:p>
        </w:tc>
        <w:tc>
          <w:tcPr>
            <w:tcW w:w="64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3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10</w:t>
            </w: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40" w:type="dxa"/>
            <w:vAlign w:val="bottom"/>
            <w:gridSpan w:val="2"/>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53,020</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2"/>
            <w:vMerge w:val="restart"/>
          </w:tcPr>
          <w:p>
            <w:pPr>
              <w:ind w:left="240"/>
              <w:spacing w:after="0" w:line="144" w:lineRule="exact"/>
              <w:rPr>
                <w:sz w:val="20"/>
                <w:szCs w:val="20"/>
                <w:color w:val="auto"/>
              </w:rPr>
            </w:pPr>
            <w:r>
              <w:rPr>
                <w:rFonts w:ascii="Times New Roman" w:cs="Times New Roman" w:eastAsia="Times New Roman" w:hAnsi="Times New Roman"/>
                <w:sz w:val="13"/>
                <w:szCs w:val="13"/>
                <w:color w:val="0000FF"/>
              </w:rPr>
              <w:t>53,020</w:t>
            </w:r>
          </w:p>
        </w:tc>
        <w:tc>
          <w:tcPr>
            <w:tcW w:w="52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-2209800</wp:posOffset>
            </wp:positionV>
            <wp:extent cx="29210" cy="2214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210" cy="221488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6"/>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sale to cover tax obligations associated with the vesting of restricted stock units ("RSUs").</w:t>
      </w:r>
    </w:p>
    <w:p>
      <w:pPr>
        <w:spacing w:after="0" w:line="46"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79,674 shares of Class A Common Stock subject to RSU awards that remain subject to vesting.</w:t>
      </w:r>
    </w:p>
    <w:p>
      <w:pPr>
        <w:spacing w:after="0" w:line="46" w:lineRule="exact"/>
        <w:rPr>
          <w:rFonts w:ascii="Times New Roman" w:cs="Times New Roman" w:eastAsia="Times New Roman" w:hAnsi="Times New Roman"/>
          <w:sz w:val="13"/>
          <w:szCs w:val="13"/>
          <w:color w:val="008000"/>
        </w:rPr>
      </w:pPr>
    </w:p>
    <w:p>
      <w:pPr>
        <w:ind w:left="40" w:right="240" w:firstLine="4"/>
        <w:spacing w:after="0"/>
        <w:tabs>
          <w:tab w:leader="none" w:pos="17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stock options to purchase shares of the issuer's Class A Common Stock ("Options") granted on July 29, 2025, contingent on the issuer's shareholder approval, which was obtained on October 31, 2025. The Options are a commitment by the grantee to exercise a predetermined number of Options every quarter for eight quarters (the "Committed Options") at an exercise price per share equal to $10,00, which reflects the fair market value of a share of Class A Common Stock on the grant date. If the reporting person does not exercise the Committed Options in any quarter, then all remaining Options are forfeited. One-eighth of the Options will become exercisable each quarter (each, a "Quarterly Tranche"). [Continued to footnote 4]</w:t>
      </w:r>
    </w:p>
    <w:p>
      <w:pPr>
        <w:spacing w:after="0" w:line="28" w:lineRule="exact"/>
        <w:rPr>
          <w:rFonts w:ascii="Times New Roman" w:cs="Times New Roman" w:eastAsia="Times New Roman" w:hAnsi="Times New Roman"/>
          <w:sz w:val="13"/>
          <w:szCs w:val="13"/>
          <w:color w:val="008000"/>
        </w:rPr>
      </w:pPr>
    </w:p>
    <w:p>
      <w:pPr>
        <w:ind w:left="40" w:right="200" w:firstLine="4"/>
        <w:spacing w:after="0" w:line="238" w:lineRule="auto"/>
        <w:tabs>
          <w:tab w:leader="none" w:pos="17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3] The Committed Options will be exercisable over a two-day period in the applicable quarter (the "Exercise Period"); provided that if the Exercise Period for a Quarterly Tranche occurs during a blackout period, then such Exercise Period shall instead be the next quarterly Exercise Period. If the reporting person exercises the Committed Option portion, the remainder of that Quarterly Tranche (the "Optional Exercise Options") will become exercisable for a period of one year. The Optional Exercise Option portion of any Quarterly Tranche will expire at the end of such one-year period.</w:t>
      </w:r>
    </w:p>
    <w:p>
      <w:pPr>
        <w:ind w:left="4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to footnote 5]</w:t>
      </w:r>
    </w:p>
    <w:p>
      <w:pPr>
        <w:spacing w:after="0" w:line="32" w:lineRule="exact"/>
        <w:rPr>
          <w:rFonts w:ascii="Times New Roman" w:cs="Times New Roman" w:eastAsia="Times New Roman" w:hAnsi="Times New Roman"/>
          <w:sz w:val="13"/>
          <w:szCs w:val="13"/>
          <w:color w:val="008000"/>
        </w:rPr>
      </w:pPr>
    </w:p>
    <w:p>
      <w:pPr>
        <w:jc w:val="both"/>
        <w:ind w:left="40" w:right="200" w:firstLine="4"/>
        <w:spacing w:after="0" w:line="244" w:lineRule="auto"/>
        <w:tabs>
          <w:tab w:leader="none" w:pos="17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4] Notwithstanding the foregoing exercise schedule, following the first quarter after stockholder approval of the Options, any portion of the Options may be exercised earlier than the applicable quarter, provided that shares of Class A Common Stock acquired on exercise of the Optional Exercise Options will be subject to a lock-up period so that the shares acquired on exercise may not be sold or transferred until the originally-scheduled exercise date.</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 Paul Simmons Attorney-in-  </w:t>
      </w:r>
      <w:r>
        <w:rPr>
          <w:rFonts w:ascii="Times New Roman" w:cs="Times New Roman" w:eastAsia="Times New Roman" w:hAnsi="Times New Roman"/>
          <w:sz w:val="32"/>
          <w:szCs w:val="32"/>
          <w:color w:val="0000FF"/>
          <w:vertAlign w:val="subscript"/>
        </w:rPr>
        <w:t>02/06/2026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-27940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Nicholas Baes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-19050</wp:posOffset>
            </wp:positionV>
            <wp:extent cx="984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984885" cy="8255"/>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-85725</wp:posOffset>
            </wp:positionV>
            <wp:extent cx="490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90855"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4"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5" Type="http://schemas.openxmlformats.org/officeDocument/2006/relationships/hyperlink" Target="http://www.sec.gov/cgi-bin/browse-edgar?action=getcompany&amp;CIK=0002043681" TargetMode="External"/><Relationship Id="rId16"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2026-02-06T18:09:40Z</dcterms:created>
  <dcterms:modified xsi:type="dcterms:W3CDTF">2026-02-06T18:09:40Z</dcterms:modified>
</cp:coreProperties>
</file>