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540" w:right="840" w:hanging="2712"/>
        <w:spacing w:after="0" w:line="476" w:lineRule="auto"/>
        <w:tabs>
          <w:tab w:leader="none" w:pos="103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9" w:lineRule="exact"/>
        <w:rPr>
          <w:rFonts w:ascii="MS PGothic" w:cs="MS PGothic" w:eastAsia="MS PGothic" w:hAnsi="MS PGothic"/>
          <w:sz w:val="18"/>
          <w:szCs w:val="18"/>
          <w:color w:val="auto"/>
        </w:rPr>
      </w:pPr>
    </w:p>
    <w:p>
      <w:pPr>
        <w:ind w:left="1020" w:hanging="19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080" w:type="dxa"/>
            <w:vAlign w:val="bottom"/>
          </w:tcPr>
          <w:p>
            <w:pPr>
              <w:spacing w:after="0"/>
              <w:rPr>
                <w:sz w:val="18"/>
                <w:szCs w:val="18"/>
                <w:color w:val="auto"/>
              </w:rPr>
            </w:pPr>
          </w:p>
        </w:tc>
        <w:tc>
          <w:tcPr>
            <w:tcW w:w="3680" w:type="dxa"/>
            <w:vAlign w:val="bottom"/>
            <w:gridSpan w:val="2"/>
          </w:tcPr>
          <w:p>
            <w:pPr>
              <w:jc w:val="center"/>
              <w:ind w:right="208"/>
              <w:spacing w:after="0"/>
              <w:rPr>
                <w:sz w:val="20"/>
                <w:szCs w:val="20"/>
                <w:color w:val="auto"/>
              </w:rPr>
            </w:pPr>
            <w:r>
              <w:rPr>
                <w:rFonts w:ascii="Arial" w:cs="Arial" w:eastAsia="Arial" w:hAnsi="Arial"/>
                <w:sz w:val="18"/>
                <w:szCs w:val="18"/>
                <w:b w:val="1"/>
                <w:bCs w:val="1"/>
                <w:color w:val="auto"/>
                <w:w w:val="90"/>
              </w:rPr>
              <w:t>Cayman Islands</w:t>
            </w:r>
          </w:p>
        </w:tc>
        <w:tc>
          <w:tcPr>
            <w:tcW w:w="2360" w:type="dxa"/>
            <w:vAlign w:val="bottom"/>
          </w:tcPr>
          <w:p>
            <w:pPr>
              <w:spacing w:after="0"/>
              <w:rPr>
                <w:sz w:val="18"/>
                <w:szCs w:val="18"/>
                <w:color w:val="auto"/>
              </w:rPr>
            </w:pPr>
          </w:p>
        </w:tc>
        <w:tc>
          <w:tcPr>
            <w:tcW w:w="3900" w:type="dxa"/>
            <w:vAlign w:val="bottom"/>
            <w:gridSpan w:val="3"/>
          </w:tcPr>
          <w:p>
            <w:pPr>
              <w:jc w:val="right"/>
              <w:ind w:right="2159"/>
              <w:spacing w:after="0"/>
              <w:rPr>
                <w:sz w:val="20"/>
                <w:szCs w:val="20"/>
                <w:color w:val="auto"/>
              </w:rPr>
            </w:pPr>
            <w:r>
              <w:rPr>
                <w:rFonts w:ascii="Arial" w:cs="Arial" w:eastAsia="Arial" w:hAnsi="Arial"/>
                <w:sz w:val="18"/>
                <w:szCs w:val="18"/>
                <w:b w:val="1"/>
                <w:bCs w:val="1"/>
                <w:color w:val="auto"/>
              </w:rPr>
              <w:t>98-1550750</w:t>
            </w:r>
          </w:p>
        </w:tc>
        <w:tc>
          <w:tcPr>
            <w:tcW w:w="0" w:type="dxa"/>
            <w:vAlign w:val="bottom"/>
          </w:tcPr>
          <w:p>
            <w:pPr>
              <w:spacing w:after="0"/>
              <w:rPr>
                <w:sz w:val="1"/>
                <w:szCs w:val="1"/>
                <w:color w:val="auto"/>
              </w:rPr>
            </w:pPr>
          </w:p>
        </w:tc>
      </w:tr>
      <w:tr>
        <w:trPr>
          <w:trHeight w:val="186"/>
        </w:trPr>
        <w:tc>
          <w:tcPr>
            <w:tcW w:w="4760" w:type="dxa"/>
            <w:vAlign w:val="bottom"/>
            <w:gridSpan w:val="3"/>
          </w:tcPr>
          <w:p>
            <w:pPr>
              <w:jc w:val="center"/>
              <w:ind w:left="714"/>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60" w:type="dxa"/>
            <w:vAlign w:val="bottom"/>
          </w:tcPr>
          <w:p>
            <w:pPr>
              <w:spacing w:after="0"/>
              <w:rPr>
                <w:sz w:val="16"/>
                <w:szCs w:val="16"/>
                <w:color w:val="auto"/>
              </w:rPr>
            </w:pPr>
          </w:p>
        </w:tc>
        <w:tc>
          <w:tcPr>
            <w:tcW w:w="3900" w:type="dxa"/>
            <w:vAlign w:val="bottom"/>
            <w:gridSpan w:val="3"/>
          </w:tcPr>
          <w:p>
            <w:pPr>
              <w:jc w:val="center"/>
              <w:ind w:right="1379"/>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4"/>
                <w:szCs w:val="24"/>
                <w:color w:val="auto"/>
              </w:rPr>
            </w:pPr>
          </w:p>
        </w:tc>
        <w:tc>
          <w:tcPr>
            <w:tcW w:w="3680" w:type="dxa"/>
            <w:vAlign w:val="bottom"/>
            <w:gridSpan w:val="2"/>
          </w:tcPr>
          <w:p>
            <w:pPr>
              <w:jc w:val="center"/>
              <w:ind w:right="20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80" w:type="dxa"/>
            <w:vAlign w:val="bottom"/>
            <w:gridSpan w:val="2"/>
          </w:tcPr>
          <w:p>
            <w:pPr>
              <w:jc w:val="center"/>
              <w:ind w:right="22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3680" w:type="dxa"/>
            <w:vAlign w:val="bottom"/>
            <w:gridSpan w:val="2"/>
          </w:tcPr>
          <w:p>
            <w:pPr>
              <w:jc w:val="center"/>
              <w:ind w:right="208"/>
              <w:spacing w:after="0"/>
              <w:rPr>
                <w:sz w:val="20"/>
                <w:szCs w:val="20"/>
                <w:color w:val="auto"/>
              </w:rPr>
            </w:pPr>
            <w:r>
              <w:rPr>
                <w:rFonts w:ascii="Arial" w:cs="Arial" w:eastAsia="Arial" w:hAnsi="Arial"/>
                <w:sz w:val="18"/>
                <w:szCs w:val="18"/>
                <w:b w:val="1"/>
                <w:bCs w:val="1"/>
                <w:color w:val="auto"/>
                <w:w w:val="94"/>
              </w:rPr>
              <w:t>Chicago, IL</w:t>
            </w:r>
          </w:p>
        </w:tc>
        <w:tc>
          <w:tcPr>
            <w:tcW w:w="2360" w:type="dxa"/>
            <w:vAlign w:val="bottom"/>
          </w:tcPr>
          <w:p>
            <w:pPr>
              <w:spacing w:after="0"/>
              <w:rPr>
                <w:sz w:val="19"/>
                <w:szCs w:val="19"/>
                <w:color w:val="auto"/>
              </w:rPr>
            </w:pPr>
          </w:p>
        </w:tc>
        <w:tc>
          <w:tcPr>
            <w:tcW w:w="3900" w:type="dxa"/>
            <w:vAlign w:val="bottom"/>
            <w:gridSpan w:val="3"/>
          </w:tcPr>
          <w:p>
            <w:pPr>
              <w:jc w:val="right"/>
              <w:ind w:right="2379"/>
              <w:spacing w:after="0"/>
              <w:rPr>
                <w:sz w:val="20"/>
                <w:szCs w:val="20"/>
                <w:color w:val="auto"/>
              </w:rPr>
            </w:pPr>
            <w:r>
              <w:rPr>
                <w:rFonts w:ascii="Arial" w:cs="Arial" w:eastAsia="Arial" w:hAnsi="Arial"/>
                <w:sz w:val="18"/>
                <w:szCs w:val="18"/>
                <w:b w:val="1"/>
                <w:bCs w:val="1"/>
                <w:color w:val="auto"/>
              </w:rPr>
              <w:t>60606</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36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3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94"/>
        </w:trPr>
        <w:tc>
          <w:tcPr>
            <w:tcW w:w="1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jc w:val="right"/>
              <w:ind w:right="894"/>
              <w:spacing w:after="0"/>
              <w:rPr>
                <w:sz w:val="20"/>
                <w:szCs w:val="20"/>
                <w:color w:val="auto"/>
              </w:rPr>
            </w:pPr>
            <w:r>
              <w:rPr>
                <w:rFonts w:ascii="Arial" w:cs="Arial" w:eastAsia="Arial" w:hAnsi="Arial"/>
                <w:sz w:val="18"/>
                <w:szCs w:val="18"/>
                <w:b w:val="1"/>
                <w:bCs w:val="1"/>
                <w:color w:val="auto"/>
                <w:w w:val="98"/>
              </w:rPr>
              <w:t>+1-312-701-1777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(Issuer’s telephone number, including area code)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7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2360" w:type="dxa"/>
            <w:vAlign w:val="bottom"/>
            <w:vMerge w:val="restart"/>
          </w:tcPr>
          <w:p>
            <w:pPr>
              <w:jc w:val="center"/>
              <w:ind w:right="554"/>
              <w:spacing w:after="0"/>
              <w:rPr>
                <w:sz w:val="20"/>
                <w:szCs w:val="20"/>
                <w:color w:val="auto"/>
              </w:rPr>
            </w:pPr>
            <w:r>
              <w:rPr>
                <w:rFonts w:ascii="Arial" w:cs="Arial" w:eastAsia="Arial" w:hAnsi="Arial"/>
                <w:sz w:val="14"/>
                <w:szCs w:val="14"/>
                <w:b w:val="1"/>
                <w:bCs w:val="1"/>
                <w:color w:val="auto"/>
                <w:w w:val="94"/>
              </w:rPr>
              <w:t>Trading Symbol(s)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91"/>
        </w:trPr>
        <w:tc>
          <w:tcPr>
            <w:tcW w:w="4760" w:type="dxa"/>
            <w:vAlign w:val="bottom"/>
            <w:gridSpan w:val="3"/>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171"/>
        </w:trPr>
        <w:tc>
          <w:tcPr>
            <w:tcW w:w="1080" w:type="dxa"/>
            <w:vAlign w:val="bottom"/>
            <w:tcBorders>
              <w:top w:val="single" w:sz="8" w:color="auto"/>
            </w:tcBorders>
          </w:tcPr>
          <w:p>
            <w:pPr>
              <w:ind w:left="120"/>
              <w:spacing w:after="0" w:line="171" w:lineRule="exact"/>
              <w:rPr>
                <w:sz w:val="20"/>
                <w:szCs w:val="20"/>
                <w:color w:val="auto"/>
              </w:rPr>
            </w:pPr>
            <w:r>
              <w:rPr>
                <w:rFonts w:ascii="Arial" w:cs="Arial" w:eastAsia="Arial" w:hAnsi="Arial"/>
                <w:sz w:val="18"/>
                <w:szCs w:val="18"/>
                <w:b w:val="1"/>
                <w:bCs w:val="1"/>
                <w:color w:val="auto"/>
                <w:w w:val="97"/>
              </w:rPr>
              <w:t>Units, each</w:t>
            </w:r>
          </w:p>
        </w:tc>
        <w:tc>
          <w:tcPr>
            <w:tcW w:w="2780" w:type="dxa"/>
            <w:vAlign w:val="bottom"/>
          </w:tcPr>
          <w:p>
            <w:pPr>
              <w:spacing w:after="0" w:line="171" w:lineRule="exact"/>
              <w:rPr>
                <w:sz w:val="20"/>
                <w:szCs w:val="20"/>
                <w:color w:val="auto"/>
              </w:rPr>
            </w:pPr>
            <w:r>
              <w:rPr>
                <w:rFonts w:ascii="Arial" w:cs="Arial" w:eastAsia="Arial" w:hAnsi="Arial"/>
                <w:sz w:val="18"/>
                <w:szCs w:val="18"/>
                <w:b w:val="1"/>
                <w:bCs w:val="1"/>
                <w:color w:val="auto"/>
                <w:w w:val="92"/>
              </w:rPr>
              <w:t>consisting of one Class A ordinary</w:t>
            </w:r>
          </w:p>
        </w:tc>
        <w:tc>
          <w:tcPr>
            <w:tcW w:w="90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tcPr>
          <w:p>
            <w:pPr>
              <w:jc w:val="center"/>
              <w:ind w:right="554"/>
              <w:spacing w:after="0" w:line="171" w:lineRule="exact"/>
              <w:rPr>
                <w:sz w:val="20"/>
                <w:szCs w:val="20"/>
                <w:color w:val="auto"/>
              </w:rPr>
            </w:pPr>
            <w:r>
              <w:rPr>
                <w:rFonts w:ascii="Arial" w:cs="Arial" w:eastAsia="Arial" w:hAnsi="Arial"/>
                <w:sz w:val="18"/>
                <w:szCs w:val="18"/>
                <w:b w:val="1"/>
                <w:bCs w:val="1"/>
                <w:color w:val="auto"/>
              </w:rPr>
              <w:t>VIHAU</w:t>
            </w: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760" w:type="dxa"/>
            <w:vAlign w:val="bottom"/>
            <w:gridSpan w:val="3"/>
          </w:tcPr>
          <w:p>
            <w:pPr>
              <w:jc w:val="center"/>
              <w:ind w:right="948"/>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gridSpan w:val="3"/>
          </w:tcPr>
          <w:p>
            <w:pPr>
              <w:jc w:val="center"/>
              <w:ind w:right="968"/>
              <w:spacing w:after="0"/>
              <w:rPr>
                <w:sz w:val="20"/>
                <w:szCs w:val="20"/>
                <w:color w:val="auto"/>
              </w:rPr>
            </w:pPr>
            <w:r>
              <w:rPr>
                <w:rFonts w:ascii="Arial" w:cs="Arial" w:eastAsia="Arial" w:hAnsi="Arial"/>
                <w:sz w:val="18"/>
                <w:szCs w:val="18"/>
                <w:b w:val="1"/>
                <w:bCs w:val="1"/>
                <w:color w:val="auto"/>
                <w:w w:val="91"/>
              </w:rPr>
              <w:t>redeemable warrant</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760" w:type="dxa"/>
            <w:vAlign w:val="bottom"/>
            <w:gridSpan w:val="3"/>
          </w:tcPr>
          <w:p>
            <w:pPr>
              <w:jc w:val="center"/>
              <w:ind w:right="948"/>
              <w:spacing w:after="0"/>
              <w:rPr>
                <w:sz w:val="20"/>
                <w:szCs w:val="20"/>
                <w:color w:val="auto"/>
              </w:rPr>
            </w:pPr>
            <w:r>
              <w:rPr>
                <w:rFonts w:ascii="Arial" w:cs="Arial" w:eastAsia="Arial" w:hAnsi="Arial"/>
                <w:sz w:val="18"/>
                <w:szCs w:val="18"/>
                <w:b w:val="1"/>
                <w:bCs w:val="1"/>
                <w:color w:val="auto"/>
                <w:w w:val="89"/>
              </w:rPr>
              <w:t>Class A ordinary shares, par value $0.0001 par</w:t>
            </w:r>
          </w:p>
        </w:tc>
        <w:tc>
          <w:tcPr>
            <w:tcW w:w="2360" w:type="dxa"/>
            <w:vAlign w:val="bottom"/>
          </w:tcPr>
          <w:p>
            <w:pPr>
              <w:jc w:val="center"/>
              <w:ind w:right="574"/>
              <w:spacing w:after="0"/>
              <w:rPr>
                <w:sz w:val="20"/>
                <w:szCs w:val="20"/>
                <w:color w:val="auto"/>
              </w:rPr>
            </w:pPr>
            <w:r>
              <w:rPr>
                <w:rFonts w:ascii="Arial" w:cs="Arial" w:eastAsia="Arial" w:hAnsi="Arial"/>
                <w:sz w:val="18"/>
                <w:szCs w:val="18"/>
                <w:b w:val="1"/>
                <w:bCs w:val="1"/>
                <w:color w:val="auto"/>
              </w:rPr>
              <w:t>VIH</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3680" w:type="dxa"/>
            <w:vAlign w:val="bottom"/>
            <w:gridSpan w:val="2"/>
          </w:tcPr>
          <w:p>
            <w:pPr>
              <w:jc w:val="center"/>
              <w:ind w:right="2028"/>
              <w:spacing w:after="0"/>
              <w:rPr>
                <w:sz w:val="20"/>
                <w:szCs w:val="20"/>
                <w:color w:val="auto"/>
              </w:rPr>
            </w:pPr>
            <w:r>
              <w:rPr>
                <w:rFonts w:ascii="Arial" w:cs="Arial" w:eastAsia="Arial" w:hAnsi="Arial"/>
                <w:sz w:val="18"/>
                <w:szCs w:val="18"/>
                <w:b w:val="1"/>
                <w:bCs w:val="1"/>
                <w:color w:val="auto"/>
                <w:w w:val="91"/>
              </w:rPr>
              <w:t>value</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760" w:type="dxa"/>
            <w:vAlign w:val="bottom"/>
            <w:gridSpan w:val="3"/>
          </w:tcPr>
          <w:p>
            <w:pPr>
              <w:jc w:val="center"/>
              <w:ind w:right="948"/>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2360" w:type="dxa"/>
            <w:vAlign w:val="bottom"/>
          </w:tcPr>
          <w:p>
            <w:pPr>
              <w:jc w:val="center"/>
              <w:ind w:right="554"/>
              <w:spacing w:after="0"/>
              <w:rPr>
                <w:sz w:val="20"/>
                <w:szCs w:val="20"/>
                <w:color w:val="auto"/>
              </w:rPr>
            </w:pPr>
            <w:r>
              <w:rPr>
                <w:rFonts w:ascii="Arial" w:cs="Arial" w:eastAsia="Arial" w:hAnsi="Arial"/>
                <w:sz w:val="18"/>
                <w:szCs w:val="18"/>
                <w:b w:val="1"/>
                <w:bCs w:val="1"/>
                <w:color w:val="auto"/>
              </w:rPr>
              <w:t>VIHAW</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760" w:type="dxa"/>
            <w:vAlign w:val="bottom"/>
            <w:gridSpan w:val="3"/>
          </w:tcPr>
          <w:p>
            <w:pPr>
              <w:jc w:val="center"/>
              <w:ind w:right="948"/>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gridSpan w:val="3"/>
          </w:tcPr>
          <w:p>
            <w:pPr>
              <w:jc w:val="center"/>
              <w:ind w:right="948"/>
              <w:spacing w:after="0"/>
              <w:rPr>
                <w:sz w:val="20"/>
                <w:szCs w:val="20"/>
                <w:color w:val="auto"/>
              </w:rPr>
            </w:pPr>
            <w:r>
              <w:rPr>
                <w:rFonts w:ascii="Arial" w:cs="Arial" w:eastAsia="Arial" w:hAnsi="Arial"/>
                <w:sz w:val="18"/>
                <w:szCs w:val="18"/>
                <w:b w:val="1"/>
                <w:bCs w:val="1"/>
                <w:color w:val="auto"/>
                <w:w w:val="88"/>
              </w:rPr>
              <w:t>exercise price of $11.50 per share</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020"/>
          </w:cols>
          <w:pgMar w:left="440" w:top="368" w:right="439" w:bottom="1440" w:gutter="0" w:footer="0" w:header="0"/>
        </w:sectPr>
      </w:pPr>
    </w:p>
    <w:bookmarkStart w:id="1" w:name="page2"/>
    <w:bookmarkEnd w:id="1"/>
    <w:p>
      <w:pPr>
        <w:ind w:right="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26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40"/>
              <w:spacing w:after="0"/>
              <w:rPr>
                <w:sz w:val="20"/>
                <w:szCs w:val="20"/>
                <w:color w:val="auto"/>
              </w:rPr>
            </w:pPr>
            <w:r>
              <w:rPr>
                <w:rFonts w:ascii="Arial" w:cs="Arial" w:eastAsia="Arial" w:hAnsi="Arial"/>
                <w:sz w:val="18"/>
                <w:szCs w:val="18"/>
                <w:color w:val="auto"/>
                <w:w w:val="97"/>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60" w:type="dxa"/>
            <w:vAlign w:val="bottom"/>
          </w:tcPr>
          <w:p>
            <w:pPr>
              <w:ind w:left="234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November 16, 2020, there were 20,737,202 Class A ordinary shares, $0.0001 par value and 5,184,300 Class B ordinary shares,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125"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 FOR THE QUARTER ENDED SEPTEMBER 30, 2020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1 – FINANCIAL INFORMATION</w:t>
            </w:r>
          </w:p>
        </w:tc>
        <w:tc>
          <w:tcPr>
            <w:tcW w:w="7480" w:type="dxa"/>
            <w:vAlign w:val="bottom"/>
            <w:gridSpan w:val="2"/>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0000EE"/>
            </w:tcBorders>
            <w:gridSpan w:val="6"/>
            <w:vMerge w:val="continue"/>
          </w:tcPr>
          <w:p>
            <w:pPr>
              <w:spacing w:after="0"/>
              <w:rPr>
                <w:sz w:val="13"/>
                <w:szCs w:val="13"/>
                <w:color w:val="auto"/>
              </w:rPr>
            </w:pPr>
          </w:p>
        </w:tc>
        <w:tc>
          <w:tcPr>
            <w:tcW w:w="74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Item 1.</w:t>
            </w:r>
          </w:p>
        </w:tc>
        <w:tc>
          <w:tcPr>
            <w:tcW w:w="1580" w:type="dxa"/>
            <w:vAlign w:val="bottom"/>
            <w:tcBorders>
              <w:bottom w:val="single" w:sz="8" w:color="0000EE"/>
            </w:tcBorders>
            <w:gridSpan w:val="3"/>
          </w:tcPr>
          <w:p>
            <w:pPr>
              <w:ind w:left="60"/>
              <w:spacing w:after="0" w:line="196" w:lineRule="exact"/>
              <w:rPr>
                <w:sz w:val="20"/>
                <w:szCs w:val="20"/>
                <w:color w:val="auto"/>
              </w:rPr>
            </w:pPr>
            <w:r>
              <w:rPr>
                <w:rFonts w:ascii="Arial" w:cs="Arial" w:eastAsia="Arial" w:hAnsi="Arial"/>
                <w:sz w:val="18"/>
                <w:szCs w:val="18"/>
                <w:color w:val="0000EE"/>
                <w:w w:val="89"/>
              </w:rPr>
              <w:t>Financial Statements</w:t>
            </w:r>
          </w:p>
        </w:tc>
        <w:tc>
          <w:tcPr>
            <w:tcW w:w="83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 as of September 30, 2020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5"/>
          </w:tcPr>
          <w:p>
            <w:pP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Condensed Statement of Operations for the Period from July 31, 2020 (Inception) Through September 30, 2020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20" w:type="dxa"/>
            <w:vAlign w:val="bottom"/>
            <w:tcBorders>
              <w:bottom w:val="single" w:sz="8" w:color="0000EE"/>
            </w:tcBorders>
            <w:gridSpan w:val="4"/>
          </w:tcPr>
          <w:p>
            <w:pPr>
              <w:spacing w:after="0" w:line="19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 of Changes in Shareholders’ Equity for the Period from July 31, 2020 (Inception) Through September 30,</w:t>
              </w:r>
            </w:hyperlink>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20" w:type="dxa"/>
            <w:vAlign w:val="bottom"/>
            <w:gridSpan w:val="5"/>
          </w:tcPr>
          <w:p>
            <w:pPr>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Condensed Statement of Cash Flows for the Period from July 31, 2020 (Inception) Through September 30, 2020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8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w:t>
              </w:r>
            </w:hyperlink>
          </w:p>
        </w:tc>
        <w:tc>
          <w:tcPr>
            <w:tcW w:w="340" w:type="dxa"/>
            <w:vAlign w:val="bottom"/>
          </w:tcPr>
          <w:p>
            <w:pPr>
              <w:jc w:val="right"/>
              <w:ind w:right="7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2.</w:t>
              </w:r>
            </w:hyperlink>
          </w:p>
        </w:tc>
        <w:tc>
          <w:tcPr>
            <w:tcW w:w="120" w:type="dxa"/>
            <w:vAlign w:val="bottom"/>
          </w:tcPr>
          <w:p>
            <w:pPr>
              <w:spacing w:after="0"/>
              <w:rPr>
                <w:sz w:val="18"/>
                <w:szCs w:val="18"/>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w:t>
              </w:r>
            </w:hyperlink>
          </w:p>
        </w:tc>
        <w:tc>
          <w:tcPr>
            <w:tcW w:w="340" w:type="dxa"/>
            <w:vAlign w:val="bottom"/>
          </w:tcPr>
          <w:p>
            <w:pPr>
              <w:jc w:val="right"/>
              <w:ind w:right="7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3.</w:t>
              </w:r>
            </w:hyperlink>
          </w:p>
        </w:tc>
        <w:tc>
          <w:tcPr>
            <w:tcW w:w="120" w:type="dxa"/>
            <w:vAlign w:val="bottom"/>
          </w:tcPr>
          <w:p>
            <w:pPr>
              <w:spacing w:after="0"/>
              <w:rPr>
                <w:sz w:val="18"/>
                <w:szCs w:val="18"/>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720" w:type="dxa"/>
            <w:vAlign w:val="bottom"/>
            <w:gridSpan w:val="2"/>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4.</w:t>
              </w:r>
            </w:hyperlink>
          </w:p>
        </w:tc>
        <w:tc>
          <w:tcPr>
            <w:tcW w:w="9940" w:type="dxa"/>
            <w:vAlign w:val="bottom"/>
            <w:gridSpan w:val="6"/>
          </w:tcPr>
          <w:p>
            <w:pPr>
              <w:ind w:left="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Control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10660" w:type="dxa"/>
            <w:vAlign w:val="bottom"/>
            <w:gridSpan w:val="8"/>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PART II –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w:t>
              </w:r>
            </w:hyperlink>
          </w:p>
        </w:tc>
        <w:tc>
          <w:tcPr>
            <w:tcW w:w="9940" w:type="dxa"/>
            <w:vAlign w:val="bottom"/>
            <w:gridSpan w:val="6"/>
          </w:tcPr>
          <w:p>
            <w:pPr>
              <w:ind w:left="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1A.</w:t>
              </w:r>
            </w:hyperlink>
          </w:p>
        </w:tc>
        <w:tc>
          <w:tcPr>
            <w:tcW w:w="9940" w:type="dxa"/>
            <w:vAlign w:val="bottom"/>
            <w:gridSpan w:val="6"/>
          </w:tcPr>
          <w:p>
            <w:pPr>
              <w:ind w:left="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w:t>
              </w:r>
            </w:hyperlink>
          </w:p>
        </w:tc>
        <w:tc>
          <w:tcPr>
            <w:tcW w:w="340" w:type="dxa"/>
            <w:vAlign w:val="bottom"/>
          </w:tcPr>
          <w:p>
            <w:pPr>
              <w:jc w:val="right"/>
              <w:ind w:right="7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2.</w:t>
              </w:r>
            </w:hyperlink>
          </w:p>
        </w:tc>
        <w:tc>
          <w:tcPr>
            <w:tcW w:w="120" w:type="dxa"/>
            <w:vAlign w:val="bottom"/>
          </w:tcPr>
          <w:p>
            <w:pPr>
              <w:spacing w:after="0"/>
              <w:rPr>
                <w:sz w:val="18"/>
                <w:szCs w:val="18"/>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w:t>
              </w:r>
            </w:hyperlink>
          </w:p>
        </w:tc>
        <w:tc>
          <w:tcPr>
            <w:tcW w:w="9940" w:type="dxa"/>
            <w:vAlign w:val="bottom"/>
            <w:gridSpan w:val="6"/>
          </w:tcPr>
          <w:p>
            <w:pPr>
              <w:ind w:left="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Defaults Upon Senior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w:t>
              </w:r>
            </w:hyperlink>
          </w:p>
        </w:tc>
        <w:tc>
          <w:tcPr>
            <w:tcW w:w="9940" w:type="dxa"/>
            <w:vAlign w:val="bottom"/>
            <w:gridSpan w:val="6"/>
          </w:tcPr>
          <w:p>
            <w:pPr>
              <w:ind w:left="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5.</w:t>
              </w:r>
            </w:hyperlink>
          </w:p>
        </w:tc>
        <w:tc>
          <w:tcPr>
            <w:tcW w:w="9940" w:type="dxa"/>
            <w:vAlign w:val="bottom"/>
            <w:gridSpan w:val="6"/>
          </w:tcPr>
          <w:p>
            <w:pPr>
              <w:ind w:left="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720" w:type="dxa"/>
            <w:vAlign w:val="bottom"/>
            <w:gridSpan w:val="2"/>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6.</w:t>
              </w:r>
            </w:hyperlink>
          </w:p>
        </w:tc>
        <w:tc>
          <w:tcPr>
            <w:tcW w:w="9940" w:type="dxa"/>
            <w:vAlign w:val="bottom"/>
            <w:gridSpan w:val="6"/>
          </w:tcPr>
          <w:p>
            <w:pPr>
              <w:ind w:left="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4"/>
        </w:trPr>
        <w:tc>
          <w:tcPr>
            <w:tcW w:w="10660" w:type="dxa"/>
            <w:vAlign w:val="bottom"/>
            <w:gridSpan w:val="8"/>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rPr>
              <w:t>VPC IMPACT ACQUISITION HOLDINGS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September 30, 2020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1,230,178</w:t>
            </w:r>
          </w:p>
        </w:tc>
        <w:tc>
          <w:tcPr>
            <w:tcW w:w="0" w:type="dxa"/>
            <w:vAlign w:val="bottom"/>
          </w:tcPr>
          <w:p>
            <w:pPr>
              <w:spacing w:after="0"/>
              <w:rPr>
                <w:sz w:val="1"/>
                <w:szCs w:val="1"/>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Prepaid expense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278,363</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1,508,541</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200,000,164</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201,508,705</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liability—accrued offering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7,002,230</w:t>
            </w:r>
          </w:p>
        </w:tc>
        <w:tc>
          <w:tcPr>
            <w:tcW w:w="0" w:type="dxa"/>
            <w:vAlign w:val="bottom"/>
          </w:tcPr>
          <w:p>
            <w:pPr>
              <w:spacing w:after="0"/>
              <w:rPr>
                <w:sz w:val="1"/>
                <w:szCs w:val="1"/>
                <w:color w:val="auto"/>
              </w:rPr>
            </w:pPr>
          </w:p>
        </w:tc>
      </w:tr>
      <w:tr>
        <w:trPr>
          <w:trHeight w:val="331"/>
        </w:trPr>
        <w:tc>
          <w:tcPr>
            <w:tcW w:w="99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18,950,647 shares at $10.00 per share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189,506,470</w:t>
            </w:r>
          </w:p>
        </w:tc>
        <w:tc>
          <w:tcPr>
            <w:tcW w:w="0" w:type="dxa"/>
            <w:vAlign w:val="bottom"/>
          </w:tcPr>
          <w:p>
            <w:pPr>
              <w:spacing w:after="0"/>
              <w:rPr>
                <w:sz w:val="1"/>
                <w:szCs w:val="1"/>
                <w:color w:val="auto"/>
              </w:rPr>
            </w:pPr>
          </w:p>
        </w:tc>
      </w:tr>
      <w:tr>
        <w:trPr>
          <w:trHeight w:val="324"/>
        </w:trPr>
        <w:tc>
          <w:tcPr>
            <w:tcW w:w="99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900" w:type="dxa"/>
            <w:vAlign w:val="bottom"/>
          </w:tcPr>
          <w:p>
            <w:pPr>
              <w:spacing w:after="0" w:line="201" w:lineRule="exact"/>
              <w:rPr>
                <w:sz w:val="20"/>
                <w:szCs w:val="20"/>
                <w:color w:val="auto"/>
              </w:rPr>
            </w:pPr>
            <w:r>
              <w:rPr>
                <w:rFonts w:ascii="Arial" w:cs="Arial" w:eastAsia="Arial" w:hAnsi="Arial"/>
                <w:sz w:val="18"/>
                <w:szCs w:val="18"/>
                <w:color w:val="auto"/>
                <w:w w:val="95"/>
              </w:rPr>
              <w:t>Class A ordinary shares, $0.0001 par value; 200,000,000 shares authorized; 1,049,353 shares issued and outstanding (excluding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00" w:type="dxa"/>
            <w:vAlign w:val="bottom"/>
          </w:tcPr>
          <w:p>
            <w:pPr>
              <w:ind w:left="180"/>
              <w:spacing w:after="0"/>
              <w:rPr>
                <w:sz w:val="20"/>
                <w:szCs w:val="20"/>
                <w:color w:val="auto"/>
              </w:rPr>
            </w:pPr>
            <w:r>
              <w:rPr>
                <w:rFonts w:ascii="Arial" w:cs="Arial" w:eastAsia="Arial" w:hAnsi="Arial"/>
                <w:sz w:val="18"/>
                <w:szCs w:val="18"/>
                <w:color w:val="auto"/>
              </w:rPr>
              <w:t>18,950,647 shares subject to possible redemption)</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Class B ordinary shares, $0.0001 par value; 20,000,000 shares authorized; 5,184,300 shares issued and outstanding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5,016,761</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3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201,508,705</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40" w:hanging="424"/>
        <w:spacing w:after="0" w:line="259"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September 30, 2020. All share amounts have been retroactively restated to reflect the forfeiture (see Note 5).</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 THE PERIOD FROM JULY 31, 2020 (INCEPTION) THROUGH SEPTEMBER 30,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17,543</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A redeemable ordinary shares</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redeemable ordinary shares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 xml:space="preserve">Weighted average shares outstanding of Class B non-redeemable ordinary shares </w:t>
            </w:r>
            <w:r>
              <w:rPr>
                <w:rFonts w:ascii="Arial" w:cs="Arial" w:eastAsia="Arial" w:hAnsi="Arial"/>
                <w:sz w:val="15"/>
                <w:szCs w:val="15"/>
                <w:color w:val="auto"/>
              </w:rPr>
              <w:t>(1)</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5,184,300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 non-redeemable ordinary shares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40" w:hanging="424"/>
        <w:spacing w:after="0" w:line="259"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September 30, 2020. All share amounts have been retroactively restated to reflect the forfeiture (see Note 5).</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5" w:name="page6"/>
    <w:bookmarkEnd w:id="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STATEMENT OF CHANGES IN SHAREHOLDERS’ EQUITY</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 THE PERIOD FROM JULY 31, 2020 (INCEPTION) THROUGH SEPTEMBER 30,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560"/>
              <w:spacing w:after="0"/>
              <w:rPr>
                <w:sz w:val="20"/>
                <w:szCs w:val="20"/>
                <w:color w:val="auto"/>
              </w:rPr>
            </w:pPr>
            <w:r>
              <w:rPr>
                <w:rFonts w:ascii="Arial" w:cs="Arial" w:eastAsia="Arial" w:hAnsi="Arial"/>
                <w:sz w:val="14"/>
                <w:szCs w:val="14"/>
                <w:b w:val="1"/>
                <w:bCs w:val="1"/>
                <w:color w:val="auto"/>
                <w:w w:val="93"/>
              </w:rPr>
              <w:t>Class B</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Ordinary Shares</w:t>
            </w: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Paid in</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10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31, 2020 (Inception)</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Issuance of Class B ordinary shares to</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Sponsor</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5,750,000</w:t>
            </w:r>
          </w:p>
        </w:tc>
        <w:tc>
          <w:tcPr>
            <w:tcW w:w="16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24,425</w:t>
            </w:r>
          </w:p>
        </w:tc>
        <w:tc>
          <w:tcPr>
            <w:tcW w:w="160" w:type="dxa"/>
            <w:vAlign w:val="bottom"/>
          </w:tcPr>
          <w:p>
            <w:pPr>
              <w:spacing w:after="0"/>
              <w:rPr>
                <w:sz w:val="20"/>
                <w:szCs w:val="20"/>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Sale of 20,000,000 Units, net of underwriting</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discounts and offering costs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188,496,854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188,498,854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3"/>
              </w:rPr>
              <w:t>Sale of 6,000,000 Private Placement Warrants</w:t>
            </w: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(565,700)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(18,950,647)</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(1,895)</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(189,504,575)</w:t>
            </w:r>
          </w:p>
        </w:tc>
        <w:tc>
          <w:tcPr>
            <w:tcW w:w="160" w:type="dxa"/>
            <w:vAlign w:val="bottom"/>
          </w:tcPr>
          <w:p>
            <w:pPr>
              <w:spacing w:after="0"/>
              <w:rPr>
                <w:sz w:val="20"/>
                <w:szCs w:val="20"/>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(189,506,470)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(17,379)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 xml:space="preserve">Balance – September 30, 2020 </w:t>
            </w:r>
            <w:r>
              <w:rPr>
                <w:rFonts w:ascii="Arial" w:cs="Arial" w:eastAsia="Arial" w:hAnsi="Arial"/>
                <w:sz w:val="15"/>
                <w:szCs w:val="15"/>
                <w:b w:val="1"/>
                <w:bCs w:val="1"/>
                <w:color w:val="auto"/>
              </w:rPr>
              <w:t>(1)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105</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5,184,300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5,016,761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5"/>
              </w:rPr>
              <w:t>(17,379</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40" w:hanging="424"/>
        <w:spacing w:after="0" w:line="259"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September 30, 2020. All share amounts have been retroactively restated to reflect the forfeiture (see Note 5).</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FROM JULY 31, 2020 (INCEPTION) THROUGH SEPTEMBER 30,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Formation costs paid by Sponsor</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(278,363)</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196,000,000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Payments of offering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(397,793)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201,519,478</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1,230,178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Offering costs included in accrued offering costs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ordinary shares subject to possible redemption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189,517,240</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Offering costs paid directly by Sponsor from proceeds of issuance of Class B ordinary shares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4" w:right="30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As of September 30, 2020, the Company had not commenced any operations. All activity for the period from July 31, 2020 (inception) through September 30,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4" w:right="40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16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84"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Transaction costs amounted to $11,501,146, consisting of $4,000,000 of underwriting fees, $7,000,000 of deferred underwriting fees and $501,146 of other offering costs. In addition, at September 25, 2020 cash of $1,205,178 was held outside of the Trust Account (as defined below) and is available for working capital purposes.</w:t>
      </w:r>
    </w:p>
    <w:p>
      <w:pPr>
        <w:spacing w:after="0" w:line="184"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Following the closing of the Initial Public Offering on September 25, 2020, an amount of $200,000,000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9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 2020. As such, on October 1, 2020, the Company consummated the sale of an additional 737,202 Units, at $10.00 per Unit, and the sale of an additional 147,440 Private Placement Warrants, at $1.00 per Private Warrant, generating total gross proceeds of $7,519,460. A total of $7,372,020 of the net proceeds was deposited into the Trust Account, bringing the aggregate proceeds held in the Trust Account to $207,372,020 (see Note 9).</w:t>
      </w:r>
    </w:p>
    <w:p>
      <w:pPr>
        <w:spacing w:after="0" w:line="157"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w:t>
      </w:r>
    </w:p>
    <w:p>
      <w:pPr>
        <w:ind w:left="4" w:hanging="4"/>
        <w:spacing w:after="0" w:line="288"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ectPr>
          <w:pgSz w:w="11900" w:h="16838" w:orient="portrait"/>
          <w:cols w:equalWidth="0" w:num="1">
            <w:col w:w="11004"/>
          </w:cols>
          <w:pgMar w:left="436" w:top="270" w:right="459" w:bottom="1440" w:gutter="0" w:footer="0" w:header="0"/>
        </w:sectPr>
      </w:pP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04"/>
          </w:cols>
          <w:pgMar w:left="436" w:top="270" w:right="459" w:bottom="1440" w:gutter="0" w:footer="0" w:header="0"/>
          <w:type w:val="continuous"/>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85"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4" w:right="2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4" w:right="120" w:hanging="4"/>
        <w:spacing w:after="0" w:line="270" w:lineRule="auto"/>
        <w:tabs>
          <w:tab w:leader="none" w:pos="219"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w:t>
      </w:r>
    </w:p>
    <w:p>
      <w:pPr>
        <w:ind w:left="4" w:right="20" w:hanging="4"/>
        <w:spacing w:after="0" w:line="287" w:lineRule="auto"/>
        <w:tabs>
          <w:tab w:leader="none" w:pos="269"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70"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4" w:right="80"/>
        <w:spacing w:after="0" w:line="273"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accompanying unaudited condensed financial statements should be read in conjunction with the Company’s prospectus for its Initial Public Offering as filed with the SEC on September 24, 2020, as well as the Company’s Current Reports on Form 8-K, as filed with the SEC on September 28, 2020, and October 1, 2020. The interim results for the period from July 31, 2020 (inception) through September 30, 2020 are not necessarily indicative of the results to be expected for the period ending December 31, 2020 or for any future interim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Ordinary Shares Subject to Possible Redemption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September 30, 2020, Class A ordinary shares subject to possible redemption are presented as temporary equity, outside of the shareholders’ equity section of the Company’s condensed balance sheet.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Offering costs consist of legal, accounting, underwriting fees and other costs incurred through the Initial Public Offering that are directly related to the Initial Public Offering. Offering costs amounting to $11,501,146 were charged to shareholders’ equity upon the completion of the Initial Public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September 30,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Ordinary Share</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share is computed by dividing net income (loss) by the weighted average number of ordinary shares outstanding for the period. The calculation of diluted income (loss) per share does not consider the effect of the warrants issued in connection with the (i) Initial Public Offering, and (ii) Private Placement Warrants since the exercise of the warrants are contingent upon the occurrence of future events and the inclusion of such warrants would be anti-dilutive. The warrants are exercisable to purchase 16,000,000 shares of Class A ordinary shares in the aggregate.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similar to the two-class method of income (loss) per share. Net income per share, basic and diluted, for Class A redeemable ordinary shares is calculated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dividing the interest income earned on the Trust Account of approximately $200 for the period from July 31, 2020 (inception) through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by the weighted average number of Class A redeemable ordinary shares outstanding for the period. Net loss per share, basic and diluted,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B non-redeemable ordinary shares is calculated by dividing the net loss, adjusted for income attributable to Class A redeemable ordinary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$200, by the weighted average number of Class B non-redeemable ordinary shares outstanding for the period. Class B non-redeemable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includes the Founder Shares as these shares do not have any redemption features and do not participate in the income earned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 Account.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ectPr>
          <w:pgSz w:w="11900" w:h="16838" w:orient="portrait"/>
          <w:cols w:equalWidth="0" w:num="1">
            <w:col w:w="11000"/>
          </w:cols>
          <w:pgMar w:left="440" w:top="270" w:right="45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00"/>
          </w:cols>
          <w:pgMar w:left="440" w:top="270" w:right="45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Company’s condensed balance sheet, primarily due to their short-term nature.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(see Note 9).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Placement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(see Note 9). Each Private Placement Warrant is exercisable to purchase one Class A ordinary share at a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 All share amounts have been retroactively restated to reflect the forfeiture.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Note—Related Party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3, 2020, the Company issued an unsecured promissory note (the “Promissory Note”)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2020, the Company had no outstanding borrowings under the Working Capital Loans.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Shareholders Rights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granted the underwriters a 45-day option to purchase up to 3,000,000 additional Units to cover over-allotments at the Initial Public Offering price, less the underwriting discounts and commissions. On October 1, 2020, the underwriters partially exercised their over-allotment option to purchase an additional 737,202 Units at $10.00 per Unit and forfeited the remaining over-allotment option.</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underwriters are entitled to a deferred fee of $0.35 per Unit, or $7,000,000 in the aggregate (see Note 9). The deferred fee will become payable to the underwriters from the amounts held in the Trust Account solely in the event that the Company completes a Business Combination, subject to the terms of the underwriting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Shareholders’ Equity</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September 30, 2020, there were no preference shares issued or outstanding.</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entitled to one vote for each share. At September 30, 2020, there were 1,049,353 Class A ordinary shares issued and outstanding, excluding 18,950,647 Class A ordinary shares subject to possible redemption.</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B ordinary shares are entitled to one vote for each share. At September 30, 2020, there were 5,184,300 Class B ordinary shares issued and outstanding, of which an aggregate of up to 750,000 shares were subject to forfeiture depending on the extent to which the underwriters’ over-allotment option was exercised, so that the number of Class B ordinary shares would equal 20% of the Company’s issued and outstanding ordinary shares after the Initial Public Offering (see Note 9).</w:t>
      </w:r>
    </w:p>
    <w:p>
      <w:pPr>
        <w:sectPr>
          <w:pgSz w:w="11900" w:h="16838" w:orient="portrait"/>
          <w:cols w:equalWidth="0" w:num="1">
            <w:col w:w="10980"/>
          </w:cols>
          <w:pgMar w:left="440" w:top="270" w:right="479" w:bottom="1440" w:gutter="0" w:footer="0" w:header="0"/>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80"/>
          </w:cols>
          <w:pgMar w:left="440" w:top="270" w:right="47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76"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960" w:right="340" w:hanging="424"/>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r>
        <w:rPr>
          <w:rFonts w:ascii="Arial" w:cs="Arial" w:eastAsia="Arial" w:hAnsi="Arial"/>
          <w:sz w:val="18"/>
          <w:szCs w:val="18"/>
          <w:color w:val="auto"/>
        </w:rPr>
        <w:t>. 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76"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$0.10 per warrant;</w:t>
      </w:r>
    </w:p>
    <w:p>
      <w:pPr>
        <w:spacing w:after="0" w:line="130"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spacing w:after="0" w:line="89"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9" w:lineRule="exact"/>
        <w:rPr>
          <w:rFonts w:ascii="Arial" w:cs="Arial" w:eastAsia="Arial" w:hAnsi="Arial"/>
          <w:sz w:val="18"/>
          <w:szCs w:val="18"/>
          <w:color w:val="auto"/>
        </w:rPr>
      </w:pPr>
    </w:p>
    <w:p>
      <w:pPr>
        <w:ind w:left="960" w:hanging="424"/>
        <w:spacing w:after="0" w:line="275"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—Warrants—Public Warrants—Anti-dilution Adjustments”),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2020, assets held in the Trust Account were comprised of $200,000,164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9" w:lineRule="exact"/>
        <w:rPr>
          <w:sz w:val="20"/>
          <w:szCs w:val="20"/>
          <w:color w:val="auto"/>
        </w:rPr>
      </w:pPr>
    </w:p>
    <w:p>
      <w:pPr>
        <w:ind w:left="1000" w:right="60" w:hanging="998"/>
        <w:spacing w:after="0" w:line="274" w:lineRule="auto"/>
        <w:tabs>
          <w:tab w:leader="none" w:pos="9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ind w:left="1000" w:right="500" w:hanging="998"/>
        <w:spacing w:after="0" w:line="250" w:lineRule="auto"/>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vMerge w:val="restart"/>
          </w:tcPr>
          <w:p>
            <w:pPr>
              <w:ind w:left="4100"/>
              <w:spacing w:after="0"/>
              <w:rPr>
                <w:sz w:val="20"/>
                <w:szCs w:val="20"/>
                <w:color w:val="auto"/>
              </w:rPr>
            </w:pPr>
            <w:r>
              <w:rPr>
                <w:rFonts w:ascii="Arial" w:cs="Arial" w:eastAsia="Arial" w:hAnsi="Arial"/>
                <w:sz w:val="14"/>
                <w:szCs w:val="14"/>
                <w:b w:val="1"/>
                <w:bCs w:val="1"/>
                <w:color w:val="auto"/>
              </w:rPr>
              <w:t>Description</w:t>
            </w: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Level</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92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$200,000,164</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were issued. Based upon this review, other than as described below, the Company did not identify any subsequent events that would have required adjustment or disclosure in the unaudited condensed financial statements.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September 29, 2020, the underwriters notified the Company of their intention to partially exercise their over-allotment option on October 1, 2020. As such, on October 1, 2020, the Company consummated the sale of an additional 737,202 Units, at $10.00 per Unit, and the sale of an additional 147,440 Private Placement Warrants, at $1.00 per Private Warrant, generating total gross proceeds of $7,519,460.</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Transaction costs amounted to $405,461, consisting of underwriting fees (including $258,021 of deferred fees). A total of $7,372,020 of the net proceeds was deposited into the Trust Account, bringing the aggregate proceeds held in the Trust Account to $207,372,020.</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a result of the underwriters’ election to partially exercise their over-allotment option and the forfeiture of the remaining over-allotment option, 565,700 Founder Shares were forfeited and 184,300 Founder Shares are no longer subject to forfeiture resulting in an aggregate of 5,184,300 Founder Shares outstanding at October 1, 2020. All share and per-share amounts have been retroactively restated to reflect the forfeiture.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6" w:name="page17"/>
    <w:bookmarkEnd w:id="1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References in this report (the “Quarterly Report”) to “we,” “us” or the “Company” refer to VPC Impact Acquisition Holdings. References to our “management” or our “management team” refer to our officers and directors, and references to the “Sponsor” refer to VPC Impact Acquisition Holdings Sponsor,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“anticipate,” “believe,” “continue,” “could,” “estimate,” “expect,” “intends,” “may,” “might,” “plan,” “possible,” “potential,” “predict,” “project,” “should,” “would” and variations thereof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the initial public offering (“Initial Public Offering”) filed with the U.S. Securities and Exchange Commission (the “SEC”) on September 29,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are a blank check company incorporated on July 31, 2020 as a Cayman Islands exempted company for the purpose of effecting a merger, share exchange, asset acquisition, share purchase, reorganization or similar business combination with one or more businesses or entities (the “Business Combination”).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our Initial Public Offering and the sale of the private placement warrants, our shares, debt or a combination of cash, equity and debt.</w:t>
      </w:r>
    </w:p>
    <w:p>
      <w:pPr>
        <w:spacing w:after="0" w:line="1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neither engaged in any operations (other than searching for a Business Combination after our Initial Public Offering) nor generated any revenues to date. Our only activities from inception to September 30, 2020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Business Combination.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period from July 31, 2020 (inception) through September 30, 2020, we had a net loss of $17,379, which consisted of formation and operating expenses of $17,543, offset by interest earned on investments held in the Trust Account of $164.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September 25, 2020, we consummated the Initial Public Offering of 20,000,000 units (the ”Units”), at a price of $10.00 per Unit, generating gross proceeds of $200,000,000. Simultaneously with the closing of the Initial Public Offering, we consummated the sale of 6,000,000 warrants (the “Private Placement Warrants”) to the Sponsor at a price of $1.00 per Private Placement Warrant generating gross proceeds of $6,000,000.</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$11,501,146 in transaction costs, including $4,000,000 of underwriting fees, $7,000,000 of deferred underwriting fees and $501,146 of other offering costs.</w:t>
      </w:r>
    </w:p>
    <w:p>
      <w:pPr>
        <w:sectPr>
          <w:pgSz w:w="11900" w:h="16838" w:orient="portrait"/>
          <w:cols w:equalWidth="0" w:num="1">
            <w:col w:w="10980"/>
          </w:cols>
          <w:pgMar w:left="440" w:top="270" w:right="4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80"/>
          </w:cols>
          <w:pgMar w:left="440" w:top="270" w:right="479" w:bottom="1440" w:gutter="0" w:footer="0" w:header="0"/>
          <w:type w:val="continuous"/>
        </w:sectPr>
      </w:pPr>
    </w:p>
    <w:bookmarkStart w:id="17" w:name="page18"/>
    <w:bookmarkEnd w:id="17"/>
    <w:p>
      <w:pPr>
        <w:jc w:val="both"/>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period from July 31, 2020 (inception) through September 30, 2020, net cash used in operating activities was $289,300, which consisted of our net loss of $17,379, interest earned on investments of $164, formation expenses paid by the Sponsor of $6,606 and changes in operating assets and liabilities, which used $278,363 of cash from operating activities.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September 30, 2020, we had investments held in the Trust Account of $200,000,164.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At September 30, 2020, we had cash of $1,230,178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a monthly fee of $10,000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(see Note 9). The deferred fee will become payable to the underwriters from the amounts held in the Trust Account solely in the event that we complete a Business Combination, subject to the terms of the underwriting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Critical Accounting Policies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Accounting Standards Codification (“ASC”) Topic 480 “Distinguishing Liabilities from Equity.”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ordinary share, basic and diluted for Class A redeemable ordinary shares is calculated by dividing the interest income earned on the Trust Account by the weighted average number of Class A redeemable ordinary shares outstanding since original issuance. Net loss per common share, basic and diluted for Class B non-redeemable ordinary shares is calculated by dividing the net income (loss), less income attributable to Class A redeemable ordinary shares, by the weighted average number of Class B non-redeemable ordinary shares outstanding for the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our disclosure controls and procedures (as defined in Rules 13a-15 (e) and 15d-15 (e) under the Exchange Act)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II—OTHER INFORMATION</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Factors that could cause our actual results to differ materially from those in this Quarterly Report are any of the risks described in our final prospectus for our Initial Public Offering filed with the SEC on September 24, 2020.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for our Initial Public Offering filed with the SEC on September 24, 2020, except for the below risk factor. We may disclose changes to such factors or disclose additional factors from time to time in our future filings with the SEC.</w:t>
      </w:r>
    </w:p>
    <w:p>
      <w:pPr>
        <w:spacing w:after="0" w:line="28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33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September 25, 2020, we consummated our Initial Public Offering of 20,000,000 Units. On October 1, 2020, in connection with underwriters’ election to partially exercise their option to purchase additional Units, we sold an additional 737,202 Units., at a price of $10.00 per Unit, generating total gross proceeds of $207,372,020. Jefferies LLC acted as the sole book-running manager. The securities sold in the offering were registered under the Securities Act on registration statements on Form S-1 (No. 333-248619). The registration statements became effective on September 22, 2020.</w:t>
      </w:r>
    </w:p>
    <w:p>
      <w:pPr>
        <w:spacing w:after="0" w:line="15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Simultaneously with the consummation of the Initial Public Offering, and the exercise of the over-allotment option in part and the sale of the Private Placement Warrants, we consummated a private placement of 6,147,440 Private Placement Warrants to our Sponsor at a price of $1.00 per Private Placement Warrant, generating total proceeds of $6,147,440. Such securities were issued pursuant to the exemption from registration contained in Section 4(a)(2) of the Securities Act.</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the gross proceeds received from the Initial Public Offering including the partial exercise of the option to purchase additional Units, and the sale of the Private Placement Warrants, $207,372,020 was placed in the Trust Account.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paid a total of $4,147,440 in underwriting discounts and commissions and $501,146 for other offering costs related to the Initial Public Offering. In addition, the underwriters agreed to defer $7,258,021 in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440" w:top="270" w:right="439" w:bottom="1440" w:gutter="0" w:footer="0" w:header="0"/>
          <w:type w:val="continuous"/>
        </w:sectPr>
      </w:pPr>
    </w:p>
    <w:bookmarkStart w:id="20" w:name="page21"/>
    <w:bookmarkEnd w:id="20"/>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gridSpan w:val="16"/>
          </w:tcPr>
          <w:p>
            <w:pPr>
              <w:ind w:left="120"/>
              <w:spacing w:after="0"/>
              <w:rPr>
                <w:sz w:val="20"/>
                <w:szCs w:val="20"/>
                <w:color w:val="auto"/>
              </w:rPr>
            </w:pPr>
            <w:r>
              <w:rPr>
                <w:rFonts w:ascii="Arial" w:cs="Arial" w:eastAsia="Arial" w:hAnsi="Arial"/>
                <w:sz w:val="14"/>
                <w:szCs w:val="14"/>
                <w:b w:val="1"/>
                <w:bCs w:val="1"/>
                <w:color w:val="auto"/>
              </w:rPr>
              <w:t>Description of Exhibit</w:t>
            </w:r>
          </w:p>
        </w:tc>
      </w:tr>
      <w:tr>
        <w:trPr>
          <w:trHeight w:val="270"/>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3"/>
                <w:szCs w:val="23"/>
                <w:color w:val="auto"/>
              </w:rPr>
            </w:pPr>
          </w:p>
        </w:tc>
        <w:tc>
          <w:tcPr>
            <w:tcW w:w="9800" w:type="dxa"/>
            <w:vAlign w:val="bottom"/>
            <w:tcBorders>
              <w:top w:val="single" w:sz="8" w:color="auto"/>
            </w:tcBorders>
            <w:gridSpan w:val="30"/>
          </w:tcPr>
          <w:p>
            <w:pPr>
              <w:spacing w:after="0"/>
              <w:rPr>
                <w:rFonts w:ascii="Arial" w:cs="Arial" w:eastAsia="Arial" w:hAnsi="Arial"/>
                <w:sz w:val="18"/>
                <w:szCs w:val="18"/>
                <w:color w:val="0000EE"/>
                <w:w w:val="98"/>
              </w:rPr>
            </w:pPr>
            <w:hyperlink r:id="rId35">
              <w:r>
                <w:rPr>
                  <w:rFonts w:ascii="Arial" w:cs="Arial" w:eastAsia="Arial" w:hAnsi="Arial"/>
                  <w:sz w:val="18"/>
                  <w:szCs w:val="18"/>
                  <w:color w:val="0000EE"/>
                  <w:w w:val="98"/>
                </w:rPr>
                <w:t>Underwriting Agreement, dated September 22, 2020, by and between VPC Impact Acquisition Holdings and Jefferies LLC, as</w:t>
              </w:r>
            </w:hyperlink>
          </w:p>
        </w:tc>
      </w:tr>
      <w:tr>
        <w:trPr>
          <w:trHeight w:val="169"/>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89"/>
              </w:rPr>
            </w:pPr>
            <w:hyperlink r:id="rId35">
              <w:r>
                <w:rPr>
                  <w:rFonts w:ascii="Arial" w:cs="Arial" w:eastAsia="Arial" w:hAnsi="Arial"/>
                  <w:sz w:val="18"/>
                  <w:szCs w:val="18"/>
                  <w:color w:val="0000EE"/>
                  <w:w w:val="89"/>
                </w:rPr>
                <w:t>representative of the underwriters.</w:t>
              </w:r>
            </w:hyperlink>
          </w:p>
        </w:tc>
        <w:tc>
          <w:tcPr>
            <w:tcW w:w="18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87"/>
              </w:rPr>
            </w:pPr>
            <w:hyperlink r:id="rId35">
              <w:r>
                <w:rPr>
                  <w:rFonts w:ascii="Arial" w:cs="Arial" w:eastAsia="Arial" w:hAnsi="Arial"/>
                  <w:sz w:val="15"/>
                  <w:szCs w:val="15"/>
                  <w:color w:val="0000EE"/>
                  <w:w w:val="87"/>
                </w:rPr>
                <w:t>(1)</w:t>
              </w:r>
            </w:hyperlink>
          </w:p>
        </w:tc>
        <w:tc>
          <w:tcPr>
            <w:tcW w:w="2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76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32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220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40" w:type="dxa"/>
            <w:vAlign w:val="bottom"/>
            <w:tcBorders>
              <w:top w:val="single" w:sz="8" w:color="0000EE"/>
              <w:bottom w:val="single" w:sz="8" w:color="0000EE"/>
            </w:tcBorders>
          </w:tcPr>
          <w:p>
            <w:pPr>
              <w:spacing w:after="0"/>
              <w:rPr>
                <w:sz w:val="14"/>
                <w:szCs w:val="14"/>
                <w:color w:val="auto"/>
              </w:rPr>
            </w:pPr>
          </w:p>
        </w:tc>
        <w:tc>
          <w:tcPr>
            <w:tcW w:w="248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10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Amended and Restated Memorandum and Articles of Association of VPC Impact Acquisition Holdings.</w:t>
              </w:r>
              <w:r>
                <w:rPr>
                  <w:rFonts w:ascii="Arial" w:cs="Arial" w:eastAsia="Arial" w:hAnsi="Arial"/>
                  <w:sz w:val="15"/>
                  <w:szCs w:val="15"/>
                  <w:u w:val="single" w:color="auto"/>
                  <w:color w:val="0000EE"/>
                </w:rPr>
                <w:t>(1)</w:t>
              </w:r>
            </w:hyperlink>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9660" w:type="dxa"/>
            <w:vAlign w:val="bottom"/>
            <w:tcBorders>
              <w:bottom w:val="single" w:sz="8" w:color="0000EE"/>
            </w:tcBorders>
            <w:gridSpan w:val="26"/>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Warrant Agreement, dated September 22, 2020, by and between VPC Impact Acquisition Holdings and Continental Stock Transfer &amp;</w:t>
              </w:r>
            </w:hyperlink>
          </w:p>
        </w:tc>
        <w:tc>
          <w:tcPr>
            <w:tcW w:w="140" w:type="dxa"/>
            <w:vAlign w:val="bottom"/>
            <w:gridSpan w:val="4"/>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gridSpan w:val="2"/>
          </w:tcPr>
          <w:p>
            <w:pPr>
              <w:spacing w:after="0" w:line="169" w:lineRule="exact"/>
              <w:rPr>
                <w:rFonts w:ascii="Arial" w:cs="Arial" w:eastAsia="Arial" w:hAnsi="Arial"/>
                <w:sz w:val="18"/>
                <w:szCs w:val="18"/>
                <w:color w:val="0000EE"/>
                <w:w w:val="88"/>
              </w:rPr>
            </w:pPr>
            <w:hyperlink r:id="rId37">
              <w:r>
                <w:rPr>
                  <w:rFonts w:ascii="Arial" w:cs="Arial" w:eastAsia="Arial" w:hAnsi="Arial"/>
                  <w:sz w:val="18"/>
                  <w:szCs w:val="18"/>
                  <w:color w:val="0000EE"/>
                  <w:w w:val="88"/>
                </w:rPr>
                <w:t>Trust Company, as warrant agent.</w:t>
              </w:r>
            </w:hyperlink>
          </w:p>
        </w:tc>
        <w:tc>
          <w:tcPr>
            <w:tcW w:w="160" w:type="dxa"/>
            <w:vAlign w:val="bottom"/>
            <w:tcBorders>
              <w:bottom w:val="single" w:sz="8" w:color="0000EE"/>
            </w:tcBorders>
            <w:gridSpan w:val="4"/>
          </w:tcPr>
          <w:p>
            <w:pPr>
              <w:jc w:val="right"/>
              <w:spacing w:after="0" w:line="156" w:lineRule="exact"/>
              <w:rPr>
                <w:rFonts w:ascii="Arial" w:cs="Arial" w:eastAsia="Arial" w:hAnsi="Arial"/>
                <w:sz w:val="15"/>
                <w:szCs w:val="15"/>
                <w:color w:val="0000EE"/>
                <w:w w:val="76"/>
              </w:rPr>
            </w:pPr>
            <w:hyperlink r:id="rId37">
              <w:r>
                <w:rPr>
                  <w:rFonts w:ascii="Arial" w:cs="Arial" w:eastAsia="Arial" w:hAnsi="Arial"/>
                  <w:sz w:val="15"/>
                  <w:szCs w:val="15"/>
                  <w:color w:val="0000EE"/>
                  <w:w w:val="76"/>
                </w:rPr>
                <w:t>(1)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10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86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Letter Agreement, dated September 22, 2020, by and among VPC Impact Acquisition Holdings, its executive officers, its directors and</w:t>
              </w:r>
            </w:hyperlink>
          </w:p>
        </w:tc>
      </w:tr>
      <w:tr>
        <w:trPr>
          <w:trHeight w:val="169"/>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Borders>
              <w:top w:val="single" w:sz="8" w:color="0000EE"/>
              <w:bottom w:val="single" w:sz="8" w:color="0000EE"/>
            </w:tcBorders>
            <w:gridSpan w:val="10"/>
          </w:tcPr>
          <w:p>
            <w:pPr>
              <w:spacing w:after="0" w:line="169"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VPC Impact Acquisition Holdings Sponsor, LLC.</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38">
              <w:r>
                <w:rPr>
                  <w:rFonts w:ascii="Arial" w:cs="Arial" w:eastAsia="Arial" w:hAnsi="Arial"/>
                  <w:sz w:val="15"/>
                  <w:szCs w:val="15"/>
                  <w:color w:val="0000EE"/>
                  <w:w w:val="87"/>
                </w:rPr>
                <w:t>(1)</w:t>
              </w:r>
            </w:hyperlink>
          </w:p>
        </w:tc>
        <w:tc>
          <w:tcPr>
            <w:tcW w:w="32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rPr>
                <w:sz w:val="14"/>
                <w:szCs w:val="14"/>
                <w:color w:val="auto"/>
              </w:rPr>
            </w:pPr>
          </w:p>
        </w:tc>
        <w:tc>
          <w:tcPr>
            <w:tcW w:w="220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40" w:type="dxa"/>
            <w:vAlign w:val="bottom"/>
            <w:tcBorders>
              <w:top w:val="single" w:sz="8" w:color="0000EE"/>
              <w:bottom w:val="single" w:sz="8" w:color="0000EE"/>
            </w:tcBorders>
          </w:tcPr>
          <w:p>
            <w:pPr>
              <w:spacing w:after="0"/>
              <w:rPr>
                <w:sz w:val="14"/>
                <w:szCs w:val="14"/>
                <w:color w:val="auto"/>
              </w:rPr>
            </w:pPr>
          </w:p>
        </w:tc>
        <w:tc>
          <w:tcPr>
            <w:tcW w:w="2480" w:type="dxa"/>
            <w:vAlign w:val="bottom"/>
            <w:tcBorders>
              <w:top w:val="single" w:sz="8" w:color="0000EE"/>
              <w:bottom w:val="single" w:sz="8" w:color="0000EE"/>
            </w:tcBorders>
          </w:tcPr>
          <w:p>
            <w:pPr>
              <w:spacing w:after="0"/>
              <w:rPr>
                <w:sz w:val="14"/>
                <w:szCs w:val="14"/>
                <w:color w:val="auto"/>
              </w:rPr>
            </w:pPr>
          </w:p>
        </w:tc>
        <w:tc>
          <w:tcPr>
            <w:tcW w:w="400" w:type="dxa"/>
            <w:vAlign w:val="bottom"/>
            <w:tcBorders>
              <w:top w:val="single" w:sz="8" w:color="0000EE"/>
              <w:bottom w:val="single" w:sz="8" w:color="0000EE"/>
            </w:tcBorders>
            <w:gridSpan w:val="2"/>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60" w:type="dxa"/>
            <w:vAlign w:val="bottom"/>
            <w:tcBorders>
              <w:top w:val="single" w:sz="8" w:color="0000EE"/>
              <w:bottom w:val="single" w:sz="8" w:color="0000EE"/>
            </w:tcBorders>
            <w:gridSpan w:val="2"/>
          </w:tcPr>
          <w:p>
            <w:pPr>
              <w:spacing w:after="0"/>
              <w:rPr>
                <w:sz w:val="14"/>
                <w:szCs w:val="14"/>
                <w:color w:val="auto"/>
              </w:rPr>
            </w:pPr>
          </w:p>
        </w:tc>
        <w:tc>
          <w:tcPr>
            <w:tcW w:w="40" w:type="dxa"/>
            <w:vAlign w:val="bottom"/>
            <w:tcBorders>
              <w:top w:val="single" w:sz="8" w:color="0000EE"/>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1300" w:type="dxa"/>
            <w:vAlign w:val="bottom"/>
            <w:tcBorders>
              <w:bottom w:val="single" w:sz="8" w:color="0000EE"/>
            </w:tcBorders>
            <w:gridSpan w:val="6"/>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60" w:type="dxa"/>
            <w:vAlign w:val="bottom"/>
          </w:tcPr>
          <w:p>
            <w:pPr>
              <w:spacing w:after="0"/>
              <w:rPr>
                <w:sz w:val="20"/>
                <w:szCs w:val="20"/>
                <w:color w:val="auto"/>
              </w:rPr>
            </w:pPr>
            <w:r>
              <w:rPr>
                <w:rFonts w:ascii="Arial" w:cs="Arial" w:eastAsia="Arial" w:hAnsi="Arial"/>
                <w:sz w:val="18"/>
                <w:szCs w:val="18"/>
                <w:color w:val="auto"/>
                <w:w w:val="96"/>
              </w:rPr>
              <w:t>10.2</w:t>
            </w:r>
          </w:p>
        </w:tc>
        <w:tc>
          <w:tcPr>
            <w:tcW w:w="860" w:type="dxa"/>
            <w:vAlign w:val="bottom"/>
          </w:tcPr>
          <w:p>
            <w:pPr>
              <w:spacing w:after="0"/>
              <w:rPr>
                <w:sz w:val="24"/>
                <w:szCs w:val="24"/>
                <w:color w:val="auto"/>
              </w:rPr>
            </w:pPr>
          </w:p>
        </w:tc>
        <w:tc>
          <w:tcPr>
            <w:tcW w:w="9800" w:type="dxa"/>
            <w:vAlign w:val="bottom"/>
            <w:gridSpan w:val="30"/>
          </w:tcPr>
          <w:p>
            <w:pPr>
              <w:spacing w:after="0"/>
              <w:rPr>
                <w:rFonts w:ascii="Arial" w:cs="Arial" w:eastAsia="Arial" w:hAnsi="Arial"/>
                <w:sz w:val="18"/>
                <w:szCs w:val="18"/>
                <w:color w:val="0000EE"/>
                <w:w w:val="97"/>
              </w:rPr>
            </w:pPr>
            <w:hyperlink r:id="rId39">
              <w:r>
                <w:rPr>
                  <w:rFonts w:ascii="Arial" w:cs="Arial" w:eastAsia="Arial" w:hAnsi="Arial"/>
                  <w:sz w:val="18"/>
                  <w:szCs w:val="18"/>
                  <w:color w:val="0000EE"/>
                  <w:w w:val="97"/>
                </w:rPr>
                <w:t>Investment Management Trust Agreement, dated September 22, 2020, by and between VPC Impact Acquisition Holdings and</w:t>
              </w:r>
            </w:hyperlink>
          </w:p>
        </w:tc>
      </w:tr>
      <w:tr>
        <w:trPr>
          <w:trHeight w:val="169"/>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13"/>
          </w:tcPr>
          <w:p>
            <w:pPr>
              <w:spacing w:after="0" w:line="169" w:lineRule="exact"/>
              <w:rPr>
                <w:rFonts w:ascii="Arial" w:cs="Arial" w:eastAsia="Arial" w:hAnsi="Arial"/>
                <w:sz w:val="18"/>
                <w:szCs w:val="18"/>
                <w:color w:val="0000EE"/>
                <w:w w:val="89"/>
              </w:rPr>
            </w:pPr>
            <w:hyperlink r:id="rId39">
              <w:r>
                <w:rPr>
                  <w:rFonts w:ascii="Arial" w:cs="Arial" w:eastAsia="Arial" w:hAnsi="Arial"/>
                  <w:sz w:val="18"/>
                  <w:szCs w:val="18"/>
                  <w:color w:val="0000EE"/>
                  <w:w w:val="89"/>
                </w:rPr>
                <w:t>Continental Stock Transfer &amp; Trust Company, as trustee.</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39">
              <w:r>
                <w:rPr>
                  <w:rFonts w:ascii="Arial" w:cs="Arial" w:eastAsia="Arial" w:hAnsi="Arial"/>
                  <w:sz w:val="15"/>
                  <w:szCs w:val="15"/>
                  <w:color w:val="0000EE"/>
                  <w:w w:val="87"/>
                </w:rPr>
                <w:t>(1)</w:t>
              </w:r>
            </w:hyperlink>
          </w:p>
        </w:tc>
        <w:tc>
          <w:tcPr>
            <w:tcW w:w="2200" w:type="dxa"/>
            <w:vAlign w:val="bottom"/>
            <w:tcBorders>
              <w:top w:val="single" w:sz="8" w:color="0000EE"/>
              <w:bottom w:val="single" w:sz="8" w:color="0000EE"/>
            </w:tcBorders>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140" w:type="dxa"/>
            <w:vAlign w:val="bottom"/>
            <w:tcBorders>
              <w:top w:val="single" w:sz="8" w:color="0000EE"/>
              <w:bottom w:val="single" w:sz="8" w:color="0000EE"/>
            </w:tcBorders>
          </w:tcPr>
          <w:p>
            <w:pPr>
              <w:spacing w:after="0"/>
              <w:rPr>
                <w:sz w:val="14"/>
                <w:szCs w:val="14"/>
                <w:color w:val="auto"/>
              </w:rPr>
            </w:pPr>
          </w:p>
        </w:tc>
        <w:tc>
          <w:tcPr>
            <w:tcW w:w="2480" w:type="dxa"/>
            <w:vAlign w:val="bottom"/>
            <w:tcBorders>
              <w:top w:val="single" w:sz="8" w:color="0000EE"/>
              <w:bottom w:val="single" w:sz="8" w:color="0000EE"/>
            </w:tcBorders>
          </w:tcPr>
          <w:p>
            <w:pPr>
              <w:spacing w:after="0"/>
              <w:rPr>
                <w:sz w:val="14"/>
                <w:szCs w:val="14"/>
                <w:color w:val="auto"/>
              </w:rPr>
            </w:pPr>
          </w:p>
        </w:tc>
        <w:tc>
          <w:tcPr>
            <w:tcW w:w="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1300" w:type="dxa"/>
            <w:vAlign w:val="bottom"/>
            <w:tcBorders>
              <w:bottom w:val="single" w:sz="8" w:color="0000EE"/>
            </w:tcBorders>
            <w:gridSpan w:val="6"/>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gridSpan w:val="2"/>
          </w:tcPr>
          <w:p>
            <w:pPr>
              <w:spacing w:after="0" w:line="20" w:lineRule="exact"/>
              <w:rPr>
                <w:sz w:val="1"/>
                <w:szCs w:val="1"/>
                <w:color w:val="auto"/>
              </w:rPr>
            </w:pPr>
          </w:p>
        </w:tc>
        <w:tc>
          <w:tcPr>
            <w:tcW w:w="48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360" w:type="dxa"/>
            <w:vAlign w:val="bottom"/>
          </w:tcPr>
          <w:p>
            <w:pPr>
              <w:spacing w:after="0"/>
              <w:rPr>
                <w:sz w:val="20"/>
                <w:szCs w:val="20"/>
                <w:color w:val="auto"/>
              </w:rPr>
            </w:pPr>
            <w:r>
              <w:rPr>
                <w:rFonts w:ascii="Arial" w:cs="Arial" w:eastAsia="Arial" w:hAnsi="Arial"/>
                <w:sz w:val="18"/>
                <w:szCs w:val="18"/>
                <w:color w:val="auto"/>
                <w:w w:val="96"/>
              </w:rPr>
              <w:t>10.3</w:t>
            </w:r>
          </w:p>
        </w:tc>
        <w:tc>
          <w:tcPr>
            <w:tcW w:w="860" w:type="dxa"/>
            <w:vAlign w:val="bottom"/>
          </w:tcPr>
          <w:p>
            <w:pPr>
              <w:spacing w:after="0"/>
              <w:rPr>
                <w:sz w:val="24"/>
                <w:szCs w:val="24"/>
                <w:color w:val="auto"/>
              </w:rPr>
            </w:pPr>
          </w:p>
        </w:tc>
        <w:tc>
          <w:tcPr>
            <w:tcW w:w="9760" w:type="dxa"/>
            <w:vAlign w:val="bottom"/>
            <w:tcBorders>
              <w:bottom w:val="single" w:sz="8" w:color="0000EE"/>
            </w:tcBorders>
            <w:gridSpan w:val="29"/>
          </w:tcPr>
          <w:p>
            <w:pPr>
              <w:spacing w:after="0"/>
              <w:rPr>
                <w:rFonts w:ascii="Arial" w:cs="Arial" w:eastAsia="Arial" w:hAnsi="Arial"/>
                <w:sz w:val="18"/>
                <w:szCs w:val="18"/>
                <w:color w:val="0000EE"/>
                <w:w w:val="92"/>
              </w:rPr>
            </w:pPr>
            <w:hyperlink r:id="rId40">
              <w:r>
                <w:rPr>
                  <w:rFonts w:ascii="Arial" w:cs="Arial" w:eastAsia="Arial" w:hAnsi="Arial"/>
                  <w:sz w:val="18"/>
                  <w:szCs w:val="18"/>
                  <w:color w:val="0000EE"/>
                  <w:w w:val="92"/>
                </w:rPr>
                <w:t>Registration Rights Agreement, dated September 22, 2020, by and among VPC Impact Acquisition Holdings, VPC Impact Acquisition</w:t>
              </w:r>
            </w:hyperlink>
          </w:p>
        </w:tc>
        <w:tc>
          <w:tcPr>
            <w:tcW w:w="40" w:type="dxa"/>
            <w:vAlign w:val="bottom"/>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60" w:type="dxa"/>
            <w:vAlign w:val="bottom"/>
            <w:gridSpan w:val="16"/>
          </w:tcPr>
          <w:p>
            <w:pPr>
              <w:spacing w:after="0" w:line="169"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Holdings Sponsor, LLC and the VPC Impact Acquisition Holdings independent directors.</w:t>
              </w:r>
            </w:hyperlink>
          </w:p>
        </w:tc>
        <w:tc>
          <w:tcPr>
            <w:tcW w:w="16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76"/>
              </w:rPr>
            </w:pPr>
            <w:hyperlink r:id="rId40">
              <w:r>
                <w:rPr>
                  <w:rFonts w:ascii="Arial" w:cs="Arial" w:eastAsia="Arial" w:hAnsi="Arial"/>
                  <w:sz w:val="15"/>
                  <w:szCs w:val="15"/>
                  <w:color w:val="0000EE"/>
                  <w:w w:val="76"/>
                </w:rPr>
                <w:t>(1)</w:t>
              </w:r>
            </w:hyperlink>
          </w:p>
        </w:tc>
        <w:tc>
          <w:tcPr>
            <w:tcW w:w="28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1300" w:type="dxa"/>
            <w:vAlign w:val="bottom"/>
            <w:tcBorders>
              <w:bottom w:val="single" w:sz="8" w:color="0000EE"/>
            </w:tcBorders>
            <w:gridSpan w:val="6"/>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gridSpan w:val="2"/>
          </w:tcPr>
          <w:p>
            <w:pPr>
              <w:spacing w:after="0" w:line="20" w:lineRule="exact"/>
              <w:rPr>
                <w:sz w:val="1"/>
                <w:szCs w:val="1"/>
                <w:color w:val="auto"/>
              </w:rPr>
            </w:pPr>
          </w:p>
        </w:tc>
        <w:tc>
          <w:tcPr>
            <w:tcW w:w="2860" w:type="dxa"/>
            <w:vAlign w:val="bottom"/>
            <w:tcBorders>
              <w:bottom w:val="single" w:sz="8" w:color="0000EE"/>
            </w:tcBorders>
            <w:gridSpan w:val="5"/>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91"/>
        </w:trPr>
        <w:tc>
          <w:tcPr>
            <w:tcW w:w="360" w:type="dxa"/>
            <w:vAlign w:val="bottom"/>
          </w:tcPr>
          <w:p>
            <w:pPr>
              <w:spacing w:after="0"/>
              <w:rPr>
                <w:sz w:val="20"/>
                <w:szCs w:val="20"/>
                <w:color w:val="auto"/>
              </w:rPr>
            </w:pPr>
            <w:r>
              <w:rPr>
                <w:rFonts w:ascii="Arial" w:cs="Arial" w:eastAsia="Arial" w:hAnsi="Arial"/>
                <w:sz w:val="18"/>
                <w:szCs w:val="18"/>
                <w:color w:val="auto"/>
                <w:w w:val="96"/>
              </w:rPr>
              <w:t>10.4</w:t>
            </w:r>
          </w:p>
        </w:tc>
        <w:tc>
          <w:tcPr>
            <w:tcW w:w="860" w:type="dxa"/>
            <w:vAlign w:val="bottom"/>
          </w:tcPr>
          <w:p>
            <w:pPr>
              <w:spacing w:after="0"/>
              <w:rPr>
                <w:sz w:val="24"/>
                <w:szCs w:val="24"/>
                <w:color w:val="auto"/>
              </w:rPr>
            </w:pPr>
          </w:p>
        </w:tc>
        <w:tc>
          <w:tcPr>
            <w:tcW w:w="9600" w:type="dxa"/>
            <w:vAlign w:val="bottom"/>
            <w:tcBorders>
              <w:bottom w:val="single" w:sz="8" w:color="0000EE"/>
            </w:tcBorders>
            <w:gridSpan w:val="24"/>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Private Placement Warrants Purchase Agreement, dated September 22, 2020, by and between VPC Impact Acquisition Holdings and</w:t>
              </w:r>
            </w:hyperlink>
          </w:p>
        </w:tc>
        <w:tc>
          <w:tcPr>
            <w:tcW w:w="200" w:type="dxa"/>
            <w:vAlign w:val="bottom"/>
            <w:gridSpan w:val="6"/>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gridSpan w:val="10"/>
          </w:tcPr>
          <w:p>
            <w:pPr>
              <w:spacing w:after="0" w:line="169"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VPC Impact Acquisition Holdings Sponsor, LLC.</w:t>
              </w:r>
            </w:hyperlink>
          </w:p>
        </w:tc>
        <w:tc>
          <w:tcPr>
            <w:tcW w:w="18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87"/>
              </w:rPr>
            </w:pPr>
            <w:hyperlink r:id="rId41">
              <w:r>
                <w:rPr>
                  <w:rFonts w:ascii="Arial" w:cs="Arial" w:eastAsia="Arial" w:hAnsi="Arial"/>
                  <w:sz w:val="15"/>
                  <w:szCs w:val="15"/>
                  <w:color w:val="0000EE"/>
                  <w:w w:val="87"/>
                </w:rPr>
                <w:t>(1)</w:t>
              </w:r>
            </w:hyperlink>
          </w:p>
        </w:tc>
        <w:tc>
          <w:tcPr>
            <w:tcW w:w="5740" w:type="dxa"/>
            <w:vAlign w:val="bottom"/>
            <w:gridSpan w:val="9"/>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1300" w:type="dxa"/>
            <w:vAlign w:val="bottom"/>
            <w:tcBorders>
              <w:bottom w:val="single" w:sz="8" w:color="0000EE"/>
            </w:tcBorders>
            <w:gridSpan w:val="6"/>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gridSpan w:val="2"/>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91"/>
        </w:trPr>
        <w:tc>
          <w:tcPr>
            <w:tcW w:w="360" w:type="dxa"/>
            <w:vAlign w:val="bottom"/>
          </w:tcPr>
          <w:p>
            <w:pPr>
              <w:spacing w:after="0"/>
              <w:rPr>
                <w:sz w:val="20"/>
                <w:szCs w:val="20"/>
                <w:color w:val="auto"/>
              </w:rPr>
            </w:pPr>
            <w:r>
              <w:rPr>
                <w:rFonts w:ascii="Arial" w:cs="Arial" w:eastAsia="Arial" w:hAnsi="Arial"/>
                <w:sz w:val="18"/>
                <w:szCs w:val="18"/>
                <w:color w:val="auto"/>
                <w:w w:val="96"/>
              </w:rPr>
              <w:t>10.5</w:t>
            </w:r>
          </w:p>
        </w:tc>
        <w:tc>
          <w:tcPr>
            <w:tcW w:w="860" w:type="dxa"/>
            <w:vAlign w:val="bottom"/>
          </w:tcPr>
          <w:p>
            <w:pPr>
              <w:spacing w:after="0"/>
              <w:rPr>
                <w:sz w:val="24"/>
                <w:szCs w:val="24"/>
                <w:color w:val="auto"/>
              </w:rPr>
            </w:pPr>
          </w:p>
        </w:tc>
        <w:tc>
          <w:tcPr>
            <w:tcW w:w="9580" w:type="dxa"/>
            <w:vAlign w:val="bottom"/>
            <w:tcBorders>
              <w:bottom w:val="single" w:sz="8" w:color="0000EE"/>
            </w:tcBorders>
            <w:gridSpan w:val="23"/>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Administrative Services Agreement, dated September 22, 2020, by and between VPC Impact Acquisition Holdings and VPC Impact</w:t>
              </w:r>
            </w:hyperlink>
          </w:p>
        </w:tc>
        <w:tc>
          <w:tcPr>
            <w:tcW w:w="220" w:type="dxa"/>
            <w:vAlign w:val="bottom"/>
            <w:gridSpan w:val="7"/>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gridSpan w:val="8"/>
          </w:tcPr>
          <w:p>
            <w:pPr>
              <w:spacing w:after="0" w:line="169"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Acquisition Holdings Sponsor, LLC.</w:t>
              </w:r>
            </w:hyperlink>
          </w:p>
        </w:tc>
        <w:tc>
          <w:tcPr>
            <w:tcW w:w="160" w:type="dxa"/>
            <w:vAlign w:val="bottom"/>
            <w:tcBorders>
              <w:bottom w:val="single" w:sz="8" w:color="0000EE"/>
            </w:tcBorders>
          </w:tcPr>
          <w:p>
            <w:pPr>
              <w:jc w:val="right"/>
              <w:spacing w:after="0" w:line="156" w:lineRule="exact"/>
              <w:rPr>
                <w:rFonts w:ascii="Arial" w:cs="Arial" w:eastAsia="Arial" w:hAnsi="Arial"/>
                <w:sz w:val="15"/>
                <w:szCs w:val="15"/>
                <w:color w:val="0000EE"/>
                <w:w w:val="76"/>
              </w:rPr>
            </w:pPr>
            <w:hyperlink r:id="rId42">
              <w:r>
                <w:rPr>
                  <w:rFonts w:ascii="Arial" w:cs="Arial" w:eastAsia="Arial" w:hAnsi="Arial"/>
                  <w:sz w:val="15"/>
                  <w:szCs w:val="15"/>
                  <w:color w:val="0000EE"/>
                  <w:w w:val="76"/>
                </w:rPr>
                <w:t>(1)</w:t>
              </w:r>
            </w:hyperlink>
          </w:p>
        </w:tc>
        <w:tc>
          <w:tcPr>
            <w:tcW w:w="780" w:type="dxa"/>
            <w:vAlign w:val="bottom"/>
            <w:gridSpan w:val="2"/>
          </w:tcPr>
          <w:p>
            <w:pPr>
              <w:spacing w:after="0"/>
              <w:rPr>
                <w:sz w:val="14"/>
                <w:szCs w:val="14"/>
                <w:color w:val="auto"/>
              </w:rPr>
            </w:pPr>
          </w:p>
        </w:tc>
        <w:tc>
          <w:tcPr>
            <w:tcW w:w="5900" w:type="dxa"/>
            <w:vAlign w:val="bottom"/>
            <w:gridSpan w:val="10"/>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0"/>
        </w:trPr>
        <w:tc>
          <w:tcPr>
            <w:tcW w:w="1220" w:type="dxa"/>
            <w:vAlign w:val="bottom"/>
            <w:gridSpan w:val="2"/>
          </w:tcPr>
          <w:p>
            <w:pPr>
              <w:spacing w:after="0" w:line="20" w:lineRule="exact"/>
              <w:rPr>
                <w:sz w:val="1"/>
                <w:szCs w:val="1"/>
                <w:color w:val="auto"/>
              </w:rPr>
            </w:pPr>
          </w:p>
        </w:tc>
        <w:tc>
          <w:tcPr>
            <w:tcW w:w="1340" w:type="dxa"/>
            <w:vAlign w:val="bottom"/>
            <w:tcBorders>
              <w:bottom w:val="single" w:sz="8" w:color="0000EE"/>
            </w:tcBorders>
          </w:tcPr>
          <w:p>
            <w:pPr>
              <w:spacing w:after="0" w:line="20" w:lineRule="exact"/>
              <w:rPr>
                <w:sz w:val="1"/>
                <w:szCs w:val="1"/>
                <w:color w:val="auto"/>
              </w:rPr>
            </w:pPr>
          </w:p>
        </w:tc>
        <w:tc>
          <w:tcPr>
            <w:tcW w:w="1320" w:type="dxa"/>
            <w:vAlign w:val="bottom"/>
            <w:tcBorders>
              <w:bottom w:val="single" w:sz="8" w:color="0000EE"/>
            </w:tcBorders>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91"/>
        </w:trPr>
        <w:tc>
          <w:tcPr>
            <w:tcW w:w="1220" w:type="dxa"/>
            <w:vAlign w:val="bottom"/>
            <w:gridSpan w:val="2"/>
          </w:tcPr>
          <w:p>
            <w:pPr>
              <w:spacing w:after="0"/>
              <w:rPr>
                <w:sz w:val="20"/>
                <w:szCs w:val="20"/>
                <w:color w:val="auto"/>
              </w:rPr>
            </w:pPr>
            <w:r>
              <w:rPr>
                <w:rFonts w:ascii="Arial" w:cs="Arial" w:eastAsia="Arial" w:hAnsi="Arial"/>
                <w:sz w:val="18"/>
                <w:szCs w:val="18"/>
                <w:color w:val="auto"/>
              </w:rPr>
              <w:t>31.1*</w:t>
            </w:r>
          </w:p>
        </w:tc>
        <w:tc>
          <w:tcPr>
            <w:tcW w:w="97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Certification of Principal Executive Officer Pursuant to Securities Exchange Act Rules 13a-14(a) and 15(d)-14(a), as adopted Pursuant</w:t>
              </w:r>
            </w:hyperlink>
          </w:p>
        </w:tc>
        <w:tc>
          <w:tcPr>
            <w:tcW w:w="100" w:type="dxa"/>
            <w:vAlign w:val="bottom"/>
            <w:gridSpan w:val="3"/>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to Section 302 of the Sarbanes-Oxley Act of 2002</w:t>
              </w:r>
            </w:hyperlink>
          </w:p>
        </w:tc>
        <w:tc>
          <w:tcPr>
            <w:tcW w:w="6200" w:type="dxa"/>
            <w:vAlign w:val="bottom"/>
            <w:gridSpan w:val="19"/>
          </w:tcPr>
          <w:p>
            <w:pPr>
              <w:spacing w:after="0"/>
              <w:rPr>
                <w:sz w:val="17"/>
                <w:szCs w:val="17"/>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31.2*</w:t>
            </w:r>
          </w:p>
        </w:tc>
        <w:tc>
          <w:tcPr>
            <w:tcW w:w="9800" w:type="dxa"/>
            <w:vAlign w:val="bottom"/>
            <w:gridSpan w:val="30"/>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Certification of Principal Financial Officer Pursuant to Securities Exchange Act Rules 13a-14(a) and 15(d)-14(a), as adopted Pursuant</w:t>
              </w:r>
            </w:hyperlink>
          </w:p>
        </w:tc>
      </w:tr>
      <w:tr>
        <w:trPr>
          <w:trHeight w:val="19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to Section 302 of the Sarbanes-Oxley Act of 2002</w:t>
              </w:r>
            </w:hyperlink>
          </w:p>
        </w:tc>
        <w:tc>
          <w:tcPr>
            <w:tcW w:w="6040" w:type="dxa"/>
            <w:vAlign w:val="bottom"/>
            <w:tcBorders>
              <w:top w:val="single" w:sz="8" w:color="0000EE"/>
            </w:tcBorders>
            <w:gridSpan w:val="1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32.1**</w:t>
            </w:r>
          </w:p>
        </w:tc>
        <w:tc>
          <w:tcPr>
            <w:tcW w:w="9800" w:type="dxa"/>
            <w:vAlign w:val="bottom"/>
            <w:gridSpan w:val="30"/>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Principal Executive Officer Pursuant to 18 U.S.C. Section 1350, as adopted Pursuant to Section 906 of the Sarbanes-</w:t>
              </w:r>
            </w:hyperlink>
          </w:p>
        </w:tc>
      </w:tr>
      <w:tr>
        <w:trPr>
          <w:trHeight w:val="19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Oxley Act of 2002</w:t>
              </w:r>
            </w:hyperlink>
          </w:p>
        </w:tc>
        <w:tc>
          <w:tcPr>
            <w:tcW w:w="8200" w:type="dxa"/>
            <w:vAlign w:val="bottom"/>
            <w:tcBorders>
              <w:top w:val="single" w:sz="8" w:color="0000EE"/>
            </w:tcBorders>
            <w:gridSpan w:val="21"/>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32.2**</w:t>
            </w:r>
          </w:p>
        </w:tc>
        <w:tc>
          <w:tcPr>
            <w:tcW w:w="95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300" w:type="dxa"/>
            <w:vAlign w:val="bottom"/>
            <w:gridSpan w:val="9"/>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Oxley Act of 2002</w:t>
              </w:r>
            </w:hyperlink>
          </w:p>
        </w:tc>
        <w:tc>
          <w:tcPr>
            <w:tcW w:w="8460" w:type="dxa"/>
            <w:vAlign w:val="bottom"/>
            <w:gridSpan w:val="29"/>
          </w:tcPr>
          <w:p>
            <w:pPr>
              <w:spacing w:after="0"/>
              <w:rPr>
                <w:sz w:val="17"/>
                <w:szCs w:val="17"/>
                <w:color w:val="auto"/>
              </w:rPr>
            </w:pPr>
          </w:p>
        </w:tc>
      </w:tr>
      <w:tr>
        <w:trPr>
          <w:trHeight w:val="345"/>
        </w:trPr>
        <w:tc>
          <w:tcPr>
            <w:tcW w:w="12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00" w:type="dxa"/>
            <w:vAlign w:val="bottom"/>
            <w:gridSpan w:val="30"/>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3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3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8" w:lineRule="exact"/>
        <w:rPr>
          <w:sz w:val="20"/>
          <w:szCs w:val="20"/>
          <w:color w:val="auto"/>
        </w:rPr>
      </w:pPr>
    </w:p>
    <w:p>
      <w:pPr>
        <w:ind w:left="5424" w:right="1080" w:hanging="5424"/>
        <w:spacing w:after="0" w:line="434" w:lineRule="auto"/>
        <w:tabs>
          <w:tab w:leader="none" w:pos="438" w:val="left"/>
        </w:tabs>
        <w:numPr>
          <w:ilvl w:val="0"/>
          <w:numId w:val="11"/>
        </w:numPr>
        <w:rPr>
          <w:rFonts w:ascii="Arial" w:cs="Arial" w:eastAsia="Arial" w:hAnsi="Arial"/>
          <w:sz w:val="15"/>
          <w:szCs w:val="15"/>
          <w:color w:val="auto"/>
        </w:rPr>
      </w:pPr>
      <w:r>
        <w:rPr>
          <w:rFonts w:ascii="Arial" w:cs="Arial" w:eastAsia="Arial" w:hAnsi="Arial"/>
          <w:sz w:val="18"/>
          <w:szCs w:val="18"/>
          <w:color w:val="auto"/>
        </w:rPr>
        <w:t>Previously filed as an exhibit to our Current Report on Form 8-K filed on September 28, 2020 and incorporated by reference herein. 18</w:t>
      </w:r>
    </w:p>
    <w:p>
      <w:pPr>
        <w:sectPr>
          <w:pgSz w:w="11900" w:h="16838" w:orient="portrait"/>
          <w:cols w:equalWidth="0" w:num="1">
            <w:col w:w="11024"/>
          </w:cols>
          <w:pgMar w:left="436" w:top="270" w:right="4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November 16,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Martin</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5"/>
        </w:trPr>
        <w:tc>
          <w:tcPr>
            <w:tcW w:w="6060" w:type="dxa"/>
            <w:vAlign w:val="bottom"/>
          </w:tcPr>
          <w:p>
            <w:pPr>
              <w:spacing w:after="0"/>
              <w:rPr>
                <w:sz w:val="20"/>
                <w:szCs w:val="20"/>
                <w:color w:val="auto"/>
              </w:rPr>
            </w:pPr>
            <w:r>
              <w:rPr>
                <w:rFonts w:ascii="Arial" w:cs="Arial" w:eastAsia="Arial" w:hAnsi="Arial"/>
                <w:sz w:val="18"/>
                <w:szCs w:val="18"/>
                <w:color w:val="auto"/>
              </w:rPr>
              <w:t>Date: November 16,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Olibia Stamatoglou</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6060" w:type="dxa"/>
            <w:vAlign w:val="bottom"/>
          </w:tcPr>
          <w:p>
            <w:pPr>
              <w:ind w:left="5420"/>
              <w:spacing w:after="0"/>
              <w:rPr>
                <w:sz w:val="20"/>
                <w:szCs w:val="20"/>
                <w:color w:val="auto"/>
              </w:rPr>
            </w:pPr>
            <w:r>
              <w:rPr>
                <w:rFonts w:ascii="Arial" w:cs="Arial" w:eastAsia="Arial" w:hAnsi="Arial"/>
                <w:sz w:val="18"/>
                <w:szCs w:val="18"/>
                <w:color w:val="auto"/>
              </w:rPr>
              <w:t>19</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Martin, certify that:</w:t>
      </w:r>
    </w:p>
    <w:p>
      <w:pPr>
        <w:spacing w:after="0" w:line="131"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16, 2020</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John Martin</w:t>
            </w:r>
          </w:p>
        </w:tc>
      </w:tr>
      <w:tr>
        <w:trPr>
          <w:trHeight w:val="195"/>
        </w:trPr>
        <w:tc>
          <w:tcPr>
            <w:tcW w:w="3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3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0"/>
          </w:cols>
          <w:pgMar w:left="440" w:top="121"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Olibia Stamatoglou,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16, 2020</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Olibia Stamatoglou</w:t>
            </w:r>
          </w:p>
        </w:tc>
      </w:tr>
      <w:tr>
        <w:trPr>
          <w:trHeight w:val="195"/>
        </w:trPr>
        <w:tc>
          <w:tcPr>
            <w:tcW w:w="3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3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0"/>
          </w:cols>
          <w:pgMar w:left="440" w:top="12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September 30, 2020, as filed with the Securities and Exchange Commission (the “Report”), I, John Martin,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16, 2020</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John Martin</w:t>
            </w:r>
          </w:p>
        </w:tc>
      </w:tr>
      <w:tr>
        <w:trPr>
          <w:trHeight w:val="195"/>
        </w:trPr>
        <w:tc>
          <w:tcPr>
            <w:tcW w:w="3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3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0"/>
          </w:cols>
          <w:pgMar w:left="440"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September 30, 2020, as filed with the Securities and Exchange Commission (the “Report”), I, Olibia Stamatoglou,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16, 2020</w:t>
            </w: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Olibia Stamatoglou</w:t>
            </w:r>
          </w:p>
        </w:tc>
      </w:tr>
      <w:tr>
        <w:trPr>
          <w:trHeight w:val="195"/>
        </w:trPr>
        <w:tc>
          <w:tcPr>
            <w:tcW w:w="3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3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2"/>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3" Type="http://schemas.openxmlformats.org/officeDocument/2006/relationships/image" Target="media/image28.png"/><Relationship Id="rId35" Type="http://schemas.openxmlformats.org/officeDocument/2006/relationships/hyperlink" Target="http://www.sec.gov/Archives/edgar/data/1820302/000119312520256308/d38926dex11.htm" TargetMode="External"/><Relationship Id="rId36" Type="http://schemas.openxmlformats.org/officeDocument/2006/relationships/hyperlink" Target="http://www.sec.gov/Archives/edgar/data/1820302/000119312520256308/d38926dex31.htm" TargetMode="External"/><Relationship Id="rId37" Type="http://schemas.openxmlformats.org/officeDocument/2006/relationships/hyperlink" Target="http://www.sec.gov/Archives/edgar/data/1820302/000119312520256308/d38926dex41.htm" TargetMode="External"/><Relationship Id="rId38" Type="http://schemas.openxmlformats.org/officeDocument/2006/relationships/hyperlink" Target="http://www.sec.gov/Archives/edgar/data/1820302/000119312520256308/d38926dex101.htm" TargetMode="External"/><Relationship Id="rId39" Type="http://schemas.openxmlformats.org/officeDocument/2006/relationships/hyperlink" Target="http://www.sec.gov/Archives/edgar/data/1820302/000119312520256308/d38926dex102.htm" TargetMode="External"/><Relationship Id="rId40" Type="http://schemas.openxmlformats.org/officeDocument/2006/relationships/hyperlink" Target="http://www.sec.gov/Archives/edgar/data/1820302/000119312520256308/d38926dex103.htm" TargetMode="External"/><Relationship Id="rId41" Type="http://schemas.openxmlformats.org/officeDocument/2006/relationships/hyperlink" Target="http://www.sec.gov/Archives/edgar/data/1820302/000119312520256308/d38926dex104.htm" TargetMode="External"/><Relationship Id="rId42" Type="http://schemas.openxmlformats.org/officeDocument/2006/relationships/hyperlink" Target="http://www.sec.gov/Archives/edgar/data/1820302/000119312520256308/d38926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2020-11-16T15:18:41Z</dcterms:created>
  <dcterms:modified xsi:type="dcterms:W3CDTF">2020-11-16T15:18:41Z</dcterms:modified>
</cp:coreProperties>
</file>