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6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60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20" w:type="dxa"/>
            <w:vAlign w:val="bottom"/>
            <w:gridSpan w:val="6"/>
          </w:tcPr>
          <w:p>
            <w:pPr>
              <w:jc w:val="center"/>
              <w:ind w:left="15"/>
              <w:spacing w:after="0"/>
              <w:rPr>
                <w:sz w:val="20"/>
                <w:szCs w:val="20"/>
                <w:color w:val="auto"/>
              </w:rPr>
            </w:pPr>
            <w:r>
              <w:rPr>
                <w:rFonts w:ascii="Arial" w:cs="Arial" w:eastAsia="Arial" w:hAnsi="Arial"/>
                <w:sz w:val="13"/>
                <w:szCs w:val="13"/>
                <w:color w:val="auto"/>
                <w:w w:val="99"/>
              </w:rPr>
              <w:t>4. If Amendment, Date of Original Filed (Month/Day/Year)</w:t>
            </w:r>
          </w:p>
        </w:tc>
        <w:tc>
          <w:tcPr>
            <w:tcW w:w="38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jc w:val="center"/>
              <w:ind w:right="62"/>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00"/>
              <w:spacing w:after="0" w:line="309" w:lineRule="exact"/>
              <w:rPr>
                <w:sz w:val="20"/>
                <w:szCs w:val="20"/>
                <w:color w:val="auto"/>
              </w:rPr>
            </w:pPr>
            <w:r>
              <w:rPr>
                <w:rFonts w:ascii="Times New Roman" w:cs="Times New Roman" w:eastAsia="Times New Roman" w:hAnsi="Times New Roman"/>
                <w:sz w:val="33"/>
                <w:szCs w:val="33"/>
                <w:color w:val="0000FF"/>
                <w:vertAlign w:val="subscript"/>
              </w:rPr>
              <w:t>785</w:t>
            </w:r>
            <w:r>
              <w:rPr>
                <w:rFonts w:ascii="Times New Roman" w:cs="Times New Roman" w:eastAsia="Times New Roman" w:hAnsi="Times New Roman"/>
                <w:sz w:val="11"/>
                <w:szCs w:val="11"/>
                <w:color w:val="008000"/>
              </w:rPr>
              <w:t>(2)</w:t>
            </w:r>
          </w:p>
        </w:tc>
        <w:tc>
          <w:tcPr>
            <w:tcW w:w="600" w:type="dxa"/>
            <w:vAlign w:val="bottom"/>
            <w:tcBorders>
              <w:bottom w:val="single" w:sz="8" w:color="2C2C2C"/>
            </w:tcBorders>
          </w:tcPr>
          <w:p>
            <w:pPr>
              <w:jc w:val="center"/>
              <w:ind w:left="18"/>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10.0947</w:t>
            </w:r>
            <w:r>
              <w:rPr>
                <w:rFonts w:ascii="Times New Roman" w:cs="Times New Roman" w:eastAsia="Times New Roman" w:hAnsi="Times New Roman"/>
                <w:sz w:val="21"/>
                <w:szCs w:val="21"/>
                <w:color w:val="008000"/>
                <w:w w:val="9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117,833</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jc w:val="center"/>
              <w:ind w:right="2"/>
              <w:spacing w:after="0"/>
              <w:rPr>
                <w:sz w:val="20"/>
                <w:szCs w:val="20"/>
                <w:color w:val="auto"/>
              </w:rPr>
            </w:pPr>
            <w:r>
              <w:rPr>
                <w:rFonts w:ascii="Arial" w:cs="Arial" w:eastAsia="Arial" w:hAnsi="Arial"/>
                <w:sz w:val="12"/>
                <w:szCs w:val="12"/>
                <w:b w:val="1"/>
                <w:bCs w:val="1"/>
                <w:color w:val="auto"/>
                <w:w w:val="95"/>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(4)(5)(6)</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00" w:type="dxa"/>
            <w:vAlign w:val="bottom"/>
            <w:vMerge w:val="continue"/>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132,551</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132,551</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performance stock units awards that remain subject to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09/10/2025.</w:t>
      </w:r>
    </w:p>
    <w:p>
      <w:pPr>
        <w:spacing w:after="0" w:line="44" w:lineRule="exact"/>
        <w:rPr>
          <w:rFonts w:ascii="Times New Roman" w:cs="Times New Roman" w:eastAsia="Times New Roman" w:hAnsi="Times New Roman"/>
          <w:sz w:val="13"/>
          <w:szCs w:val="13"/>
          <w:color w:val="008000"/>
        </w:rPr>
      </w:pPr>
    </w:p>
    <w:p>
      <w:pPr>
        <w:ind w:left="40" w:right="2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weighted-average price. These shares were sold in multiple transactions at prices ranging from $10.0114 to $10.1200,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 w:lineRule="exact"/>
        <w:rPr>
          <w:rFonts w:ascii="Times New Roman" w:cs="Times New Roman" w:eastAsia="Times New Roman" w:hAnsi="Times New Roman"/>
          <w:sz w:val="12"/>
          <w:szCs w:val="12"/>
          <w:color w:val="008000"/>
        </w:rPr>
      </w:pPr>
    </w:p>
    <w:p>
      <w:pPr>
        <w:ind w:left="40" w:right="2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Mr. D'Annunzio does not exercise the Committed Options in any quarter, then all remaining Options are forfeited. One-eighth of the Options will become exercisable each quarter (each, a "Quarterly Tranche"). [Continued to footnote 5]</w:t>
      </w:r>
    </w:p>
    <w:p>
      <w:pPr>
        <w:spacing w:after="0" w:line="26" w:lineRule="exact"/>
        <w:rPr>
          <w:rFonts w:ascii="Times New Roman" w:cs="Times New Roman" w:eastAsia="Times New Roman" w:hAnsi="Times New Roman"/>
          <w:sz w:val="13"/>
          <w:szCs w:val="13"/>
          <w:color w:val="008000"/>
        </w:rPr>
      </w:pPr>
    </w:p>
    <w:p>
      <w:pPr>
        <w:ind w:left="40" w:right="32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Mr. D'Annunzio exercises the Committed Option portion, the remainder of that Quarterly Tranche (the "Optional Exercise Options") will become exercisable for a period of one year. The Optional Exercise Option portion of any Quarterly Tranche will expire at the end of such one-year period. [Continued to footnote 6]</w:t>
      </w:r>
    </w:p>
    <w:p>
      <w:pPr>
        <w:spacing w:after="0" w:line="2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5] Notwithstanding the foregoing exercise schedule, following the first quarter following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Marc D'Annunzio</w:t>
            </w:r>
          </w:p>
        </w:tc>
        <w:tc>
          <w:tcPr>
            <w:tcW w:w="7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02/27/2026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2026-02-27T18:11:36Z</dcterms:created>
  <dcterms:modified xsi:type="dcterms:W3CDTF">2026-02-27T18:11:36Z</dcterms:modified>
</cp:coreProperties>
</file>